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289401-424b3_sunpower.htm"/>
      <w:bookmarkStart w:id="1" w:name="ksea029289401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333-292713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48,521,163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potential offer and sale of up to 48,521,163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this prospectus relates may be issued to White Lion pursuant to the Common Stock Purchase Agreement dated July 16, 2024 between us and White Lion, as amended by Amendment No. 1 to the Common Stock Purchase Agreement dated July 24, 2024, Amendment No. 2 to the Common Stock Purchase Agreement dated August 14, 2024, and Amendment No. 3 to the Common Stock Purchase Agreement dated January 11, 2026 (as amended,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establishing an equity line of credit. Such shares of our common stock include up to 48,521,163 shares of common stock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that we may elect, in our sole discretion, to issue and sell to White Lion from time to time during the White Lion Commitment Period (as defined below) subject to and pursuant to the terms and conditions of the White Lion Purchase Agreement (assuming the shares to be issued are sold at a price of $1.00 per share). See “</w:t>
      </w:r>
      <w:r>
        <w:rPr>
          <w:rFonts w:ascii="Times New Roman;Times;Serif" w:hAnsi="Times New Roman;Times;Serif"/>
          <w:b w:val="false"/>
          <w:i/>
          <w:caps w:val="false"/>
          <w:smallCaps w:val="false"/>
          <w:sz w:val="20"/>
        </w:rPr>
        <w:t>The White Lion Transaction</w:t>
      </w:r>
      <w:r>
        <w:rPr>
          <w:rFonts w:ascii="Times New Roman;Times;Serif" w:hAnsi="Times New Roman;Times;Serif"/>
          <w:b w:val="false"/>
          <w:i w:val="false"/>
          <w:caps w:val="false"/>
          <w:smallCaps w:val="false"/>
          <w:sz w:val="20"/>
        </w:rPr>
        <w:t>” below for a description of the White Lion Purchase Agreement and “</w:t>
      </w:r>
      <w:r>
        <w:rPr>
          <w:rFonts w:ascii="Times New Roman;Times;Serif" w:hAnsi="Times New Roman;Times;Serif"/>
          <w:b w:val="false"/>
          <w:i/>
          <w:caps w:val="false"/>
          <w:smallCaps w:val="false"/>
          <w:sz w:val="20"/>
        </w:rPr>
        <w:t>Selling Securityholder</w:t>
      </w:r>
      <w:r>
        <w:rPr>
          <w:rFonts w:ascii="Times New Roman;Times;Serif" w:hAnsi="Times New Roman;Times;Serif"/>
          <w:b w:val="false"/>
          <w:i w:val="false"/>
          <w:caps w:val="false"/>
          <w:smallCaps w:val="false"/>
          <w:sz w:val="20"/>
        </w:rPr>
        <w:t>” for additional information regarding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Offered Securities issuable to White Lion will vary depending on the then-current market price of shares of our common stock sold to the Selling Securityholder under the White Lion Purchase Agreement and are subject to the further limitations set forth in the White Lion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 However, we may receive proceeds of up to $48.5 million from the sale of the Offered Securities to the Selling Securityholder pursuant to the White Lion Purchase Agreement after the date of this prospectus (assuming the shares are sold at a price of $1.00 per share). The actual proceeds from White Lion under the White Lion Purchase Agreement may be less than this amount depending on the number of shares of our common stock sold and the price at which the shares of our common stock are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 may sell or otherwise dispose of the shares of common stock being registered pursuant to this prospectus. The Selling Securityholder is an “underwriter”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May 29, 2026, the closing price of our common stock was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this prospectus, and under similar headings in any amendments or supplements 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Post-Effective Amendment No. 1 to the registration statement on Form S-1 (File No. 333-292713)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and updates the disclosure contained in the Registration Statement following the filing of the Company’s Annual Report on Form 10-K for the year ended December 28, 2025, filed with the SEC on April 14, 2026 and the Company’s Quarterly Report on Form 10-Q for the thirteen week period ended March 29, 2026, filed with the SEC on May 19, 2026. Under this shelf registration process, the Selling Securityholder may, from time to time, sell the securities offered by it described in this prospectus. We will not receive any proceeds from the sale by such Selling Securityholder of the securities offered by it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 take responsibility for, and can provide no assurance as to the reliability of, any other information that others may give you. Neither we nor the Selling Securityholder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sz w:val="20"/>
              </w:rPr>
            </w:pPr>
            <w:r>
              <w:rPr>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sz w:val="20"/>
              </w:rPr>
            </w:pPr>
            <w:r>
              <w:rPr>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sz w:val="20"/>
              </w:rPr>
            </w:pPr>
            <w:r>
              <w:rPr>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sz w:val="20"/>
              </w:rPr>
            </w:pPr>
            <w:r>
              <w:rPr>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sz w:val="20"/>
              </w:rPr>
            </w:pPr>
            <w:r>
              <w:rPr>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sz w:val="20"/>
              </w:rPr>
            </w:pPr>
            <w:r>
              <w:rPr>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295"/>
        <w:gridCol w:w="60"/>
        <w:gridCol w:w="455"/>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7295" w:type="dxa"/>
            <w:tcBorders/>
            <w:shd w:fill="FFFFFF" w:val="clear"/>
            <w:vAlign w:val="center"/>
          </w:tcPr>
          <w:p>
            <w:pPr>
              <w:pStyle w:val="TableContents"/>
              <w:bidi w:val="0"/>
              <w:spacing w:before="0" w:after="283"/>
              <w:jc w:val="left"/>
              <w:rPr/>
            </w:pPr>
            <w:hyperlink w:anchor="a_002">
              <w:r>
                <w:rPr>
                  <w:rStyle w:val="InternetLink"/>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10</w:t>
            </w:r>
          </w:p>
        </w:tc>
      </w:tr>
      <w:tr>
        <w:trPr/>
        <w:tc>
          <w:tcPr>
            <w:tcW w:w="7295" w:type="dxa"/>
            <w:tcBorders/>
            <w:shd w:fill="CCEEFF" w:val="clear"/>
            <w:vAlign w:val="center"/>
          </w:tcPr>
          <w:p>
            <w:pPr>
              <w:pStyle w:val="TableContents"/>
              <w:bidi w:val="0"/>
              <w:spacing w:before="0" w:after="283"/>
              <w:jc w:val="left"/>
              <w:rPr/>
            </w:pPr>
            <w:hyperlink w:anchor="a_003">
              <w:r>
                <w:rPr>
                  <w:rStyle w:val="InternetLink"/>
                  <w:sz w:val="20"/>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45</w:t>
            </w:r>
          </w:p>
        </w:tc>
      </w:tr>
      <w:tr>
        <w:trPr/>
        <w:tc>
          <w:tcPr>
            <w:tcW w:w="7295" w:type="dxa"/>
            <w:tcBorders/>
            <w:shd w:fill="FFFFFF" w:val="clear"/>
            <w:vAlign w:val="center"/>
          </w:tcPr>
          <w:p>
            <w:pPr>
              <w:pStyle w:val="TableContents"/>
              <w:bidi w:val="0"/>
              <w:spacing w:before="0" w:after="283"/>
              <w:jc w:val="left"/>
              <w:rPr/>
            </w:pPr>
            <w:hyperlink w:anchor="a_004">
              <w:r>
                <w:rPr>
                  <w:rStyle w:val="InternetLink"/>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46</w:t>
            </w:r>
          </w:p>
        </w:tc>
      </w:tr>
      <w:tr>
        <w:trPr/>
        <w:tc>
          <w:tcPr>
            <w:tcW w:w="7295" w:type="dxa"/>
            <w:tcBorders/>
            <w:shd w:fill="CCEEFF" w:val="clear"/>
            <w:vAlign w:val="center"/>
          </w:tcPr>
          <w:p>
            <w:pPr>
              <w:pStyle w:val="TableContents"/>
              <w:bidi w:val="0"/>
              <w:spacing w:before="0" w:after="283"/>
              <w:jc w:val="left"/>
              <w:rPr/>
            </w:pPr>
            <w:hyperlink w:anchor="a_005">
              <w:r>
                <w:rPr>
                  <w:rStyle w:val="InternetLink"/>
                  <w:sz w:val="20"/>
                </w:rPr>
                <w:t>Determination of Offering Price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47</w:t>
            </w:r>
          </w:p>
        </w:tc>
      </w:tr>
      <w:tr>
        <w:trPr/>
        <w:tc>
          <w:tcPr>
            <w:tcW w:w="7295" w:type="dxa"/>
            <w:tcBorders/>
            <w:shd w:fill="FFFFFF" w:val="clear"/>
            <w:vAlign w:val="center"/>
          </w:tcPr>
          <w:p>
            <w:pPr>
              <w:pStyle w:val="TableContents"/>
              <w:bidi w:val="0"/>
              <w:spacing w:before="0" w:after="283"/>
              <w:jc w:val="left"/>
              <w:rPr/>
            </w:pPr>
            <w:hyperlink w:anchor="a_006">
              <w:r>
                <w:rPr>
                  <w:rStyle w:val="InternetLink"/>
                  <w:sz w:val="20"/>
                </w:rPr>
                <w:t>Market Information for Securities and 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47</w:t>
            </w:r>
          </w:p>
        </w:tc>
      </w:tr>
      <w:tr>
        <w:trPr/>
        <w:tc>
          <w:tcPr>
            <w:tcW w:w="7295" w:type="dxa"/>
            <w:tcBorders/>
            <w:shd w:fill="CCEEFF" w:val="clear"/>
            <w:vAlign w:val="center"/>
          </w:tcPr>
          <w:p>
            <w:pPr>
              <w:pStyle w:val="TableContents"/>
              <w:bidi w:val="0"/>
              <w:spacing w:before="0" w:after="283"/>
              <w:jc w:val="left"/>
              <w:rPr/>
            </w:pPr>
            <w:hyperlink w:anchor="a_007">
              <w:r>
                <w:rPr>
                  <w:rStyle w:val="InternetLink"/>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48</w:t>
            </w:r>
          </w:p>
        </w:tc>
      </w:tr>
      <w:tr>
        <w:trPr/>
        <w:tc>
          <w:tcPr>
            <w:tcW w:w="7295" w:type="dxa"/>
            <w:tcBorders/>
            <w:shd w:fill="FFFFFF" w:val="clear"/>
            <w:vAlign w:val="center"/>
          </w:tcPr>
          <w:p>
            <w:pPr>
              <w:pStyle w:val="TableContents"/>
              <w:bidi w:val="0"/>
              <w:spacing w:before="0" w:after="283"/>
              <w:jc w:val="left"/>
              <w:rPr/>
            </w:pPr>
            <w:hyperlink w:anchor="a_008">
              <w:r>
                <w:rPr>
                  <w:rStyle w:val="InternetLink"/>
                  <w:sz w:val="20"/>
                </w:rPr>
                <w:t>Business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67</w:t>
            </w:r>
          </w:p>
        </w:tc>
      </w:tr>
      <w:tr>
        <w:trPr/>
        <w:tc>
          <w:tcPr>
            <w:tcW w:w="7295" w:type="dxa"/>
            <w:tcBorders/>
            <w:shd w:fill="CCEEFF" w:val="clear"/>
            <w:vAlign w:val="center"/>
          </w:tcPr>
          <w:p>
            <w:pPr>
              <w:pStyle w:val="TableContents"/>
              <w:bidi w:val="0"/>
              <w:spacing w:before="0" w:after="283"/>
              <w:jc w:val="left"/>
              <w:rPr/>
            </w:pPr>
            <w:hyperlink w:anchor="a_009">
              <w:r>
                <w:rPr>
                  <w:rStyle w:val="InternetLink"/>
                  <w:sz w:val="20"/>
                </w:rPr>
                <w:t>Management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73</w:t>
            </w:r>
          </w:p>
        </w:tc>
      </w:tr>
      <w:tr>
        <w:trPr/>
        <w:tc>
          <w:tcPr>
            <w:tcW w:w="7295" w:type="dxa"/>
            <w:tcBorders/>
            <w:shd w:fill="FFFFFF" w:val="clear"/>
            <w:vAlign w:val="center"/>
          </w:tcPr>
          <w:p>
            <w:pPr>
              <w:pStyle w:val="TableContents"/>
              <w:bidi w:val="0"/>
              <w:spacing w:before="0" w:after="283"/>
              <w:jc w:val="left"/>
              <w:rPr/>
            </w:pPr>
            <w:hyperlink w:anchor="a_010">
              <w:r>
                <w:rPr>
                  <w:rStyle w:val="InternetLink"/>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79</w:t>
            </w:r>
          </w:p>
        </w:tc>
      </w:tr>
      <w:tr>
        <w:trPr/>
        <w:tc>
          <w:tcPr>
            <w:tcW w:w="7295" w:type="dxa"/>
            <w:tcBorders/>
            <w:shd w:fill="CCEEFF" w:val="clear"/>
            <w:vAlign w:val="center"/>
          </w:tcPr>
          <w:p>
            <w:pPr>
              <w:pStyle w:val="TableContents"/>
              <w:bidi w:val="0"/>
              <w:spacing w:before="0" w:after="283"/>
              <w:jc w:val="left"/>
              <w:rPr/>
            </w:pPr>
            <w:hyperlink w:anchor="a_011">
              <w:r>
                <w:rPr>
                  <w:rStyle w:val="InternetLink"/>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93</w:t>
            </w:r>
          </w:p>
        </w:tc>
      </w:tr>
      <w:tr>
        <w:trPr/>
        <w:tc>
          <w:tcPr>
            <w:tcW w:w="7295" w:type="dxa"/>
            <w:tcBorders/>
            <w:shd w:fill="FFFFFF" w:val="clear"/>
            <w:vAlign w:val="center"/>
          </w:tcPr>
          <w:p>
            <w:pPr>
              <w:pStyle w:val="TableContents"/>
              <w:bidi w:val="0"/>
              <w:spacing w:before="0" w:after="283"/>
              <w:jc w:val="left"/>
              <w:rPr/>
            </w:pPr>
            <w:hyperlink w:anchor="a_012">
              <w:r>
                <w:rPr>
                  <w:rStyle w:val="InternetLink"/>
                  <w:sz w:val="20"/>
                </w:rPr>
                <w:t>Principal Stockholders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98</w:t>
            </w:r>
          </w:p>
        </w:tc>
      </w:tr>
      <w:tr>
        <w:trPr/>
        <w:tc>
          <w:tcPr>
            <w:tcW w:w="7295" w:type="dxa"/>
            <w:tcBorders/>
            <w:shd w:fill="CCEEFF" w:val="clear"/>
            <w:vAlign w:val="center"/>
          </w:tcPr>
          <w:p>
            <w:pPr>
              <w:pStyle w:val="TableContents"/>
              <w:bidi w:val="0"/>
              <w:spacing w:before="0" w:after="283"/>
              <w:jc w:val="left"/>
              <w:rPr/>
            </w:pPr>
            <w:hyperlink w:anchor="a_013">
              <w:r>
                <w:rPr>
                  <w:rStyle w:val="InternetLink"/>
                  <w:sz w:val="20"/>
                </w:rPr>
                <w:t>Selling Securityholder</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101</w:t>
            </w:r>
          </w:p>
        </w:tc>
      </w:tr>
      <w:tr>
        <w:trPr/>
        <w:tc>
          <w:tcPr>
            <w:tcW w:w="7295" w:type="dxa"/>
            <w:tcBorders/>
            <w:shd w:fill="FFFFFF" w:val="clear"/>
            <w:vAlign w:val="center"/>
          </w:tcPr>
          <w:p>
            <w:pPr>
              <w:pStyle w:val="TableContents"/>
              <w:bidi w:val="0"/>
              <w:spacing w:before="0" w:after="283"/>
              <w:jc w:val="left"/>
              <w:rPr/>
            </w:pPr>
            <w:hyperlink w:anchor="a_014">
              <w:r>
                <w:rPr>
                  <w:rStyle w:val="InternetLink"/>
                  <w:sz w:val="20"/>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102</w:t>
            </w:r>
          </w:p>
        </w:tc>
      </w:tr>
      <w:tr>
        <w:trPr/>
        <w:tc>
          <w:tcPr>
            <w:tcW w:w="7295" w:type="dxa"/>
            <w:tcBorders/>
            <w:shd w:fill="CCEEFF" w:val="clear"/>
            <w:vAlign w:val="center"/>
          </w:tcPr>
          <w:p>
            <w:pPr>
              <w:pStyle w:val="TableContents"/>
              <w:bidi w:val="0"/>
              <w:spacing w:before="0" w:after="283"/>
              <w:jc w:val="left"/>
              <w:rPr/>
            </w:pPr>
            <w:hyperlink w:anchor="a_015">
              <w:r>
                <w:rPr>
                  <w:rStyle w:val="InternetLink"/>
                  <w:sz w:val="20"/>
                </w:rPr>
                <w:t>Material U.S. Federal Income Tax Consequences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110</w:t>
            </w:r>
          </w:p>
        </w:tc>
      </w:tr>
      <w:tr>
        <w:trPr/>
        <w:tc>
          <w:tcPr>
            <w:tcW w:w="7295" w:type="dxa"/>
            <w:tcBorders/>
            <w:shd w:fill="FFFFFF" w:val="clear"/>
            <w:vAlign w:val="center"/>
          </w:tcPr>
          <w:p>
            <w:pPr>
              <w:pStyle w:val="TableContents"/>
              <w:bidi w:val="0"/>
              <w:spacing w:before="0" w:after="283"/>
              <w:jc w:val="left"/>
              <w:rPr/>
            </w:pPr>
            <w:hyperlink w:anchor="a_016">
              <w:r>
                <w:rPr>
                  <w:rStyle w:val="InternetLink"/>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115</w:t>
            </w:r>
          </w:p>
        </w:tc>
      </w:tr>
      <w:tr>
        <w:trPr/>
        <w:tc>
          <w:tcPr>
            <w:tcW w:w="7295" w:type="dxa"/>
            <w:tcBorders/>
            <w:shd w:fill="CCEEFF" w:val="clear"/>
            <w:vAlign w:val="center"/>
          </w:tcPr>
          <w:p>
            <w:pPr>
              <w:pStyle w:val="TableContents"/>
              <w:bidi w:val="0"/>
              <w:spacing w:before="0" w:after="283"/>
              <w:jc w:val="left"/>
              <w:rPr/>
            </w:pPr>
            <w:hyperlink w:anchor="a_017">
              <w:r>
                <w:rPr>
                  <w:rStyle w:val="InternetLink"/>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117</w:t>
            </w:r>
          </w:p>
        </w:tc>
      </w:tr>
      <w:tr>
        <w:trPr/>
        <w:tc>
          <w:tcPr>
            <w:tcW w:w="7295" w:type="dxa"/>
            <w:tcBorders/>
            <w:shd w:fill="FFFFFF" w:val="clear"/>
            <w:vAlign w:val="center"/>
          </w:tcPr>
          <w:p>
            <w:pPr>
              <w:pStyle w:val="TableContents"/>
              <w:bidi w:val="0"/>
              <w:spacing w:before="0" w:after="283"/>
              <w:jc w:val="left"/>
              <w:rPr/>
            </w:pPr>
            <w:hyperlink w:anchor="a_018">
              <w:r>
                <w:rPr>
                  <w:rStyle w:val="InternetLink"/>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117</w:t>
            </w:r>
          </w:p>
        </w:tc>
      </w:tr>
      <w:tr>
        <w:trPr/>
        <w:tc>
          <w:tcPr>
            <w:tcW w:w="7295" w:type="dxa"/>
            <w:tcBorders/>
            <w:shd w:fill="CCEEFF" w:val="clear"/>
            <w:vAlign w:val="center"/>
          </w:tcPr>
          <w:p>
            <w:pPr>
              <w:pStyle w:val="TableContents"/>
              <w:bidi w:val="0"/>
              <w:spacing w:before="0" w:after="283"/>
              <w:jc w:val="left"/>
              <w:rPr/>
            </w:pPr>
            <w:hyperlink w:anchor="a_019">
              <w:r>
                <w:rPr>
                  <w:rStyle w:val="InternetLink"/>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117</w:t>
            </w:r>
          </w:p>
        </w:tc>
      </w:tr>
      <w:tr>
        <w:trPr/>
        <w:tc>
          <w:tcPr>
            <w:tcW w:w="7295" w:type="dxa"/>
            <w:tcBorders/>
            <w:shd w:fill="FFFFFF" w:val="clear"/>
            <w:vAlign w:val="center"/>
          </w:tcPr>
          <w:p>
            <w:pPr>
              <w:pStyle w:val="TableContents"/>
              <w:bidi w:val="0"/>
              <w:spacing w:before="0" w:after="283"/>
              <w:jc w:val="left"/>
              <w:rPr/>
            </w:pPr>
            <w:hyperlink w:anchor="a_020">
              <w:r>
                <w:rPr>
                  <w:rStyle w:val="InternetLink"/>
                  <w:sz w:val="20"/>
                </w:rPr>
                <w:t>Index to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 is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acquisitions of Sunder, Ambia, Cobalt and SunPower Businesses are collectively referred to herein as “Acquisitions”.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Revenue Model</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Technology Innovation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Differentiation and Operating Results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10.0% Notes Offering and Related Transactions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we closed our private offering (the “</w:t>
      </w:r>
      <w:r>
        <w:rPr>
          <w:rFonts w:ascii="Times New Roman;Times;Serif" w:hAnsi="Times New Roman;Times;Serif"/>
          <w:b/>
          <w:i w:val="false"/>
          <w:caps w:val="false"/>
          <w:smallCaps w:val="false"/>
          <w:sz w:val="20"/>
          <w:bdr w:val="single" w:sz="12" w:space="1" w:color="000000"/>
        </w:rPr>
        <w:t>Offering</w:t>
      </w:r>
      <w:r>
        <w:rPr>
          <w:rFonts w:ascii="Times New Roman;Times;Serif" w:hAnsi="Times New Roman;Times;Serif"/>
          <w:b w:val="false"/>
          <w:i w:val="false"/>
          <w:caps w:val="false"/>
          <w:smallCaps w:val="false"/>
          <w:sz w:val="20"/>
          <w:bdr w:val="single" w:sz="12" w:space="1" w:color="000000"/>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1" w:color="000000"/>
        </w:rPr>
        <w:t>CPP</w:t>
      </w:r>
      <w:r>
        <w:rPr>
          <w:rFonts w:ascii="Times New Roman;Times;Serif" w:hAnsi="Times New Roman;Times;Serif"/>
          <w:b w:val="false"/>
          <w:i w:val="false"/>
          <w:caps w:val="false"/>
          <w:smallCaps w:val="false"/>
          <w:sz w:val="20"/>
          <w:bdr w:val="single" w:sz="12" w:space="1"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On May 20, 2026, the Company issued and sold a further $5,000,000 aggregate principal amount of 10.0% Notes in a private offering to an additional purchaser.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21, 2026, in connection with the Offering, the Company and Yorkville entered into a letter agreement (the “</w:t>
      </w:r>
      <w:r>
        <w:rPr>
          <w:rFonts w:ascii="Times New Roman;Times;Serif" w:hAnsi="Times New Roman;Times;Serif"/>
          <w:b/>
          <w:i w:val="false"/>
          <w:caps w:val="false"/>
          <w:smallCaps w:val="false"/>
          <w:sz w:val="20"/>
          <w:bdr w:val="single" w:sz="12" w:space="1" w:color="000000"/>
        </w:rPr>
        <w:t>YA Letter</w:t>
      </w:r>
      <w:r>
        <w:rPr>
          <w:rFonts w:ascii="Times New Roman;Times;Serif" w:hAnsi="Times New Roman;Times;Serif"/>
          <w:b w:val="false"/>
          <w:i w:val="false"/>
          <w:caps w:val="false"/>
          <w:smallCaps w:val="false"/>
          <w:sz w:val="20"/>
          <w:bdr w:val="single" w:sz="12" w:space="1"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1" w:color="000000"/>
        </w:rPr>
        <w:t>Trustee</w:t>
      </w:r>
      <w:r>
        <w:rPr>
          <w:rFonts w:ascii="Times New Roman;Times;Serif" w:hAnsi="Times New Roman;Times;Serif"/>
          <w:b w:val="false"/>
          <w:i w:val="false"/>
          <w:caps w:val="false"/>
          <w:smallCaps w:val="false"/>
          <w:sz w:val="20"/>
          <w:bdr w:val="single" w:sz="12" w:space="1" w:color="000000"/>
        </w:rPr>
        <w:t>”) and as collateral agent (in such capacity, the “</w:t>
      </w:r>
      <w:r>
        <w:rPr>
          <w:rFonts w:ascii="Times New Roman;Times;Serif" w:hAnsi="Times New Roman;Times;Serif"/>
          <w:b/>
          <w:i w:val="false"/>
          <w:caps w:val="false"/>
          <w:smallCaps w:val="false"/>
          <w:sz w:val="20"/>
          <w:bdr w:val="single" w:sz="12" w:space="1" w:color="000000"/>
        </w:rPr>
        <w:t>Collateral Agent</w:t>
      </w:r>
      <w:r>
        <w:rPr>
          <w:rFonts w:ascii="Times New Roman;Times;Serif" w:hAnsi="Times New Roman;Times;Serif"/>
          <w:b w:val="false"/>
          <w:i w:val="false"/>
          <w:caps w:val="false"/>
          <w:smallCaps w:val="false"/>
          <w:sz w:val="20"/>
          <w:bdr w:val="single" w:sz="12" w:space="1"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1" w:color="000000"/>
        </w:rPr>
        <w:t>Security Agreement</w:t>
      </w:r>
      <w:r>
        <w:rPr>
          <w:rFonts w:ascii="Times New Roman;Times;Serif" w:hAnsi="Times New Roman;Times;Serif"/>
          <w:b w:val="false"/>
          <w:i w:val="false"/>
          <w:caps w:val="false"/>
          <w:smallCaps w:val="false"/>
          <w:sz w:val="20"/>
          <w:bdr w:val="single" w:sz="12" w:space="1"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1" w:color="000000"/>
        </w:rPr>
        <w:t>Patent Security Agreement</w:t>
      </w:r>
      <w:r>
        <w:rPr>
          <w:rFonts w:ascii="Times New Roman;Times;Serif" w:hAnsi="Times New Roman;Times;Serif"/>
          <w:b w:val="false"/>
          <w:i w:val="false"/>
          <w:caps w:val="false"/>
          <w:smallCaps w:val="false"/>
          <w:sz w:val="20"/>
          <w:bdr w:val="single" w:sz="12" w:space="1" w:color="000000"/>
        </w:rPr>
        <w:t>”) and Trademark Security Agreement (the “</w:t>
      </w:r>
      <w:r>
        <w:rPr>
          <w:rFonts w:ascii="Times New Roman;Times;Serif" w:hAnsi="Times New Roman;Times;Serif"/>
          <w:b/>
          <w:i w:val="false"/>
          <w:caps w:val="false"/>
          <w:smallCaps w:val="false"/>
          <w:sz w:val="20"/>
          <w:bdr w:val="single" w:sz="12" w:space="1" w:color="000000"/>
        </w:rPr>
        <w:t>Trademark Security Agreement</w:t>
      </w:r>
      <w:r>
        <w:rPr>
          <w:rFonts w:ascii="Times New Roman;Times;Serif" w:hAnsi="Times New Roman;Times;Serif"/>
          <w:b w:val="false"/>
          <w:i w:val="false"/>
          <w:caps w:val="false"/>
          <w:smallCaps w:val="false"/>
          <w:sz w:val="20"/>
          <w:bdr w:val="single" w:sz="12" w:space="1"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1" w:color="000000"/>
        </w:rPr>
        <w:t>CPP Note Purchase Agreement</w:t>
      </w:r>
      <w:r>
        <w:rPr>
          <w:rFonts w:ascii="Times New Roman;Times;Serif" w:hAnsi="Times New Roman;Times;Serif"/>
          <w:b w:val="false"/>
          <w:i w:val="false"/>
          <w:caps w:val="false"/>
          <w:smallCaps w:val="false"/>
          <w:sz w:val="20"/>
          <w:bdr w:val="single" w:sz="12" w:space="1"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1" w:color="000000"/>
        </w:rPr>
        <w:t>A&amp;R Seller Note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1" w:color="000000"/>
        </w:rPr>
        <w:t>Exchange Agreements</w:t>
      </w:r>
      <w:r>
        <w:rPr>
          <w:rFonts w:ascii="Times New Roman;Times;Serif" w:hAnsi="Times New Roman;Times;Serif"/>
          <w:b w:val="false"/>
          <w:i w:val="false"/>
          <w:caps w:val="false"/>
          <w:smallCaps w:val="false"/>
          <w:sz w:val="20"/>
          <w:bdr w:val="single" w:sz="12" w:space="1" w:color="000000"/>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Cost Control Measures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Wendell Laidley Resignation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Bernard Gutmann as Director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8, 2026, the Board of Directors of the Company appointed Bernard Gutmann to serve as a director of the Company and as a member of the Audit Committee.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White Lion Transaction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2024, we entered into the original White Lion Purchase Agreement with White Lion, which we and White Lion amended on July 24, 2024, August 14, 2024, and January 11, 2026. We also entered into a Registration Rights Agreement with White Lion on July 16, 2024 (the “</w:t>
      </w:r>
      <w:r>
        <w:rPr>
          <w:rFonts w:ascii="Times New Roman;Times;Serif" w:hAnsi="Times New Roman;Times;Serif"/>
          <w:b/>
          <w:i w:val="false"/>
          <w:caps w:val="false"/>
          <w:smallCaps w:val="false"/>
          <w:sz w:val="20"/>
          <w:bdr w:val="single" w:sz="12" w:space="1" w:color="000000"/>
        </w:rPr>
        <w:t>RRA</w:t>
      </w:r>
      <w:r>
        <w:rPr>
          <w:rFonts w:ascii="Times New Roman;Times;Serif" w:hAnsi="Times New Roman;Times;Serif"/>
          <w:b w:val="false"/>
          <w:i w:val="false"/>
          <w:caps w:val="false"/>
          <w:smallCaps w:val="false"/>
          <w:sz w:val="20"/>
          <w:bdr w:val="single" w:sz="12" w:space="1" w:color="000000"/>
        </w:rPr>
        <w:t>”). Pursuant to the White Lion Purchase Agreement, as amended, the Company has the right, but not the obligation, to require White Lion to purchase, from time to time, up to $55.0 million in aggregate gross purchase price of newly issued shares of our common stock, subject to certain limitations and conditions set forth in the White Lion Purchase Agreement. Subject to the satisfaction of certain customary conditions, the Company’s right to sell shares to White Lion commenced on the date of the execution of White Lion Purchase Agreement and extends until the earlier of (i) White Lion having purchased shares of common stock equal to $55.0 million and (ii) December 31, 2027 (the “</w:t>
      </w:r>
      <w:r>
        <w:rPr>
          <w:rFonts w:ascii="Times New Roman;Times;Serif" w:hAnsi="Times New Roman;Times;Serif"/>
          <w:b/>
          <w:i w:val="false"/>
          <w:caps w:val="false"/>
          <w:smallCaps w:val="false"/>
          <w:sz w:val="20"/>
          <w:bdr w:val="single" w:sz="12" w:space="1" w:color="000000"/>
        </w:rPr>
        <w:t>White Lion Commitment Period</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White Lion Commitment Period, subject to the terms and conditions of the White Lion Purchase Agreement, the Company may notify White Lion when the Company exercises its right to sell shares of its common stock. The Company may deliver a Fixed Purchase Notice (as such term is defined in the White Lion Purchase Agreement), where the Company can require White Lion to purchase up to a number of shares of common stock equal to the lesser of (i) $150,000 or (ii) 100% of Average Daily Trading Volume (as such term is defined in the White Lion Purchase Agreement). The Company may also deliver a Rapid Purchase Notice (as such term is defined in the White Lion Purchase Agreement), where the Company may require White Lion to purchase up to a number of shares of common stock equal to the lesser of (i) 100% of the Average Daily Trading Volume and (ii) $2,000,000 divided by the highest closing price of the common stock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price to be paid by White Lion for any shares that the Company requires White Lion to purchase will depend on the type of purchase notice that the Company delivers. For shares being issued pursuant to Fixed Purchase Notice, the purchase price per share will be equal to 90% of the lowest VWAP (as defined in the White Lion Purchase Agreement) of the common stock that occurs during the five consecutive business days prior to the purchase notice. For shares being issued pursuant to a Rapid Purchase Notice, the purchase price per share will be equal to the average of the three lowest traded prices on the date that the notice is delivered.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pursuant to Amendment No. 2, the Company may notify White Lion to exercise the Company’s right to sell shares of its common stock by delivering an Hour Rapid Purchase Notice (as defined in the White Lion Purchase Agreement).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our common stock during the one-hour period following White Lion’s consent to the acceptance of the applicable Hour Rapid Purchase Notice.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Amendment No. 3, we have the option to submit three hour rapid purchase notices to White Lion that, if accepted by White Lion and otherwise delivered in accordance with the White Lion Purchase Agreement,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No purchase notice shall result in White Lion beneficially owning (as calculated pursuant to Section 13(d) of the Exchange Act and Rule 13d-3 thereunder) more than 9.99% of the number of shares of the common stock outstanding immediately prior to the issuance of shares of common stock issuable pursuant to a purchase notice.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may deliver purchase notices under the White Lion Purchase Agreement, subject to market conditions, and in light of our capital needs, from time to time and under the limitations contained in the White Lion Purchase Agreement. Any proceeds that the Company receives under the White Lion Purchase Agreement are expected to be used for working capital and general corporate purposes, as further summarized in “Use of Proceeds”.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and White Lion will have the right to terminate the White Lion Purchase Agreement in the event of a material breach by the other party and notice being sent by the non-breaching party to the breaching party. The White Lion Purchase Agreement also automatically terminates upon the earlier of (i) the end of the White Lion Commitment Period, (ii) the date that the Company commences a voluntary bankruptcy proceeding, a custodian is appointed for the Company or for all or substantially all of its property or the Company makes a general assignment for the benefit of its creditors, and (iii) immediately upon the delisting of the common stock from The Nasdaq Global Market.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consideration for the commitments of White Lion, as described above, the Company issued 348,837 shares of common stock (the “</w:t>
      </w:r>
      <w:r>
        <w:rPr>
          <w:rFonts w:ascii="Times New Roman;Times;Serif" w:hAnsi="Times New Roman;Times;Serif"/>
          <w:b/>
          <w:i w:val="false"/>
          <w:caps w:val="false"/>
          <w:smallCaps w:val="false"/>
          <w:sz w:val="20"/>
          <w:bdr w:val="single" w:sz="12" w:space="1" w:color="000000"/>
        </w:rPr>
        <w:t>Commitment Shares</w:t>
      </w:r>
      <w:r>
        <w:rPr>
          <w:rFonts w:ascii="Times New Roman;Times;Serif" w:hAnsi="Times New Roman;Times;Serif"/>
          <w:b w:val="false"/>
          <w:i w:val="false"/>
          <w:caps w:val="false"/>
          <w:smallCaps w:val="false"/>
          <w:sz w:val="20"/>
          <w:bdr w:val="single" w:sz="12" w:space="1" w:color="000000"/>
        </w:rPr>
        <w:t>”) to White Lion. The Commitment Shares were fully earned by White Lion at the time of issuance.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Concurrently with the White Lion Purchase Agreement, the Company entered into the RRA with White Lion. 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May 15, 2026, the Company has issued a total of 11,140,000 shares of common stock under the White Lion Purchase Agreement for aggregate gross proceeds of approximately $20.4 million.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Other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bear all costs, expenses and fees in connection with the registration of Offered Securities. The Selling Securityholder will bear all commissions and discounts, if any, attributable to its sales of Offered Securities. We are registering certain shares of our common stock for sale by the Selling Securityholder pursuant to the RRA with the Selling Securityholder. See the section of this prospectus entitled “</w:t>
      </w:r>
      <w:r>
        <w:rPr>
          <w:rFonts w:ascii="Times New Roman;Times;Serif" w:hAnsi="Times New Roman;Times;Serif"/>
          <w:b w:val="false"/>
          <w:i/>
          <w:caps w:val="false"/>
          <w:smallCaps w:val="false"/>
          <w:sz w:val="20"/>
          <w:bdr w:val="single" w:sz="12" w:space="1" w:color="000000"/>
        </w:rPr>
        <w:t>Selling Securityholder</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White Lion is an “underwriter” with respect to the Offered Securities within the meaning of Section 2(a)(11)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and any profits on the sales of the Offered Securities by White Lion and any discounts, commissions, or concessions received by White Lion with respect to the Offered Securities are deemed to be underwriting discounts and commissions under the Securities Act.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White Lion may offer and sell the Offered Securities owned by it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1" w:color="000000"/>
        </w:rPr>
        <w:t>About this Prospectus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Potential Dilution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May 15, 2026, there were 145,819,663 shares of our common stock outstanding of which approximately 108.9 million shares were held by non-affiliates of our company. If all of the 48,521,163 shares offered for resale by the Selling Securityholder under this prospectus were issued and outstanding as of the date hereof, such shares would represent approximately 25.0% of the total number of outstanding shares of common stock and approximately 30.8% of the total number of outstanding shares of common stock held by non-affiliates of our company, in each case as of May 15, 2026.</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Raising additional funds may cause dilution to existing stockholders and/or may restrict our operations or require us to relinquish proprietary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sz w:val="20"/>
              </w:rPr>
            </w:pPr>
            <w:r>
              <w:rPr>
                <w:sz w:val="20"/>
              </w:rPr>
              <w:t>We face risks related to the restatement of our previously issued quarterly financial statements.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failure to prepare and timely file our periodic reports with the SEC limits our access to the public markets to raise debt or equity capital.</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have incurred losses and may be unable to achieve or sustain profitability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face competition from both traditional energy companies and renewable energy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growth strategy depends on the widespread adoption of solar power technology.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are exposed to the credit risk of customers and our finance partners, and payment delinquencies on accounts receivables.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unauthorized access to or disclosure or theft of personal information we gather, store or use could harm our reputation and subject us to claims or litigation.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Senior Secured Notes are secured obligations, and there are risks associated with our 10.0% Senior Secured Notes that could adversely affect our business and financial condition.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The conversion features of the Convertible Senior Notes and Yorkville Notes may adversely affect our financial condition and operating results.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sz w:val="20"/>
              </w:rPr>
            </w:pPr>
            <w:r>
              <w:rPr>
                <w:sz w:val="20"/>
              </w:rPr>
              <w:t>The issuance of common stock to the Selling Securityholder may cause substantial dilution to our existing shareholders, and the sale of such shares acquired by the Selling Securityholder could cause the price of our common stock to decline.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Future sales (including potential sales of securities to White Lion  pursuant to the White Lion Purchase Agreement), or the perception of future sales, by us or our stockholders in the public market could cause the market price for the common stock to decline.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93"/>
        <w:gridCol w:w="60"/>
        <w:gridCol w:w="8652"/>
      </w:tblGrid>
      <w:tr>
        <w:trPr/>
        <w:tc>
          <w:tcPr>
            <w:tcW w:w="1493" w:type="dxa"/>
            <w:tcBorders/>
            <w:vAlign w:val="center"/>
          </w:tcPr>
          <w:p>
            <w:pPr>
              <w:pStyle w:val="TableContents"/>
              <w:bidi w:val="0"/>
              <w:spacing w:before="0" w:after="283"/>
              <w:ind w:left="0" w:right="0" w:hanging="180"/>
              <w:jc w:val="left"/>
              <w:rPr>
                <w:sz w:val="20"/>
              </w:rPr>
            </w:pPr>
            <w:r>
              <w:rPr>
                <w:sz w:val="20"/>
              </w:rPr>
              <w:t>Securities offered by the Selling Securityholder</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48,521,163 shares of our common stock (which is in addition to the 6,928,837 shares of our common stock previously offered and sold by the Selling Securityholder).</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 </w:t>
            </w:r>
          </w:p>
        </w:tc>
      </w:tr>
      <w:tr>
        <w:trPr/>
        <w:tc>
          <w:tcPr>
            <w:tcW w:w="1493" w:type="dxa"/>
            <w:tcBorders/>
            <w:vAlign w:val="center"/>
          </w:tcPr>
          <w:p>
            <w:pPr>
              <w:pStyle w:val="TableContents"/>
              <w:bidi w:val="0"/>
              <w:spacing w:before="0" w:after="283"/>
              <w:jc w:val="left"/>
              <w:rPr>
                <w:sz w:val="20"/>
              </w:rPr>
            </w:pPr>
            <w:r>
              <w:rPr>
                <w:sz w:val="20"/>
              </w:rPr>
              <w:t>Shares of common stock outstanding prior to this offering</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sz w:val="20"/>
              </w:rPr>
            </w:pPr>
            <w:r>
              <w:rPr>
                <w:sz w:val="20"/>
              </w:rPr>
              <w:t>145,819,663 (as of May 15, 2026).</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pPr>
            <w:r>
              <w:rPr/>
              <w:t> </w:t>
            </w:r>
          </w:p>
        </w:tc>
      </w:tr>
      <w:tr>
        <w:trPr/>
        <w:tc>
          <w:tcPr>
            <w:tcW w:w="1493" w:type="dxa"/>
            <w:tcBorders/>
            <w:vAlign w:val="center"/>
          </w:tcPr>
          <w:p>
            <w:pPr>
              <w:pStyle w:val="TableContents"/>
              <w:bidi w:val="0"/>
              <w:spacing w:before="0" w:after="283"/>
              <w:jc w:val="left"/>
              <w:rPr>
                <w:sz w:val="20"/>
              </w:rPr>
            </w:pPr>
            <w:r>
              <w:rPr>
                <w:sz w:val="20"/>
              </w:rPr>
              <w:t>Shares of common stock outstanding after this offering</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ind w:left="0" w:right="0" w:hanging="180"/>
              <w:jc w:val="both"/>
              <w:rPr>
                <w:sz w:val="20"/>
              </w:rPr>
            </w:pPr>
            <w:r>
              <w:rPr>
                <w:sz w:val="20"/>
              </w:rPr>
              <w:t>194,340,826 (based on the total shares outstanding as of May 15, 2026).</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left"/>
              <w:rPr>
                <w:sz w:val="20"/>
              </w:rPr>
            </w:pPr>
            <w:r>
              <w:rPr>
                <w:sz w:val="20"/>
              </w:rPr>
              <w:t>Terms of the offering</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sz w:val="20"/>
              </w:rPr>
            </w:pPr>
            <w:r>
              <w:rPr>
                <w:sz w:val="20"/>
              </w:rPr>
              <w:t>The Selling Securityholder will determine when and how it will dispose of the shares of common stock registered for resale under this prospectus.</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left"/>
              <w:rPr>
                <w:sz w:val="20"/>
              </w:rPr>
            </w:pPr>
            <w:r>
              <w:rPr>
                <w:sz w:val="20"/>
              </w:rPr>
              <w:t>Use of proceeds</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resale of the shares of common stock by the Selling Securityholder. However, we may receive up to an additional $48,521,163 in gross proceeds under the White Lion Purchase Agreement (assuming the shares to be issued are sold at a price of $1.00 per share) from sales of common stock that we may elect to make to the Selling Securityholder pursuant to the White Lion Purchase Agreement, if any, from time to time in our sole discretion, during the White Lion Commitment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Selling Securityholder that we receive under the White Lion Purchase Agreement, if any, are currently expected to be used for general corporate purposes, including working capital. Accordingly, we retain broad discretion over the use of the net proceeds from the sale of our common stock under the White Lion Purchase Agreement. The precise amount and timing of the application of such proceeds will depend upon our liquidity needs and the availability and cost of other capital over which we have little or no control. As of the date hereof, we cannot specify with certainty the particular uses for the net proceeds from the sales of shares of common stock, if any to White Lion under the White Lion Purchase Agreement.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left"/>
              <w:rPr>
                <w:sz w:val="20"/>
              </w:rPr>
            </w:pPr>
            <w:r>
              <w:rPr>
                <w:sz w:val="20"/>
              </w:rPr>
              <w:t>Risk factors</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sz w:val="20"/>
              </w:rPr>
            </w:pPr>
            <w:r>
              <w:rPr>
                <w:sz w:val="20"/>
              </w:rPr>
              <w:t>Before investing in our securities, you should carefully read and consider the information set forth in “</w:t>
            </w:r>
            <w:r>
              <w:rPr>
                <w:i/>
                <w:sz w:val="20"/>
              </w:rPr>
              <w:t>Risk Factors</w:t>
            </w:r>
            <w:r>
              <w:rPr>
                <w:sz w:val="20"/>
              </w:rPr>
              <w:t>” beginning on page 10.</w:t>
            </w:r>
          </w:p>
        </w:tc>
      </w:tr>
      <w:tr>
        <w:trPr/>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left"/>
              <w:rPr>
                <w:sz w:val="20"/>
              </w:rPr>
            </w:pPr>
            <w:r>
              <w:rPr>
                <w:sz w:val="20"/>
              </w:rPr>
              <w:t>Nasdaq ticker symbols</w:t>
            </w:r>
          </w:p>
        </w:tc>
        <w:tc>
          <w:tcPr>
            <w:tcW w:w="60" w:type="dxa"/>
            <w:tcBorders/>
            <w:vAlign w:val="center"/>
          </w:tcPr>
          <w:p>
            <w:pPr>
              <w:pStyle w:val="TableContents"/>
              <w:bidi w:val="0"/>
              <w:spacing w:before="0" w:after="283"/>
              <w:jc w:val="left"/>
              <w:rPr/>
            </w:pPr>
            <w:r>
              <w:rPr/>
              <w:t> </w:t>
            </w:r>
          </w:p>
        </w:tc>
        <w:tc>
          <w:tcPr>
            <w:tcW w:w="8652" w:type="dxa"/>
            <w:tcBorders/>
            <w:vAlign w:val="center"/>
          </w:tcPr>
          <w:p>
            <w:pPr>
              <w:pStyle w:val="TableContents"/>
              <w:bidi w:val="0"/>
              <w:spacing w:before="0" w:after="283"/>
              <w:jc w:val="both"/>
              <w:rPr/>
            </w:pPr>
            <w:r>
              <w:rPr/>
              <w:t>“</w:t>
            </w:r>
            <w:r>
              <w:rPr>
                <w:sz w:val="20"/>
              </w:rPr>
              <w:t>SPWR” and “SPWRW”</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beginning on page 115.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the restatement of our previously issued quarterly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timeframes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 were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not being required to comply with the auditor attestation requirements of Section 404 of the Sarbanes-Oxley Act of 2002, as amended (the “</w:t>
            </w:r>
            <w:r>
              <w:rPr>
                <w:b/>
                <w:sz w:val="20"/>
              </w:rPr>
              <w:t>Sarbanes-Oxley Act</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not being required to comply with any requirement that may be adopted by the Public Company Accounting Oversight Board (the “</w:t>
            </w:r>
            <w:r>
              <w:rPr>
                <w:b/>
                <w:sz w:val="20"/>
              </w:rPr>
              <w:t>PCAOB</w:t>
            </w:r>
            <w:r>
              <w:rPr>
                <w:sz w:val="20"/>
              </w:rPr>
              <w:t>”) regarding mandatory audit firm rotation or a supplement to the auditor’s report providing additional information about the audit and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sz w:val="20"/>
              </w:rPr>
            </w:pPr>
            <w:r>
              <w:rPr>
                <w:sz w:val="20"/>
              </w:rPr>
              <w:t>reduced disclosure obligations regarding executive compensation in our periodic reports and proxy statements;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increased price competition for our products that may adversely affect revenue, gross margin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sz w:val="20"/>
              </w:rPr>
            </w:pPr>
            <w:r>
              <w:rPr>
                <w:sz w:val="20"/>
              </w:rPr>
              <w:t>the introduction of any disadvantageous trade regulations and import duties and tariffs;</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decreased ability to forecast operating results and make decisions about budgeting, planning and future investments;</w:t>
            </w:r>
          </w:p>
        </w:tc>
      </w:tr>
    </w:tbl>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decrease in the popularity of solar energy as a green energy 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sz w:val="20"/>
              </w:rPr>
            </w:pPr>
            <w:r>
              <w:rPr>
                <w:sz w:val="20"/>
              </w:rPr>
              <w:t>Growing the customer base;</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Maintaining or further lowering the cost of capital;</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sz w:val="20"/>
              </w:rPr>
            </w:pPr>
            <w:r>
              <w:rPr>
                <w:sz w:val="20"/>
              </w:rPr>
              <w:t>Reducing the cost of components for our solar service offerings;</w:t>
            </w:r>
          </w:p>
        </w:tc>
      </w:tr>
    </w:tbl>
    <w:p>
      <w:pPr>
        <w:pStyle w:val="TextBody"/>
        <w:bidi w:val="0"/>
        <w:spacing w:before="0" w:after="0"/>
        <w:ind w:left="0" w:right="0" w:hanging="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sz w:val="20"/>
              </w:rPr>
            </w:pPr>
            <w:r>
              <w:rPr>
                <w:sz w:val="20"/>
              </w:rPr>
              <w:t>Growing and maintaining our sales partner network;</w:t>
            </w:r>
          </w:p>
        </w:tc>
      </w:tr>
    </w:tbl>
    <w:p>
      <w:pPr>
        <w:pStyle w:val="TextBody"/>
        <w:bidi w:val="0"/>
        <w:spacing w:before="0" w:after="0"/>
        <w:ind w:left="0" w:right="0" w:hanging="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sz w:val="20"/>
              </w:rPr>
            </w:pPr>
            <w:r>
              <w:rPr>
                <w:sz w:val="20"/>
              </w:rPr>
              <w:t>Growing our direct-to-consumer and New Homes business to scale;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construction of a significant number of new power generation plants, including nuclear, coal, natural gas or renewable energy technologies;</w:t>
            </w:r>
          </w:p>
        </w:tc>
      </w:tr>
    </w:tbl>
    <w:p>
      <w:pPr>
        <w:pStyle w:val="TextBody"/>
        <w:bidi w:val="0"/>
        <w:spacing w:before="0" w:after="0"/>
        <w:ind w:left="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the construction of additional electric transmission and distribution 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ind w:left="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energy conservation technologies and public initiatives to reduce electricity consumption;</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subsidies impacting electricity prices, including in connection with electricity generation and transmission; and</w:t>
            </w:r>
          </w:p>
        </w:tc>
      </w:tr>
    </w:tbl>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sz w:val="20"/>
              </w:rPr>
            </w:pPr>
            <w:r>
              <w:rPr>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performance, reliability and availability of energy generated by solar energy systems compared to conventional and other non-solar renewable energy 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sz w:val="20"/>
              </w:rPr>
            </w:pPr>
            <w:r>
              <w:rPr>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difficulty in assimilating the operations and personnel of the acquired company;</w:t>
            </w:r>
          </w:p>
        </w:tc>
      </w:tr>
    </w:tbl>
    <w:p>
      <w:pPr>
        <w:pStyle w:val="TextBody"/>
        <w:bidi w:val="0"/>
        <w:spacing w:before="0" w:after="0"/>
        <w:ind w:left="0" w:right="0" w:hanging="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difficulty in effectively integrating the acquired technologies or products with current products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sz w:val="20"/>
              </w:rPr>
            </w:pPr>
            <w:r>
              <w:rPr>
                <w:sz w:val="20"/>
              </w:rPr>
              <w:t>difficulty in maintaining controls, procedures and policies during the transition and integration;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disruption of ongoing business and distraction of management and employees from other opportunities and challenges due to integration issues;</w:t>
            </w:r>
          </w:p>
        </w:tc>
      </w:tr>
    </w:tbl>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sz w:val="20"/>
              </w:rPr>
            </w:pPr>
            <w:r>
              <w:rPr>
                <w:sz w:val="20"/>
              </w:rPr>
              <w:t>difficulty integrating the acquired company’s accounting, management information and other administrative systems;</w:t>
            </w:r>
          </w:p>
        </w:tc>
      </w:tr>
    </w:tbl>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sz w:val="20"/>
              </w:rPr>
            </w:pPr>
            <w:r>
              <w:rPr>
                <w:sz w:val="20"/>
              </w:rPr>
              <w:t>inability to retain key technical and managerial personnel of the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sz w:val="20"/>
              </w:rPr>
            </w:pPr>
            <w:r>
              <w:rPr>
                <w:sz w:val="20"/>
              </w:rPr>
              <w:t>inability to retain key customers, vendors, and other business partners of the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sz w:val="20"/>
              </w:rPr>
            </w:pPr>
            <w:r>
              <w:rPr>
                <w:sz w:val="20"/>
              </w:rPr>
              <w:t>inability to achieve the financial and strategic goals for the acquired and combined businesses;</w:t>
            </w:r>
          </w:p>
        </w:tc>
      </w:tr>
    </w:tbl>
    <w:p>
      <w:pPr>
        <w:pStyle w:val="TextBody"/>
        <w:bidi w:val="0"/>
        <w:spacing w:before="0" w:after="0"/>
        <w:ind w:left="0" w:right="0" w:hanging="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sz w:val="20"/>
              </w:rPr>
            </w:pPr>
            <w:r>
              <w:rPr>
                <w:sz w:val="20"/>
              </w:rPr>
              <w:t>incurring acquisition-related costs or amortization costs for acquired intangible assets that could impact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failure of due diligence processes to identify significant issues with product quality, legal and financial liabilities,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sz w:val="20"/>
              </w:rPr>
            </w:pPr>
            <w:r>
              <w:rPr>
                <w:sz w:val="20"/>
              </w:rPr>
              <w:t>inability to assert that internal controls over financial reporting are effective;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inability to obtain, or obtain in a timely manner, approvals from governmental authorities, which could delay or prevent such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inability to rebuild trust with home builders due to the bankruptcy of the SunPower Debtors.</w:t>
            </w:r>
          </w:p>
        </w:tc>
      </w:tr>
    </w:tbl>
    <w:p>
      <w:pPr>
        <w:pStyle w:val="TextBody"/>
        <w:bidi w:val="0"/>
        <w:spacing w:before="0" w:after="0"/>
        <w:ind w:left="0" w:right="0" w:hanging="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sz w:val="20"/>
              </w:rPr>
            </w:pPr>
            <w:r>
              <w:rPr>
                <w:sz w:val="20"/>
              </w:rPr>
              <w:t>inability to obtain advantageous financing arrangements with financiers in order to pass the saving on to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expiration or initiation of any governmental rebates or incentives;</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sz w:val="20"/>
              </w:rPr>
            </w:pPr>
            <w:r>
              <w:rPr>
                <w:sz w:val="20"/>
              </w:rPr>
              <w:t>significant fluctuations in customer demand for our solar energy services, solar energy systems and energy storage systems;</w:t>
            </w:r>
          </w:p>
        </w:tc>
      </w:tr>
    </w:tbl>
    <w:p>
      <w:pPr>
        <w:pStyle w:val="TextBody"/>
        <w:bidi w:val="0"/>
        <w:spacing w:before="0" w:after="0"/>
        <w:ind w:left="0" w:right="0" w:hanging="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sz w:val="20"/>
              </w:rPr>
            </w:pPr>
            <w:r>
              <w:rPr>
                <w:sz w:val="20"/>
              </w:rPr>
              <w:t>our dealers’ ability to complete installations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and our dealers’ ability to gain interconnection permission for an installed solar energy system from the relevant utility;</w:t>
            </w:r>
          </w:p>
        </w:tc>
      </w:tr>
    </w:tbl>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sz w:val="20"/>
              </w:rPr>
            </w:pPr>
            <w:r>
              <w:rPr>
                <w:sz w:val="20"/>
              </w:rPr>
              <w:t>the availability, terms and costs of suitable financing;</w:t>
            </w:r>
          </w:p>
        </w:tc>
      </w:tr>
    </w:tbl>
    <w:p>
      <w:pPr>
        <w:pStyle w:val="TextBody"/>
        <w:bidi w:val="0"/>
        <w:spacing w:before="0" w:after="0"/>
        <w:ind w:left="0" w:right="0" w:hanging="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the amount, timing of sales and potential decreases in value of Solar Renewable Energy Certificates;</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our ability to continue to expand its operations and the amount and timing of expenditures related to this expansion;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announcements by us or our competitors of significant acquisitions, strategic partnerships, joint ventures or capital-raising activities or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sz w:val="20"/>
              </w:rPr>
            </w:pPr>
            <w:r>
              <w:rPr>
                <w:sz w:val="20"/>
              </w:rPr>
              <w:t>changes in our pricing policies or terms or those of competitors, including centralized electric utilities;</w:t>
            </w:r>
          </w:p>
        </w:tc>
      </w:tr>
    </w:tbl>
    <w:p>
      <w:pPr>
        <w:pStyle w:val="TextBody"/>
        <w:bidi w:val="0"/>
        <w:spacing w:before="0" w:after="0"/>
        <w:ind w:left="0" w:right="0" w:hanging="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sz w:val="20"/>
              </w:rPr>
            </w:pPr>
            <w:r>
              <w:rPr>
                <w:sz w:val="20"/>
              </w:rPr>
              <w:t>actual or anticipated developments in competitors’ businesses, technology or the competitive landscape; and</w:t>
            </w:r>
          </w:p>
        </w:tc>
      </w:tr>
    </w:tbl>
    <w:p>
      <w:pPr>
        <w:pStyle w:val="TextBody"/>
        <w:bidi w:val="0"/>
        <w:spacing w:before="0" w:after="0"/>
        <w:ind w:left="0" w:right="0" w:hanging="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sz w:val="20"/>
              </w:rPr>
            </w:pPr>
            <w:r>
              <w:rPr>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sz w:val="20"/>
              </w:rPr>
            </w:pPr>
            <w:r>
              <w:rPr>
                <w:sz w:val="20"/>
              </w:rPr>
              <w:t>system output performance warranties;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sz w:val="20"/>
              </w:rPr>
            </w:pPr>
            <w:r>
              <w:rPr>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common stock being offered in this prospectus represent a substantial percentage of our outstanding common stock, and the sales of such shares, or the perception that these sales could occur, could cause the market price of our common stock to decline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 named in this prospectus or its permitted transferees of up to 48,521,163 shares of common stock that we may sell to White Lion pursuant to the White Lion Purchase Agreement from time to time (which is in addition to the 6,928,837 shares of our common stock that we have previously sold to White Lion pursuant to the White Lion Purchase Agreement). We will not receive any proceeds from the sale of shares of common stock by the Selling Securityholder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by the Selling Securityholder, or the perception that these sales could occur, could depress the market price of our common stock. The Selling Securityholder may still have an incentive to sell our common stock because it may still experience a positive rate of return on the securities it purchased due to the differences in the purchase prices it paid for our common stock and the public trading price of our common stock. While the Selling Securityholder may, on average, experience a positive rate of return based on the current market price of the common stock it purchased, public securityholders may not experience a similar rate of return on the common stock they purchased due to differences in the purchase prices and the current market price. While Selling Securityholder may, on average, experience a positive rate of return based on the current market price, public stockholders may not experience a similar rate of return on the common stock they purchased if there is such a decline in price and due to differences in the purchase prices and the current market price. The sale of the common stock by the Selling Securityholder being offered pursuant to this prospectus, or the perception that these sales could occur, could result in a significant decline in the public trading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 is not possible to predict the actual number of shares we will sell under the White Lion Purchase Agreement to the Selling Securityholder, or the actual gross proceeds resulting from those sales.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White Lion Purchase Agreement and compliance with applicable law, we have the discretion to deliver notices to the Selling Securityholder at any time throughout the White Lion Commitment Period. The number of shares ultimately offered for sale to the Selling Securityholder under this prospectus is dependent upon the number of shares we elect to sell to the Selling Securityholder under the White Lion Purchase Agreement. The actual number of shares of common stock that are sold to the Selling Securityholder may depend based on a number of factors, including the market price of our common stock during the sales period. Actual gross proceeds may be less than $55.0 million, which may impact our future liquidity. Because the price per share of each share sold to the Selling Securityholder will fluctuate during the sales period, it is not currently possible to predict the number of shares that will be sold or the actual gross proceeds to be raised in connection with those sales, if 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in this offering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common stock in this offering at different times will likely pay different prices, and so may experience different levels of dilution and different outcomes in their investment results. In connection with the White Lion Purchase Agreement, we will have discretion, subject to market demand, to vary the timing, prices, and numbers of shares of common stock sold to White Lion. Similarly, White Lion may sell such shares at different times and at different prices. Investors may experience a decline in the value of the shares they purchase from the Selling Securityholder in this offering as a result of sales made by us in future transactions to White Lion at prices lower than the prices they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common stock to the Selling Securityholder may cause substantial dilution to our existing shareholders, and the sale of such shares acquired by the Selling Securityholder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the Selling Securityholder up to 48,521,163 shares of common stock. After the Selling Securityholder has acquired shares under the White Lion Purchase Agreement, it may sell all, some or none of those shares. Sales to the Selling Securityholder by us pursuant to the White Lion Purchase Agreement may result in substantial dilution to the interests of other holders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shares to the Selling Securityholder could make it more difficult for us to sell equity or equity-related securities in the future at a time and at a price that we might otherwise desire. The number of shares of our common stock ultimately offered for resale by the Selling Securityholder under this prospectus is dependent upon the number of shares of common stock issued to the Selling Securityholder pursuant to the White Lion Purchase Agreement. Depending on a variety of factors, including market liquidity of our common stock, the issuance of shares to the Selling Securityholder may cause the trading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in the use of the net proceeds we receive from the sale of shares to the Selling Securityholder and may not use them effectively.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proceeds we receive from the Selling Securityholder, if any, including for the purposes describe in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you will not have the opportunity as part of your investment decision to assess whether our management is using the proceeds appropriately. Because of the number and variability of factors that will determine our use of our proceeds from the Selling Securityholder under the White Lion Purchase Agreement,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the Selling Securityholder in short-term, investment grade, interest-bearing securities. These investments may not yield a favorable return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each of our 5% stockholders and their affiliates, in the aggregate, beneficially own approximately 53.6% of the outstanding shares of our common stock, based on the number of shares outstanding as of May 15, 2026 (including all convertible securities and securities that such holders have the right to acquire within 60 days following May 15,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actual or anticipated fluctuations in our quarterly financial results or the quarterly financial results of companies perceived to be similar to us;</w:t>
            </w:r>
          </w:p>
        </w:tc>
      </w:tr>
    </w:tbl>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changes in the market’s expectations about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sz w:val="20"/>
              </w:rPr>
            </w:pPr>
            <w:r>
              <w:rPr>
                <w:sz w:val="20"/>
              </w:rPr>
              <w:t>success of competitors;</w:t>
            </w:r>
          </w:p>
        </w:tc>
      </w:tr>
    </w:tbl>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sz w:val="20"/>
              </w:rPr>
            </w:pPr>
            <w:r>
              <w:rPr>
                <w:sz w:val="20"/>
              </w:rPr>
              <w:t>our operating results failing to meet the expectation of securities analysts or investors in a particular period;</w:t>
            </w:r>
          </w:p>
        </w:tc>
      </w:tr>
    </w:tbl>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sz w:val="20"/>
              </w:rPr>
            </w:pPr>
            <w:r>
              <w:rPr>
                <w:sz w:val="20"/>
              </w:rPr>
              <w:t>changes in financial estimates and recommendations by securities analysts concerning us or the market in general;</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sz w:val="20"/>
              </w:rPr>
            </w:pPr>
            <w:r>
              <w:rPr>
                <w:sz w:val="20"/>
              </w:rPr>
              <w:t>operating and stock price performance of other companies that investors deem comparable to us;</w:t>
            </w:r>
          </w:p>
        </w:tc>
      </w:tr>
    </w:tbl>
    <w:p>
      <w:pPr>
        <w:pStyle w:val="TextBody"/>
        <w:bidi w:val="0"/>
        <w:spacing w:before="0" w:after="0"/>
        <w:ind w:left="0" w:right="0" w:hanging="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sz w:val="20"/>
              </w:rPr>
            </w:pPr>
            <w:r>
              <w:rPr>
                <w:sz w:val="20"/>
              </w:rPr>
              <w:t>our ability to develop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changes in laws and regulations affecting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commencement of, or involvement in, litigation involving us;</w:t>
            </w:r>
          </w:p>
        </w:tc>
      </w:tr>
    </w:tbl>
    <w:p>
      <w:pPr>
        <w:pStyle w:val="TextBody"/>
        <w:bidi w:val="0"/>
        <w:spacing w:before="0" w:after="0"/>
        <w:ind w:left="0" w:right="0" w:hanging="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changes in our capital structure, such as future issuances of securities or the incurrence of additional debt;</w:t>
            </w:r>
          </w:p>
        </w:tc>
      </w:tr>
    </w:tbl>
    <w:p>
      <w:pPr>
        <w:pStyle w:val="TextBody"/>
        <w:bidi w:val="0"/>
        <w:spacing w:before="0" w:after="0"/>
        <w:ind w:left="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the volume of shares of our securities available for public sale</w:t>
            </w:r>
          </w:p>
        </w:tc>
      </w:tr>
    </w:tbl>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sz w:val="20"/>
              </w:rPr>
            </w:pPr>
            <w:r>
              <w:rPr>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sales of substantial amounts of common stock by our Directors, executive officers or significant stockholders or the perception that such sales could occur;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general economic and political conditions such as recessions, interest rates, fuel prices, international currency fluctuations and acts of war or terrorism.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limited amount of analyst coverage; and 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ind w:left="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advance notice requirements for stockholder proposals and director nominations;</w:t>
            </w:r>
          </w:p>
        </w:tc>
      </w:tr>
    </w:tbl>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sz w:val="20"/>
              </w:rPr>
            </w:pPr>
            <w:r>
              <w:rPr>
                <w:sz w:val="20"/>
              </w:rPr>
              <w:t>provisions limiting stockholders’ ability to call special meetings of stockholders and to take action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sz w:val="20"/>
              </w:rPr>
            </w:pPr>
            <w:r>
              <w:rPr>
                <w:sz w:val="20"/>
              </w:rPr>
              <w:t>restrictions on business combinations with interested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no cumulative voting;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any derivative action or proceeding brought on behalf of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action asserting a claim against us or any of our current or former Directors, officers, stockholders, employees or agents relating to any provision of the Delaware General Corporation Law (“</w:t>
            </w:r>
            <w:r>
              <w:rPr>
                <w:b/>
                <w:sz w:val="20"/>
              </w:rPr>
              <w:t>DGCL</w:t>
            </w:r>
            <w:r>
              <w:rPr>
                <w:sz w:val="20"/>
              </w:rPr>
              <w:t>”) or our Certificate of Incorporation or the Bylaws or as to which the DGCL confers jurisdiction on the Court of Chancery of the State of Delaware;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(the “Forward Purchase Agreements”) with each of (i) Meteora Special Opportunity Fund I, LP (“</w:t>
      </w:r>
      <w:r>
        <w:rPr>
          <w:rFonts w:ascii="Times New Roman;Times;Serif" w:hAnsi="Times New Roman;Times;Serif"/>
          <w:b/>
          <w:i w:val="false"/>
          <w:caps w:val="false"/>
          <w:smallCaps w:val="false"/>
          <w:sz w:val="20"/>
        </w:rPr>
        <w:t>MSOF</w:t>
      </w:r>
      <w:r>
        <w:rPr>
          <w:rFonts w:ascii="Times New Roman;Times;Serif" w:hAnsi="Times New Roman;Times;Serif"/>
          <w:b w:val="false"/>
          <w:i w:val="false"/>
          <w:caps w:val="false"/>
          <w:smallCaps w:val="false"/>
          <w:sz w:val="20"/>
        </w:rPr>
        <w:t>”), Meteora Capital Partners, LP (“</w:t>
      </w:r>
      <w:r>
        <w:rPr>
          <w:rFonts w:ascii="Times New Roman;Times;Serif" w:hAnsi="Times New Roman;Times;Serif"/>
          <w:b/>
          <w:i w:val="false"/>
          <w:caps w:val="false"/>
          <w:smallCaps w:val="false"/>
          <w:sz w:val="20"/>
        </w:rPr>
        <w:t>MCP</w:t>
      </w:r>
      <w:r>
        <w:rPr>
          <w:rFonts w:ascii="Times New Roman;Times;Serif" w:hAnsi="Times New Roman;Times;Serif"/>
          <w:b w:val="false"/>
          <w:i w:val="false"/>
          <w:caps w:val="false"/>
          <w:smallCaps w:val="false"/>
          <w:sz w:val="20"/>
        </w:rPr>
        <w:t>”) and Meteora Select Trading Opportunities Master, LP (“MSTO”) (with MSOF, MCP, and MSTO collectively as “</w:t>
      </w:r>
      <w:r>
        <w:rPr>
          <w:rFonts w:ascii="Times New Roman;Times;Serif" w:hAnsi="Times New Roman;Times;Serif"/>
          <w:b/>
          <w:i w:val="false"/>
          <w:caps w:val="false"/>
          <w:smallCaps w:val="false"/>
          <w:sz w:val="20"/>
        </w:rPr>
        <w:t>Meteora</w:t>
      </w:r>
      <w:r>
        <w:rPr>
          <w:rFonts w:ascii="Times New Roman;Times;Serif" w:hAnsi="Times New Roman;Times;Serif"/>
          <w:b w:val="false"/>
          <w:i w:val="false"/>
          <w:caps w:val="false"/>
          <w:smallCaps w:val="false"/>
          <w:sz w:val="20"/>
        </w:rPr>
        <w:t>”); (ii) Polar Multi-Strategy Master Fund (“</w:t>
      </w:r>
      <w:r>
        <w:rPr>
          <w:rFonts w:ascii="Times New Roman;Times;Serif" w:hAnsi="Times New Roman;Times;Serif"/>
          <w:b/>
          <w:i w:val="false"/>
          <w:caps w:val="false"/>
          <w:smallCaps w:val="false"/>
          <w:sz w:val="20"/>
        </w:rPr>
        <w:t>Polar</w:t>
      </w:r>
      <w:r>
        <w:rPr>
          <w:rFonts w:ascii="Times New Roman;Times;Serif" w:hAnsi="Times New Roman;Times;Serif"/>
          <w:b w:val="false"/>
          <w:i w:val="false"/>
          <w:caps w:val="false"/>
          <w:smallCaps w:val="false"/>
          <w:sz w:val="20"/>
        </w:rPr>
        <w:t>”), and (iii) Diametric True Alpha Market Neutral Master Fund, LP, Diametric True Alpha Enhanced Market Neutral Master Fund, LP, and Pinebridge Partners Master Fund, LP (collectively, “</w:t>
      </w:r>
      <w:r>
        <w:rPr>
          <w:rFonts w:ascii="Times New Roman;Times;Serif" w:hAnsi="Times New Roman;Times;Serif"/>
          <w:b/>
          <w:i w:val="false"/>
          <w:caps w:val="false"/>
          <w:smallCaps w:val="false"/>
          <w:sz w:val="20"/>
        </w:rPr>
        <w:t>Sandia</w:t>
      </w:r>
      <w:r>
        <w:rPr>
          <w:rFonts w:ascii="Times New Roman;Times;Serif" w:hAnsi="Times New Roman;Times;Serif"/>
          <w:b w:val="false"/>
          <w:i w:val="false"/>
          <w:caps w:val="false"/>
          <w:smallCaps w:val="false"/>
          <w:sz w:val="20"/>
        </w:rPr>
        <w:t>”, and each of Meteora, Polar, and Sandia, individually, an “</w:t>
      </w:r>
      <w:r>
        <w:rPr>
          <w:rFonts w:ascii="Times New Roman;Times;Serif" w:hAnsi="Times New Roman;Times;Serif"/>
          <w:b/>
          <w:i w:val="false"/>
          <w:caps w:val="false"/>
          <w:smallCaps w:val="false"/>
          <w:sz w:val="20"/>
        </w:rPr>
        <w:t>FPA 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Times;Serif" w:hAnsi="Times New Roman;Times;Serif"/>
          <w:b/>
          <w:i w:val="false"/>
          <w:caps w:val="false"/>
          <w:smallCaps w:val="false"/>
          <w:sz w:val="20"/>
        </w:rPr>
        <w:t xml:space="preserve">First Amendments”). </w:t>
      </w:r>
      <w:r>
        <w:rPr>
          <w:rFonts w:ascii="Times New Roman;Times;Serif" w:hAnsi="Times New Roman;Times;Serif"/>
          <w:b w:val="false"/>
          <w:i w:val="false"/>
          <w:caps w:val="false"/>
          <w:smallCaps w:val="false"/>
          <w:sz w:val="20"/>
        </w:rPr>
        <w:t>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Times;Serif" w:hAnsi="Times New Roman;Times;Serif"/>
          <w:b/>
          <w:i w:val="false"/>
          <w:caps w:val="false"/>
          <w:smallCaps w:val="false"/>
          <w:sz w:val="20"/>
        </w:rPr>
        <w:t>Polar Third Amendment</w:t>
      </w:r>
      <w:r>
        <w:rPr>
          <w:rFonts w:ascii="Times New Roman;Times;Serif" w:hAnsi="Times New Roman;Times;Serif"/>
          <w:b w:val="false"/>
          <w:i w:val="false"/>
          <w:caps w:val="false"/>
          <w:smallCaps w:val="false"/>
          <w:sz w:val="20"/>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Notes are secured obligations, and there are risks associated with our 10.0%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 Notes. The indenture for the 10.0% Notes (the “Indenture”) includes customary covenants and sets forth certain events of default after which the 10.0% Notes may be declared immediately due and payable and sets forth certain types of bankruptcy or insolvency events of default involving the Company after which the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certain payment defaults on the 10.0% Notes (which, in the case of a default in the payment of interest on the Notes, will be subject to a 30-day cure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by the Company to comply with its obligation to convert the 10.0% Notes in accordance with the Indenture upon exercise of a holder’s conversion right;</w:t>
            </w:r>
          </w:p>
        </w:tc>
      </w:tr>
    </w:tbl>
    <w:p>
      <w:pPr>
        <w:pStyle w:val="TextBody"/>
        <w:bidi w:val="0"/>
        <w:spacing w:before="0" w:after="283"/>
        <w:jc w:val="left"/>
        <w:rPr/>
      </w:pPr>
      <w:r>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failure to send certain notices under the Indenture within specified periods of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certain events of bankruptcy, insolvency or reorganization of the Company or any of the Company’s significant subsidiaries;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final judgment or judgments for the payment of $10.0 million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10.0%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 Senior Secured Notes, the holders will have the right to foreclose on their first priority security interest relating to substantially all of our assets to the exclusion of our general unsecured creditors. If the holders of the 10% Senior Secured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to White Lion pursuant to the White Lion Purchase Agreement), or the perception of future sales, by us or our stockholders in the public market could cause the market price for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WHITE LION TRANSACTION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original White Lion Purchase Agreement with White Lion, which we and White Lion amended on July 24, 2024, August 14, 2024, and January 11, 2026. We also entered into the RRA with White Lion on July 16, 2024. Pursuant to the White Lion Purchase Agreement, as amended, the Company has the right, but not the obligation, to require White Lion to purchase, from time to time, up to $55.0 million in aggregate gross purchase price of newly issued shares of our common stock, subject to certain limitations and conditions set forth in the White Lion Purchase Agreement. Subject to the satisfaction of certain customary conditions, the Company’s right to sell shares to White Lion commenced on the date of the execution of White Lion Purchase Agreement and extends until the earlier of (i) White Lion having purchased shares of common stock equal to $55.0 million and (ii) December 31,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White Lion Commitment Period, subject to the terms and conditions of the White Lion Purchase Agreement, the Company may notify White Lion when the Company exercises its right to sell shares of its common stock. The Company may deliver a Fixed Purchase Notice (as such term is defined in the White Lion Purchase Agreement), where the Company can require White Lion to purchase up to a number of shares of common stock equal to the lesser of (i) $150,000 or (ii) 100% of Average Daily Trading Volume (as such term is defined in the White Lion Purchase Agreement). The Company may also deliver a Rapid Purchase Notice (as such term is defined in the White Lion Purchase Agreement), where the Company may require White Lion to purchase up to a number of shares of common stock equal to the lesser of (i) 100% of the Average Daily Trading Volume and (ii) $2,000,000 divided by the highest closing price of the common stock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to be paid by White Lion for any shares that the Company requires White Lion to purchase will depend on the type of purchase notice that the Company delivers. For shares being issued pursuant to Fixed Purchase Notice, the purchase price per share will be equal to 90% of the lowest VWAP (as defined in the White Lion Purchase Agreement) of the common stock that occurs during the five consecutive business days prior to the purchase notice. For shares being issued pursuant to a Rapid Purchase Notice, the purchase price per share will be equal to the average of the three lowest traded prices on the date that the notice is delivered.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pursuant to Amendment No. 2, the Company may notify White Lion to exercise the Company’s right to sell shares of its common stock by delivering an Hour Rapid Purchase Notice (as defined in the White Lion Purchase Agreement).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our common stock during the one-hour period following White Lion’s consent to the acceptance of the applicable Hour Rapid Purchase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Amendment No. 3, we have the option to submit three hour rapid purchase notices to White Lion that, if accepted by White Lion and otherwise delivered in accordance with the White Lion Purchase Agreement,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 notice shall result in White Lion beneficially owning (as calculated pursuant to Section 13(d) of the Exchange Act and Rule 13d-3 thereunder) more than 9.99% of the number of shares of the common stock outstanding immediately prior to the issuance of shares of common stock issuable pursuant to a purchase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deliver purchase notices under the White Lion Purchase Agreement, subject to market conditions, and in light of our capital needs, from time to time and under the limitations contained in the White Lion Purchase Agreement. Any proceeds that the Company receives under the White Lion Purchase Agreement are expected to be used for working capital and general corporate purposes, as further summarized in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White Lion will have the right to terminate the White Lion Purchase Agreement in the event of a material breach by the other party and notice being sent by the non-breaching party to the breaching party. The White Lion Purchase Agreement also automatically terminates upon the earlier of (i) the end of the White Lion Commitment Period, (ii) the date that the Company commences a voluntary bankruptcy proceeding, a custodian is appointed for the Company or for all or substantially all of its property or the Company makes a general assignment for the benefit of its creditors, and (iii) immediately upon the delisting of the common stock from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White Lion Purchase Agreement, the Company entered into the RRA with White Lion. 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2026, the Company has issued a total of 11,140,000 shares of common stock under the White Lion Purchase Agreement for aggregate gross proceeds of approximately $20.4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 pursuant to this prospectus will be sold by the Selling Securityholder for its own account. We will not receive any of the proceeds from the resale of the shares of common stock by the Selling Securityholder. However, we may receive up to an additional $34,572,500 in gross proceeds under the White Lion Purchase Agreement (assuming the shares to be issued are sold at a price of $1.00 per share) from sales of common stock that we may elect to make to the Selling Securityholder pursuant to the White Lion Purchase Agreement, if any, from time to time in our sole discretion, during the White Lion Commitment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Selling Securityholder that we receive under the White Lion Purchase Agreement, if any, are currently expected to be used for general corporate purposes, including working capital. Accordingly, we retain broad discretion over the use of the net proceeds from the sale of our common stock under the White Lion Purchase Agreement. The precise amount and timing of the application of such proceeds will depend upon our liquidity needs and the availability and cost of other capital over which we have little or no control. As of the date hereof, we cannot specify with certainty the particular uses for the net proceeds from the sales of shares of common stock, if any to White Lion under the White Lion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 pursuant to this prospectus will be sold by the Selling Securityholder for its own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May 15, 2026, there were 152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Increase revenue by expanding installation capacity and developing new geographic markets</w:t>
            </w:r>
            <w:r>
              <w:rPr>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Increase revenue and margin by engaging national-scale sales partners</w:t>
            </w:r>
            <w:r>
              <w:rPr>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 xml:space="preserve">Increase revenue and margin by executing on a battery storage opportunity </w:t>
            </w:r>
            <w:r>
              <w:rPr>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485"/>
        <w:gridCol w:w="60"/>
        <w:gridCol w:w="167"/>
        <w:gridCol w:w="902"/>
        <w:gridCol w:w="256"/>
        <w:gridCol w:w="71"/>
        <w:gridCol w:w="182"/>
        <w:gridCol w:w="887"/>
        <w:gridCol w:w="215"/>
        <w:gridCol w:w="60"/>
        <w:gridCol w:w="140"/>
        <w:gridCol w:w="755"/>
        <w:gridCol w:w="95"/>
        <w:gridCol w:w="60"/>
        <w:gridCol w:w="94"/>
        <w:gridCol w:w="721"/>
        <w:gridCol w:w="305"/>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48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256"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72,793</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78,413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(7</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(45</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63</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61</w:t>
            </w:r>
          </w:p>
        </w:tc>
        <w:tc>
          <w:tcPr>
            <w:tcW w:w="25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Sales commissions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28,564</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7,684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4,993</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8,522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(41</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30,325</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14,896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104</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63,882</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31,102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105</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(19,195</w:t>
            </w:r>
          </w:p>
        </w:tc>
        <w:tc>
          <w:tcPr>
            <w:tcW w:w="25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415</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(6,924</w:t>
            </w:r>
          </w:p>
        </w:tc>
        <w:tc>
          <w:tcPr>
            <w:tcW w:w="256"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(6,041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15</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non-operating income, net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30,761</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14,576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111</w:t>
            </w:r>
          </w:p>
        </w:tc>
        <w:tc>
          <w:tcPr>
            <w:tcW w:w="30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Income from operations before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45"/>
        <w:gridCol w:w="6035"/>
      </w:tblGrid>
      <w:tr>
        <w:trPr/>
        <w:tc>
          <w:tcPr>
            <w:tcW w:w="245" w:type="dxa"/>
            <w:tcBorders/>
            <w:vAlign w:val="center"/>
          </w:tcPr>
          <w:p>
            <w:pPr>
              <w:pStyle w:val="TableContents"/>
              <w:bidi w:val="0"/>
              <w:spacing w:before="0" w:after="283"/>
              <w:jc w:val="both"/>
              <w:rPr>
                <w:position w:val="7"/>
                <w:sz w:val="16"/>
                <w:sz w:val="20"/>
              </w:rPr>
            </w:pPr>
            <w:r>
              <w:rPr>
                <w:position w:val="7"/>
                <w:sz w:val="16"/>
                <w:sz w:val="20"/>
              </w:rPr>
              <w:t>(2)</w:t>
            </w:r>
          </w:p>
        </w:tc>
        <w:tc>
          <w:tcPr>
            <w:tcW w:w="6035" w:type="dxa"/>
            <w:tcBorders/>
            <w:vAlign w:val="center"/>
          </w:tcPr>
          <w:p>
            <w:pPr>
              <w:pStyle w:val="TableContents"/>
              <w:bidi w:val="0"/>
              <w:spacing w:before="0" w:after="283"/>
              <w:jc w:val="both"/>
              <w:rPr>
                <w:sz w:val="20"/>
              </w:rPr>
            </w:pPr>
            <w:r>
              <w:rPr>
                <w:sz w:val="20"/>
              </w:rPr>
              <w:t>Includes the following gains and (losses) with related parties (in millions):</w:t>
            </w:r>
          </w:p>
        </w:tc>
      </w:tr>
    </w:tbl>
    <w:p>
      <w:pPr>
        <w:pStyle w:val="TextBody"/>
        <w:bidi w:val="0"/>
        <w:spacing w:before="0" w:after="0"/>
        <w:ind w:left="0" w:right="0" w:hanging="0"/>
        <w:jc w:val="both"/>
        <w:rPr>
          <w:caps w:val="false"/>
          <w:smallCaps w:val="false"/>
        </w:rPr>
      </w:pPr>
      <w:r>
        <w:rPr>
          <w:caps w:val="false"/>
          <w:smallCaps w:val="false"/>
        </w:rPr>
        <w:t> </w:t>
      </w:r>
    </w:p>
    <w:tbl>
      <w:tblPr>
        <w:tblW w:w="8567" w:type="dxa"/>
        <w:jc w:val="left"/>
        <w:tblInd w:w="0" w:type="dxa"/>
        <w:tblLayout w:type="fixed"/>
        <w:tblCellMar>
          <w:top w:w="0" w:type="dxa"/>
          <w:left w:w="0" w:type="dxa"/>
          <w:bottom w:w="0" w:type="dxa"/>
          <w:right w:w="0" w:type="dxa"/>
        </w:tblCellMar>
      </w:tblPr>
      <w:tblGrid>
        <w:gridCol w:w="5855"/>
        <w:gridCol w:w="60"/>
        <w:gridCol w:w="295"/>
        <w:gridCol w:w="834"/>
        <w:gridCol w:w="196"/>
        <w:gridCol w:w="123"/>
        <w:gridCol w:w="344"/>
        <w:gridCol w:w="785"/>
        <w:gridCol w:w="75"/>
      </w:tblGrid>
      <w:tr>
        <w:trPr/>
        <w:tc>
          <w:tcPr>
            <w:tcW w:w="5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7.5</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Change in fair value of 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0.1</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Change in fair value of SAFE Agreement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(0.2</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Change in fair value of Deferred Sunder Consideration</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2.3</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479" w:type="dxa"/>
        <w:jc w:val="left"/>
        <w:tblInd w:w="0" w:type="dxa"/>
        <w:tblLayout w:type="fixed"/>
        <w:tblCellMar>
          <w:top w:w="0" w:type="dxa"/>
          <w:left w:w="0" w:type="dxa"/>
          <w:bottom w:w="0" w:type="dxa"/>
          <w:right w:w="0" w:type="dxa"/>
        </w:tblCellMar>
      </w:tblPr>
      <w:tblGrid>
        <w:gridCol w:w="2735"/>
        <w:gridCol w:w="60"/>
        <w:gridCol w:w="188"/>
        <w:gridCol w:w="917"/>
        <w:gridCol w:w="80"/>
        <w:gridCol w:w="80"/>
        <w:gridCol w:w="192"/>
        <w:gridCol w:w="937"/>
        <w:gridCol w:w="60"/>
        <w:gridCol w:w="60"/>
        <w:gridCol w:w="140"/>
        <w:gridCol w:w="755"/>
        <w:gridCol w:w="95"/>
        <w:gridCol w:w="60"/>
        <w:gridCol w:w="123"/>
        <w:gridCol w:w="692"/>
        <w:gridCol w:w="30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31,541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36,504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14,625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(65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26,627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revenues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bidi w:val="0"/>
              <w:spacing w:before="0" w:after="283"/>
              <w:jc w:val="right"/>
              <w:rPr/>
            </w:pPr>
            <w:r>
              <w:rPr/>
              <w:t>72,793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78,413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(7</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2735"/>
        <w:gridCol w:w="60"/>
        <w:gridCol w:w="182"/>
        <w:gridCol w:w="887"/>
        <w:gridCol w:w="266"/>
        <w:gridCol w:w="74"/>
        <w:gridCol w:w="182"/>
        <w:gridCol w:w="887"/>
        <w:gridCol w:w="215"/>
        <w:gridCol w:w="60"/>
        <w:gridCol w:w="140"/>
        <w:gridCol w:w="755"/>
        <w:gridCol w:w="95"/>
        <w:gridCol w:w="60"/>
        <w:gridCol w:w="123"/>
        <w:gridCol w:w="692"/>
        <w:gridCol w:w="30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18,011</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22,615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9,961</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28,422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(65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28,106</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51,037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(22,931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61</w:t>
            </w:r>
          </w:p>
        </w:tc>
        <w:tc>
          <w:tcPr>
            <w:tcW w:w="266"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542" w:type="dxa"/>
        <w:jc w:val="left"/>
        <w:tblInd w:w="0" w:type="dxa"/>
        <w:tblLayout w:type="fixed"/>
        <w:tblCellMar>
          <w:top w:w="0" w:type="dxa"/>
          <w:left w:w="0" w:type="dxa"/>
          <w:bottom w:w="0" w:type="dxa"/>
          <w:right w:w="0" w:type="dxa"/>
        </w:tblCellMar>
      </w:tblPr>
      <w:tblGrid>
        <w:gridCol w:w="2780"/>
        <w:gridCol w:w="60"/>
        <w:gridCol w:w="202"/>
        <w:gridCol w:w="984"/>
        <w:gridCol w:w="86"/>
        <w:gridCol w:w="86"/>
        <w:gridCol w:w="225"/>
        <w:gridCol w:w="904"/>
        <w:gridCol w:w="60"/>
        <w:gridCol w:w="60"/>
        <w:gridCol w:w="140"/>
        <w:gridCol w:w="680"/>
        <w:gridCol w:w="95"/>
        <w:gridCol w:w="60"/>
        <w:gridCol w:w="111"/>
        <w:gridCol w:w="704"/>
        <w:gridCol w:w="305"/>
      </w:tblGrid>
      <w:tr>
        <w:trPr/>
        <w:tc>
          <w:tcPr>
            <w:tcW w:w="2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both"/>
              <w:rPr/>
            </w:pPr>
            <w:r>
              <w:rPr/>
              <w:t>Residential Solar Installation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6,553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r>
        <w:trPr/>
        <w:tc>
          <w:tcPr>
            <w:tcW w:w="2780"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1,166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15</w:t>
            </w:r>
          </w:p>
        </w:tc>
        <w:tc>
          <w:tcPr>
            <w:tcW w:w="305" w:type="dxa"/>
            <w:tcBorders/>
            <w:shd w:fill="FFFFFF" w:val="clear"/>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20,845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sz w:val="20"/>
              </w:rPr>
            </w:pPr>
            <w:r>
              <w:rPr>
                <w:sz w:val="20"/>
              </w:rPr>
              <w:t>*</w:t>
            </w:r>
          </w:p>
        </w:tc>
        <w:tc>
          <w:tcPr>
            <w:tcW w:w="30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both"/>
              <w:rPr/>
            </w:pPr>
            <w:r>
              <w:rPr/>
              <w:t>Total sales commissions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shd w:fill="FFFFFF" w:val="clear"/>
            <w:tcMar>
              <w:bottom w:w="28" w:type="dxa"/>
            </w:tcMar>
            <w:vAlign w:val="center"/>
          </w:tcPr>
          <w:p>
            <w:pPr>
              <w:pStyle w:val="TableContents"/>
              <w:bidi w:val="0"/>
              <w:spacing w:before="0" w:after="283"/>
              <w:jc w:val="right"/>
              <w:rPr/>
            </w:pPr>
            <w:r>
              <w:rPr/>
              <w:t>28,564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7,684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20,880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735"/>
        <w:gridCol w:w="60"/>
        <w:gridCol w:w="225"/>
        <w:gridCol w:w="904"/>
        <w:gridCol w:w="93"/>
        <w:gridCol w:w="93"/>
        <w:gridCol w:w="225"/>
        <w:gridCol w:w="904"/>
        <w:gridCol w:w="60"/>
        <w:gridCol w:w="60"/>
        <w:gridCol w:w="147"/>
        <w:gridCol w:w="668"/>
        <w:gridCol w:w="95"/>
        <w:gridCol w:w="60"/>
        <w:gridCol w:w="123"/>
        <w:gridCol w:w="692"/>
        <w:gridCol w:w="30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3,539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8,522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(4,983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(58</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876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sz w:val="20"/>
              </w:rPr>
            </w:pPr>
            <w:r>
              <w:rPr>
                <w:sz w:val="20"/>
              </w:rPr>
              <w:t>*</w:t>
            </w:r>
          </w:p>
        </w:tc>
        <w:tc>
          <w:tcPr>
            <w:tcW w:w="30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sz w:val="20"/>
              </w:rPr>
            </w:pPr>
            <w:r>
              <w:rPr>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sales and marketing</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4,993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8,522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FFFFFF" w:val="clear"/>
            <w:tcMar>
              <w:bottom w:w="28" w:type="dxa"/>
            </w:tcMar>
            <w:vAlign w:val="center"/>
          </w:tcPr>
          <w:p>
            <w:pPr>
              <w:pStyle w:val="TableContents"/>
              <w:bidi w:val="0"/>
              <w:spacing w:before="0" w:after="283"/>
              <w:jc w:val="right"/>
              <w:rPr/>
            </w:pPr>
            <w:r>
              <w:rPr/>
              <w:t>(3,529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3065"/>
        <w:gridCol w:w="60"/>
        <w:gridCol w:w="188"/>
        <w:gridCol w:w="917"/>
        <w:gridCol w:w="80"/>
        <w:gridCol w:w="80"/>
        <w:gridCol w:w="188"/>
        <w:gridCol w:w="917"/>
        <w:gridCol w:w="60"/>
        <w:gridCol w:w="60"/>
        <w:gridCol w:w="140"/>
        <w:gridCol w:w="680"/>
        <w:gridCol w:w="60"/>
        <w:gridCol w:w="60"/>
        <w:gridCol w:w="111"/>
        <w:gridCol w:w="704"/>
        <w:gridCol w:w="23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11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30" w:type="dxa"/>
            <w:tcBorders/>
            <w:vAlign w:val="center"/>
          </w:tcPr>
          <w:p>
            <w:pPr>
              <w:pStyle w:val="TableContents"/>
              <w:bidi w:val="0"/>
              <w:spacing w:before="0" w:after="283"/>
              <w:jc w:val="center"/>
              <w:rPr/>
            </w:pPr>
            <w:r>
              <w:rPr/>
              <w:t> </w:t>
            </w:r>
          </w:p>
        </w:tc>
      </w:tr>
      <w:tr>
        <w:trPr/>
        <w:tc>
          <w:tcPr>
            <w:tcW w:w="306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15,833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8,404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88</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11,545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6,492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78</w:t>
            </w:r>
          </w:p>
        </w:tc>
        <w:tc>
          <w:tcPr>
            <w:tcW w:w="23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2,947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Total general and administrative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bidi w:val="0"/>
              <w:spacing w:before="0" w:after="283"/>
              <w:jc w:val="right"/>
              <w:rPr/>
            </w:pPr>
            <w:r>
              <w:rPr/>
              <w:t>30,325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bidi w:val="0"/>
              <w:spacing w:before="0" w:after="283"/>
              <w:jc w:val="right"/>
              <w:rPr/>
            </w:pPr>
            <w:r>
              <w:rPr/>
              <w:t>14,896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15,429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104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sz w:val="20"/>
              </w:rPr>
            </w:pPr>
            <w:r>
              <w:rPr>
                <w:sz w:val="20"/>
              </w:rPr>
              <w:t>*</w:t>
            </w:r>
          </w:p>
        </w:tc>
        <w:tc>
          <w:tcPr>
            <w:tcW w:w="3065" w:type="dxa"/>
            <w:tcBorders/>
            <w:vAlign w:val="center"/>
          </w:tcPr>
          <w:p>
            <w:pPr>
              <w:pStyle w:val="TableContents"/>
              <w:bidi w:val="0"/>
              <w:spacing w:before="0" w:after="283"/>
              <w:jc w:val="both"/>
              <w:rPr>
                <w:sz w:val="20"/>
              </w:rPr>
            </w:pPr>
            <w:r>
              <w:rPr>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4295"/>
        <w:gridCol w:w="60"/>
        <w:gridCol w:w="210"/>
        <w:gridCol w:w="1204"/>
        <w:gridCol w:w="215"/>
        <w:gridCol w:w="60"/>
        <w:gridCol w:w="210"/>
        <w:gridCol w:w="1204"/>
        <w:gridCol w:w="215"/>
        <w:gridCol w:w="60"/>
        <w:gridCol w:w="140"/>
        <w:gridCol w:w="800"/>
        <w:gridCol w:w="95"/>
        <w:gridCol w:w="60"/>
        <w:gridCol w:w="94"/>
        <w:gridCol w:w="721"/>
        <w:gridCol w:w="23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300,000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108,742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176</w:t>
            </w:r>
          </w:p>
        </w:tc>
        <w:tc>
          <w:tcPr>
            <w:tcW w:w="23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sz w:val="20"/>
              </w:rPr>
            </w:pPr>
            <w:r>
              <w:rPr>
                <w:sz w:val="20"/>
              </w:rPr>
              <w:t>Cost of revenues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101,548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147</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89,710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227</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Sales commissions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37,009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24,590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51</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Sales and marketing</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29,030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6,827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325</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General and administrative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90,104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76,594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18</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156,143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108,011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48,132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61</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Interest expense</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(25,095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(16,223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55</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(84</w:t>
            </w:r>
          </w:p>
        </w:tc>
        <w:tc>
          <w:tcPr>
            <w:tcW w:w="23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sz w:val="20"/>
              </w:rPr>
            </w:pPr>
            <w:r>
              <w:rPr>
                <w:sz w:val="20"/>
              </w:rPr>
              <w:t>Other non-operating income, net</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9,347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7,932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Gain on troubled debt restructuring</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22,337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20"/>
              </w:rPr>
            </w:pPr>
            <w:r>
              <w:rPr>
                <w:sz w:val="20"/>
              </w:rPr>
              <w:t>*</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(44,254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283"/>
              <w:jc w:val="left"/>
              <w:rPr>
                <w:position w:val="7"/>
                <w:sz w:val="16"/>
                <w:sz w:val="20"/>
              </w:rPr>
            </w:pPr>
            <w:r>
              <w:rPr>
                <w:position w:val="7"/>
                <w:sz w:val="16"/>
                <w:sz w:val="20"/>
              </w:rPr>
              <w:t>(1)</w:t>
            </w:r>
          </w:p>
        </w:tc>
        <w:tc>
          <w:tcPr>
            <w:tcW w:w="5750" w:type="dxa"/>
            <w:tcBorders/>
            <w:vAlign w:val="center"/>
          </w:tcPr>
          <w:p>
            <w:pPr>
              <w:pStyle w:val="TableContents"/>
              <w:bidi w:val="0"/>
              <w:spacing w:before="0" w:after="283"/>
              <w:jc w:val="both"/>
              <w:rPr>
                <w:sz w:val="20"/>
              </w:rPr>
            </w:pPr>
            <w:r>
              <w:rPr>
                <w:sz w:val="20"/>
              </w:rPr>
              <w:t>Includes stock-based compensation expense as follows (</w:t>
            </w:r>
            <w:r>
              <w:rPr>
                <w:i/>
                <w:sz w:val="20"/>
              </w:rPr>
              <w:t>in thousands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932" w:type="dxa"/>
        <w:jc w:val="left"/>
        <w:tblInd w:w="0" w:type="dxa"/>
        <w:tblLayout w:type="fixed"/>
        <w:tblCellMar>
          <w:top w:w="0" w:type="dxa"/>
          <w:left w:w="0" w:type="dxa"/>
          <w:bottom w:w="0" w:type="dxa"/>
          <w:right w:w="0" w:type="dxa"/>
        </w:tblCellMar>
      </w:tblPr>
      <w:tblGrid>
        <w:gridCol w:w="3890"/>
        <w:gridCol w:w="60"/>
        <w:gridCol w:w="231"/>
        <w:gridCol w:w="1123"/>
        <w:gridCol w:w="69"/>
        <w:gridCol w:w="69"/>
        <w:gridCol w:w="283"/>
        <w:gridCol w:w="1132"/>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osition w:val="7"/>
                <w:sz w:val="16"/>
                <w:sz w:val="20"/>
              </w:rPr>
            </w:pPr>
            <w:r>
              <w:rPr>
                <w:position w:val="7"/>
                <w:sz w:val="16"/>
                <w:sz w:val="20"/>
              </w:rPr>
              <w:t>(2)</w:t>
            </w:r>
          </w:p>
        </w:tc>
        <w:tc>
          <w:tcPr>
            <w:tcW w:w="9972" w:type="dxa"/>
            <w:tcBorders/>
            <w:vAlign w:val="center"/>
          </w:tcPr>
          <w:p>
            <w:pPr>
              <w:pStyle w:val="TableContents"/>
              <w:bidi w:val="0"/>
              <w:spacing w:before="0" w:after="283"/>
              <w:jc w:val="both"/>
              <w:rPr>
                <w:sz w:val="20"/>
              </w:rPr>
            </w:pPr>
            <w:r>
              <w:rPr>
                <w:sz w:val="20"/>
              </w:rPr>
              <w:t>Includes interest expense and amortization of debt discount costs with related parties of $5.7 million and $7.6 million in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osition w:val="7"/>
                <w:sz w:val="16"/>
                <w:sz w:val="20"/>
              </w:rPr>
            </w:pPr>
            <w:r>
              <w:rPr>
                <w:position w:val="7"/>
                <w:sz w:val="16"/>
                <w:sz w:val="20"/>
              </w:rPr>
              <w:t>(3)</w:t>
            </w:r>
          </w:p>
        </w:tc>
        <w:tc>
          <w:tcPr>
            <w:tcW w:w="100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
        <w:gridCol w:w="4640"/>
      </w:tblGrid>
      <w:tr>
        <w:trPr/>
        <w:tc>
          <w:tcPr>
            <w:tcW w:w="245" w:type="dxa"/>
            <w:tcBorders/>
            <w:vAlign w:val="center"/>
          </w:tcPr>
          <w:p>
            <w:pPr>
              <w:pStyle w:val="TableContents"/>
              <w:bidi w:val="0"/>
              <w:spacing w:before="0" w:after="283"/>
              <w:jc w:val="left"/>
              <w:rPr>
                <w:position w:val="7"/>
                <w:sz w:val="16"/>
                <w:sz w:val="20"/>
              </w:rPr>
            </w:pPr>
            <w:r>
              <w:rPr>
                <w:position w:val="7"/>
                <w:sz w:val="16"/>
                <w:sz w:val="20"/>
              </w:rPr>
              <w:t>(4)</w:t>
            </w:r>
          </w:p>
        </w:tc>
        <w:tc>
          <w:tcPr>
            <w:tcW w:w="4640" w:type="dxa"/>
            <w:tcBorders/>
            <w:vAlign w:val="center"/>
          </w:tcPr>
          <w:p>
            <w:pPr>
              <w:pStyle w:val="TableContents"/>
              <w:bidi w:val="0"/>
              <w:spacing w:before="0" w:after="283"/>
              <w:jc w:val="both"/>
              <w:rPr>
                <w:sz w:val="20"/>
              </w:rPr>
            </w:pPr>
            <w:r>
              <w:rPr>
                <w:sz w:val="20"/>
              </w:rPr>
              <w:t>Gain includes $12.5 million with a related party in 2024.</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2735"/>
        <w:gridCol w:w="60"/>
        <w:gridCol w:w="210"/>
        <w:gridCol w:w="1204"/>
        <w:gridCol w:w="60"/>
        <w:gridCol w:w="60"/>
        <w:gridCol w:w="210"/>
        <w:gridCol w:w="1204"/>
        <w:gridCol w:w="60"/>
        <w:gridCol w:w="60"/>
        <w:gridCol w:w="140"/>
        <w:gridCol w:w="80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67,460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139</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41,282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202</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sz w:val="20"/>
              </w:rPr>
            </w:pPr>
            <w:r>
              <w:rPr>
                <w:sz w:val="20"/>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191,258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176</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278" w:type="dxa"/>
        <w:jc w:val="left"/>
        <w:tblInd w:w="0" w:type="dxa"/>
        <w:tblLayout w:type="fixed"/>
        <w:tblCellMar>
          <w:top w:w="0" w:type="dxa"/>
          <w:left w:w="0" w:type="dxa"/>
          <w:bottom w:w="0" w:type="dxa"/>
          <w:right w:w="0" w:type="dxa"/>
        </w:tblCellMar>
      </w:tblPr>
      <w:tblGrid>
        <w:gridCol w:w="2735"/>
        <w:gridCol w:w="60"/>
        <w:gridCol w:w="210"/>
        <w:gridCol w:w="1204"/>
        <w:gridCol w:w="215"/>
        <w:gridCol w:w="60"/>
        <w:gridCol w:w="241"/>
        <w:gridCol w:w="1173"/>
        <w:gridCol w:w="215"/>
        <w:gridCol w:w="60"/>
        <w:gridCol w:w="140"/>
        <w:gridCol w:w="80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88,400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45,266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95</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82,288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23,974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243</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170,788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69,240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147</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858" w:type="dxa"/>
        <w:jc w:val="left"/>
        <w:tblInd w:w="0" w:type="dxa"/>
        <w:tblLayout w:type="fixed"/>
        <w:tblCellMar>
          <w:top w:w="0" w:type="dxa"/>
          <w:left w:w="0" w:type="dxa"/>
          <w:bottom w:w="0" w:type="dxa"/>
          <w:right w:w="0" w:type="dxa"/>
        </w:tblCellMar>
      </w:tblPr>
      <w:tblGrid>
        <w:gridCol w:w="2735"/>
        <w:gridCol w:w="60"/>
        <w:gridCol w:w="241"/>
        <w:gridCol w:w="1173"/>
        <w:gridCol w:w="65"/>
        <w:gridCol w:w="65"/>
        <w:gridCol w:w="241"/>
        <w:gridCol w:w="1173"/>
        <w:gridCol w:w="60"/>
        <w:gridCol w:w="60"/>
        <w:gridCol w:w="140"/>
        <w:gridCol w:w="68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26,298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23,388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5,032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319</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5,679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sz w:val="20"/>
              </w:rPr>
            </w:pPr>
            <w:r>
              <w:rPr>
                <w:sz w:val="20"/>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sales commissions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37,009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24,590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51</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tbl>
      <w:tblPr>
        <w:tblW w:w="7867" w:type="dxa"/>
        <w:jc w:val="left"/>
        <w:tblInd w:w="0" w:type="dxa"/>
        <w:tblLayout w:type="fixed"/>
        <w:tblCellMar>
          <w:top w:w="0" w:type="dxa"/>
          <w:left w:w="0" w:type="dxa"/>
          <w:bottom w:w="0" w:type="dxa"/>
          <w:right w:w="0" w:type="dxa"/>
        </w:tblCellMar>
      </w:tblPr>
      <w:tblGrid>
        <w:gridCol w:w="2735"/>
        <w:gridCol w:w="60"/>
        <w:gridCol w:w="241"/>
        <w:gridCol w:w="1173"/>
        <w:gridCol w:w="69"/>
        <w:gridCol w:w="69"/>
        <w:gridCol w:w="283"/>
        <w:gridCol w:w="1132"/>
        <w:gridCol w:w="60"/>
        <w:gridCol w:w="60"/>
        <w:gridCol w:w="140"/>
        <w:gridCol w:w="68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25,154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268</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3,253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sz w:val="20"/>
              </w:rPr>
            </w:pPr>
            <w:r>
              <w:rPr>
                <w:sz w:val="20"/>
              </w:rPr>
              <w:t>*</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623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sz w:val="20"/>
              </w:rPr>
            </w:pPr>
            <w:r>
              <w:rPr>
                <w:sz w:val="20"/>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sales &amp; marketing</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29,030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22,203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325</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3065"/>
        <w:gridCol w:w="60"/>
        <w:gridCol w:w="241"/>
        <w:gridCol w:w="1173"/>
        <w:gridCol w:w="65"/>
        <w:gridCol w:w="65"/>
        <w:gridCol w:w="241"/>
        <w:gridCol w:w="1173"/>
        <w:gridCol w:w="60"/>
        <w:gridCol w:w="60"/>
        <w:gridCol w:w="140"/>
        <w:gridCol w:w="680"/>
        <w:gridCol w:w="60"/>
        <w:gridCol w:w="60"/>
        <w:gridCol w:w="152"/>
        <w:gridCol w:w="663"/>
        <w:gridCol w:w="23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58,597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57,641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29,648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18,953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56</w:t>
            </w:r>
          </w:p>
        </w:tc>
        <w:tc>
          <w:tcPr>
            <w:tcW w:w="23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sz w:val="20"/>
              </w:rPr>
            </w:pPr>
            <w:r>
              <w:rPr>
                <w:sz w:val="20"/>
              </w:rPr>
              <w:t>*</w:t>
            </w:r>
          </w:p>
        </w:tc>
        <w:tc>
          <w:tcPr>
            <w:tcW w:w="23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Total general and administrative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90,104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76,594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18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2885" w:type="dxa"/>
            <w:tcBorders/>
            <w:vAlign w:val="center"/>
          </w:tcPr>
          <w:p>
            <w:pPr>
              <w:pStyle w:val="TableContents"/>
              <w:bidi w:val="0"/>
              <w:spacing w:before="0" w:after="283"/>
              <w:jc w:val="both"/>
              <w:rPr>
                <w:sz w:val="20"/>
              </w:rPr>
            </w:pPr>
            <w:r>
              <w:rPr>
                <w:sz w:val="20"/>
              </w:rPr>
              <w:t>Percentage change 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5435"/>
        <w:gridCol w:w="60"/>
        <w:gridCol w:w="182"/>
        <w:gridCol w:w="982"/>
        <w:gridCol w:w="123"/>
        <w:gridCol w:w="78"/>
        <w:gridCol w:w="182"/>
        <w:gridCol w:w="828"/>
        <w:gridCol w:w="110"/>
      </w:tblGrid>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(25,656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(2,627</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553</w:t>
            </w:r>
          </w:p>
        </w:tc>
        <w:tc>
          <w:tcPr>
            <w:tcW w:w="12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22,267</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both"/>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(2,836</w:t>
            </w:r>
          </w:p>
        </w:tc>
        <w:tc>
          <w:tcPr>
            <w:tcW w:w="123"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(2,825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653" w:type="dxa"/>
        <w:jc w:val="left"/>
        <w:tblInd w:w="0" w:type="dxa"/>
        <w:tblLayout w:type="fixed"/>
        <w:tblCellMar>
          <w:top w:w="0" w:type="dxa"/>
          <w:left w:w="0" w:type="dxa"/>
          <w:bottom w:w="0" w:type="dxa"/>
          <w:right w:w="0" w:type="dxa"/>
        </w:tblCellMar>
      </w:tblPr>
      <w:tblGrid>
        <w:gridCol w:w="6500"/>
        <w:gridCol w:w="60"/>
        <w:gridCol w:w="221"/>
        <w:gridCol w:w="1193"/>
        <w:gridCol w:w="95"/>
        <w:gridCol w:w="60"/>
        <w:gridCol w:w="210"/>
        <w:gridCol w:w="1204"/>
        <w:gridCol w:w="110"/>
      </w:tblGrid>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(15,327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(54,662</w:t>
            </w:r>
          </w:p>
        </w:tc>
        <w:tc>
          <w:tcPr>
            <w:tcW w:w="110" w:type="dxa"/>
            <w:tcBorders/>
            <w:shd w:fill="CCEEFF" w:val="clear"/>
            <w:vAlign w:val="center"/>
          </w:tcPr>
          <w:p>
            <w:pPr>
              <w:pStyle w:val="TableContents"/>
              <w:bidi w:val="0"/>
              <w:spacing w:before="0" w:after="283"/>
              <w:jc w:val="left"/>
              <w:rPr/>
            </w:pPr>
            <w:r>
              <w:rPr/>
              <w:t>)</w:t>
            </w:r>
          </w:p>
        </w:tc>
      </w:tr>
      <w:tr>
        <w:trPr/>
        <w:tc>
          <w:tcPr>
            <w:tcW w:w="65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(54,657</w:t>
            </w:r>
          </w:p>
        </w:tc>
        <w:tc>
          <w:tcPr>
            <w:tcW w:w="110"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120,100</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(3,761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10,803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2026, we had 710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May 15,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745"/>
        <w:gridCol w:w="60"/>
        <w:gridCol w:w="2915"/>
        <w:gridCol w:w="60"/>
        <w:gridCol w:w="365"/>
      </w:tblGrid>
      <w:tr>
        <w:trPr/>
        <w:tc>
          <w:tcPr>
            <w:tcW w:w="17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Bernard Gutmann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60"/>
        <w:gridCol w:w="27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60"/>
        <w:gridCol w:w="34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May 15, 2026 are set forth below.</w:t>
      </w:r>
    </w:p>
    <w:p>
      <w:pPr>
        <w:pStyle w:val="TextBody"/>
        <w:bidi w:val="0"/>
        <w:spacing w:before="0" w:after="0"/>
        <w:ind w:left="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1655"/>
        <w:gridCol w:w="60"/>
        <w:gridCol w:w="350"/>
        <w:gridCol w:w="60"/>
        <w:gridCol w:w="3005"/>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Jeanne Nguyen.</w:t>
      </w:r>
      <w:r>
        <w:rPr>
          <w:rFonts w:ascii="Times New Roman;Times;Serif" w:hAnsi="Times New Roman;Times;Serif"/>
          <w:b w:val="false"/>
          <w:i w:val="false"/>
          <w:caps w:val="false"/>
          <w:smallCaps w:val="false"/>
          <w:sz w:val="20"/>
        </w:rPr>
        <w:t xml:space="preserve"> Jeanne Nguyen has served as the Chief Accounting Officer since 2024. Jeanne Nguyen served as the Interim Chief Financial 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Jamie Haenggi,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Jeanne Nguyen, our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66"/>
        <w:gridCol w:w="60"/>
        <w:gridCol w:w="440"/>
        <w:gridCol w:w="60"/>
        <w:gridCol w:w="60"/>
        <w:gridCol w:w="125"/>
        <w:gridCol w:w="695"/>
        <w:gridCol w:w="60"/>
        <w:gridCol w:w="60"/>
        <w:gridCol w:w="125"/>
        <w:gridCol w:w="485"/>
        <w:gridCol w:w="60"/>
        <w:gridCol w:w="60"/>
        <w:gridCol w:w="128"/>
        <w:gridCol w:w="712"/>
        <w:gridCol w:w="192"/>
        <w:gridCol w:w="60"/>
        <w:gridCol w:w="125"/>
        <w:gridCol w:w="695"/>
        <w:gridCol w:w="192"/>
        <w:gridCol w:w="60"/>
        <w:gridCol w:w="188"/>
        <w:gridCol w:w="1047"/>
        <w:gridCol w:w="192"/>
        <w:gridCol w:w="60"/>
        <w:gridCol w:w="125"/>
        <w:gridCol w:w="695"/>
        <w:gridCol w:w="78"/>
      </w:tblGrid>
      <w:tr>
        <w:trPr/>
        <w:tc>
          <w:tcPr>
            <w:tcW w:w="3366"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0" w:type="dxa"/>
            <w:gridSpan w:val="2"/>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r>
              <w:rPr>
                <w:rFonts w:ascii="Times New Roman;Times;Serif" w:hAnsi="Times New Roman;Times;Serif"/>
                <w:b/>
                <w:position w:val="7"/>
                <w:sz w:val="16"/>
                <w:sz w:val="20"/>
              </w:rPr>
              <w:t>(1)</w:t>
            </w:r>
          </w:p>
        </w:tc>
        <w:tc>
          <w:tcPr>
            <w:tcW w:w="1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p>
        </w:tc>
        <w:tc>
          <w:tcPr>
            <w:tcW w:w="1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p>
        </w:tc>
        <w:tc>
          <w:tcPr>
            <w:tcW w:w="1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Thurman J. (T.J.)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1,534</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353,034</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Accounting Officer and Former Interim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237,046</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295,346</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455,000</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789,833</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366"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780,000</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941,947</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2"/>
        <w:gridCol w:w="60"/>
        <w:gridCol w:w="660"/>
        <w:gridCol w:w="60"/>
        <w:gridCol w:w="1385"/>
        <w:gridCol w:w="60"/>
        <w:gridCol w:w="97"/>
        <w:gridCol w:w="958"/>
        <w:gridCol w:w="187"/>
        <w:gridCol w:w="60"/>
        <w:gridCol w:w="106"/>
        <w:gridCol w:w="1204"/>
        <w:gridCol w:w="187"/>
        <w:gridCol w:w="60"/>
        <w:gridCol w:w="186"/>
        <w:gridCol w:w="569"/>
        <w:gridCol w:w="60"/>
        <w:gridCol w:w="60"/>
        <w:gridCol w:w="114"/>
        <w:gridCol w:w="848"/>
        <w:gridCol w:w="60"/>
        <w:gridCol w:w="60"/>
        <w:gridCol w:w="60"/>
        <w:gridCol w:w="743"/>
        <w:gridCol w:w="60"/>
        <w:gridCol w:w="60"/>
        <w:gridCol w:w="125"/>
        <w:gridCol w:w="695"/>
        <w:gridCol w:w="79"/>
      </w:tblGrid>
      <w:tr>
        <w:trPr/>
        <w:tc>
          <w:tcPr>
            <w:tcW w:w="134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921"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74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c>
          <w:tcPr>
            <w:tcW w:w="79" w:type="dxa"/>
            <w:tcBorders/>
            <w:vAlign w:val="center"/>
          </w:tcPr>
          <w:p>
            <w:pPr>
              <w:pStyle w:val="TableContents"/>
              <w:bidi w:val="0"/>
              <w:spacing w:before="0" w:after="283"/>
              <w:ind w:left="0" w:right="0" w:hanging="180"/>
              <w:jc w:val="left"/>
              <w:rPr/>
            </w:pPr>
            <w:r>
              <w:rPr/>
              <w:t> </w:t>
            </w:r>
          </w:p>
        </w:tc>
      </w:tr>
      <w:tr>
        <w:trPr/>
        <w:tc>
          <w:tcPr>
            <w:tcW w:w="134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66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w:t>
              <w:br/>
              <w:t>Date</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w:t>
              <w:br/>
              <w:t>Commencement</w:t>
              <w:br/>
              <w:t>Date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 (#)</w:t>
              <w:br/>
              <w:t>Exercisable</w:t>
            </w:r>
          </w:p>
        </w:tc>
        <w:tc>
          <w:tcPr>
            <w:tcW w:w="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 (#)</w:t>
              <w:br/>
              <w:t>Unexerciseable</w:t>
            </w:r>
          </w:p>
        </w:tc>
        <w:tc>
          <w:tcPr>
            <w:tcW w:w="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 xml:space="preserve">Expiration </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or units</w:t>
              <w:br/>
              <w:t>of stock</w:t>
              <w:br/>
              <w:t>that have</w:t>
              <w:br/>
              <w:t>not</w:t>
              <w:br/>
              <w:t>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w:t>
              <w:br/>
              <w:t>value of</w:t>
              <w:br/>
              <w:t>shares</w:t>
              <w:br/>
              <w:t>or units</w:t>
              <w:br/>
              <w:t>of stock</w:t>
              <w:br/>
              <w:t>that have</w:t>
              <w:br/>
              <w:t>not</w:t>
              <w:br/>
              <w:t>vested (#)</w:t>
            </w:r>
          </w:p>
        </w:tc>
        <w:tc>
          <w:tcPr>
            <w:tcW w:w="79" w:type="dxa"/>
            <w:tcBorders/>
            <w:vAlign w:val="center"/>
          </w:tcPr>
          <w:p>
            <w:pPr>
              <w:pStyle w:val="TableContents"/>
              <w:bidi w:val="0"/>
              <w:spacing w:before="0" w:after="283"/>
              <w:ind w:left="0" w:right="0" w:hanging="180"/>
              <w:jc w:val="left"/>
              <w:rPr/>
            </w:pPr>
            <w:r>
              <w:rPr/>
              <w:t> </w:t>
            </w:r>
          </w:p>
        </w:tc>
      </w:tr>
      <w:tr>
        <w:trPr/>
        <w:tc>
          <w:tcPr>
            <w:tcW w:w="1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w:t>
            </w:r>
          </w:p>
        </w:tc>
        <w:tc>
          <w:tcPr>
            <w:tcW w:w="6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Rodgers</w:t>
            </w:r>
          </w:p>
        </w:tc>
        <w:tc>
          <w:tcPr>
            <w:tcW w:w="6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79,101</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6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10/14/2024</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10/14/2024</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197,588</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p>
        </w:tc>
        <w:tc>
          <w:tcPr>
            <w:tcW w:w="6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6/11/2024</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7/1/2025</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60"/>
        <w:gridCol w:w="8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ind w:left="0" w:right="0" w:hanging="0"/>
        <w:jc w:val="left"/>
        <w:rPr>
          <w:caps w:val="false"/>
          <w:smallCaps w:val="false"/>
        </w:rPr>
      </w:pPr>
      <w:r>
        <w:rPr>
          <w:caps w:val="false"/>
          <w:smallCaps w:val="false"/>
        </w:rPr>
        <w:t> </w:t>
      </w:r>
    </w:p>
    <w:tbl>
      <w:tblPr>
        <w:tblW w:w="6594" w:type="dxa"/>
        <w:jc w:val="left"/>
        <w:tblInd w:w="0" w:type="dxa"/>
        <w:tblLayout w:type="fixed"/>
        <w:tblCellMar>
          <w:top w:w="0" w:type="dxa"/>
          <w:left w:w="0" w:type="dxa"/>
          <w:bottom w:w="0" w:type="dxa"/>
          <w:right w:w="0" w:type="dxa"/>
        </w:tblCellMar>
      </w:tblPr>
      <w:tblGrid>
        <w:gridCol w:w="1685"/>
        <w:gridCol w:w="60"/>
        <w:gridCol w:w="154"/>
        <w:gridCol w:w="915"/>
        <w:gridCol w:w="60"/>
        <w:gridCol w:w="60"/>
        <w:gridCol w:w="125"/>
        <w:gridCol w:w="845"/>
        <w:gridCol w:w="230"/>
        <w:gridCol w:w="60"/>
        <w:gridCol w:w="166"/>
        <w:gridCol w:w="1069"/>
        <w:gridCol w:w="60"/>
        <w:gridCol w:w="60"/>
        <w:gridCol w:w="125"/>
        <w:gridCol w:w="845"/>
        <w:gridCol w:w="75"/>
      </w:tblGrid>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Fees Earned</w:t>
            </w:r>
          </w:p>
          <w:p>
            <w:pPr>
              <w:pStyle w:val="TableContents"/>
              <w:bidi w:val="0"/>
              <w:jc w:val="center"/>
              <w:rPr>
                <w:rFonts w:ascii="Times New Roman;Times;Serif" w:hAnsi="Times New Roman;Times;Serif"/>
                <w:b/>
                <w:sz w:val="20"/>
              </w:rPr>
            </w:pPr>
            <w:r>
              <w:rPr>
                <w:rFonts w:ascii="Times New Roman;Times;Serif" w:hAnsi="Times New Roman;Times;Serif"/>
                <w:b/>
                <w:sz w:val="20"/>
              </w:rPr>
              <w:t>or Paid in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center"/>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167,091</w:t>
            </w:r>
          </w:p>
        </w:tc>
        <w:tc>
          <w:tcPr>
            <w:tcW w:w="23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167,091</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160,901</w:t>
            </w:r>
          </w:p>
        </w:tc>
        <w:tc>
          <w:tcPr>
            <w:tcW w:w="23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160,901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156,776</w:t>
            </w:r>
          </w:p>
        </w:tc>
        <w:tc>
          <w:tcPr>
            <w:tcW w:w="23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156,776</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156,776</w:t>
            </w:r>
          </w:p>
        </w:tc>
        <w:tc>
          <w:tcPr>
            <w:tcW w:w="23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156,776</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169,153</w:t>
            </w:r>
          </w:p>
        </w:tc>
        <w:tc>
          <w:tcPr>
            <w:tcW w:w="23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169,153</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160,077</w:t>
            </w:r>
          </w:p>
        </w:tc>
        <w:tc>
          <w:tcPr>
            <w:tcW w:w="23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160,077</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214,536</w:t>
            </w:r>
          </w:p>
        </w:tc>
        <w:tc>
          <w:tcPr>
            <w:tcW w:w="23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214,536</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367,185</w:t>
            </w:r>
          </w:p>
        </w:tc>
        <w:tc>
          <w:tcPr>
            <w:tcW w:w="23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367,185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2,217,185</w:t>
            </w:r>
          </w:p>
        </w:tc>
        <w:tc>
          <w:tcPr>
            <w:tcW w:w="23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2,217,185</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May 15, 2026, by:</w:t>
      </w:r>
    </w:p>
    <w:p>
      <w:pPr>
        <w:pStyle w:val="TextBody"/>
        <w:bidi w:val="0"/>
        <w:spacing w:before="0" w:after="0"/>
        <w:ind w:left="960" w:right="0" w:hanging="48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145,819,663 shares of Common Stock outstanding as of May 15, 2026, adjusted as required by rules promulgated by the SEC.</w:t>
      </w:r>
    </w:p>
    <w:p>
      <w:pPr>
        <w:pStyle w:val="TextBody"/>
        <w:bidi w:val="0"/>
        <w:spacing w:before="0" w:after="0"/>
        <w:ind w:left="0"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28" w:type="dxa"/>
          <w:right w:w="0" w:type="dxa"/>
        </w:tblCellMar>
      </w:tblPr>
      <w:tblGrid>
        <w:gridCol w:w="6575"/>
        <w:gridCol w:w="60"/>
        <w:gridCol w:w="61"/>
        <w:gridCol w:w="1128"/>
        <w:gridCol w:w="60"/>
        <w:gridCol w:w="60"/>
        <w:gridCol w:w="65"/>
        <w:gridCol w:w="1529"/>
        <w:gridCol w:w="230"/>
      </w:tblGrid>
      <w:tr>
        <w:trPr/>
        <w:tc>
          <w:tcPr>
            <w:tcW w:w="65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Percentage of</w:t>
              <w:br/>
              <w:t>Common Stock</w:t>
              <w:br/>
              <w:t>Outstanding</w:t>
            </w:r>
          </w:p>
        </w:tc>
        <w:tc>
          <w:tcPr>
            <w:tcW w:w="230" w:type="dxa"/>
            <w:tcBorders/>
            <w:tcMar>
              <w:bottom w:w="0" w:type="dxa"/>
            </w:tcMar>
            <w:vAlign w:val="center"/>
          </w:tcPr>
          <w:p>
            <w:pPr>
              <w:pStyle w:val="TableContents"/>
              <w:bidi w:val="0"/>
              <w:spacing w:before="0" w:after="283"/>
              <w:jc w:val="left"/>
              <w:rPr/>
            </w:pPr>
            <w:r>
              <w:rPr/>
              <w:t> </w:t>
            </w:r>
          </w:p>
        </w:tc>
      </w:tr>
      <w:tr>
        <w:trPr/>
        <w:tc>
          <w:tcPr>
            <w:tcW w:w="6575" w:type="dxa"/>
            <w:tcBorders/>
            <w:tcMar>
              <w:bottom w:w="0" w:type="dxa"/>
            </w:tcMar>
            <w:vAlign w:val="center"/>
          </w:tcPr>
          <w:p>
            <w:pPr>
              <w:pStyle w:val="TableContents"/>
              <w:bidi w:val="0"/>
              <w:spacing w:before="0" w:after="283"/>
              <w:jc w:val="left"/>
              <w:rPr>
                <w:i/>
              </w:rPr>
            </w:pPr>
            <w:r>
              <w:rPr>
                <w:i/>
              </w:rPr>
              <w:t>5% or Greater Stockholders:</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8,399,653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                  </w:t>
            </w:r>
            <w:r>
              <w:rPr/>
              <w:t>5.8</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52,224,701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30.2</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17,857,902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11.5</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11,695,906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8.0</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Kline Hill</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7,299,695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5.0</w:t>
            </w:r>
          </w:p>
        </w:tc>
        <w:tc>
          <w:tcPr>
            <w:tcW w:w="230" w:type="dxa"/>
            <w:tcBorders/>
            <w:shd w:fill="CCEEFF" w:val="clear"/>
            <w:tcMar>
              <w:bottom w:w="0" w:type="dxa"/>
            </w:tcMar>
            <w:vAlign w:val="center"/>
          </w:tcPr>
          <w:p>
            <w:pPr>
              <w:pStyle w:val="TableContents"/>
              <w:bidi w:val="0"/>
              <w:spacing w:before="0" w:after="283"/>
              <w:ind w:left="0" w:right="0" w:hanging="156"/>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Carlyle Group</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7,211,351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5.0</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i/>
              </w:rPr>
            </w:pPr>
            <w:r>
              <w:rPr>
                <w:i/>
              </w:rPr>
              <w:t>Executive Officers and Incumbent Directors and Director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52,224,701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30.2</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2,953,083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2.0</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201,029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77,441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8,591,602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5.9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292,825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864,686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225,459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396,714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243,169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1,681,765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pPr>
            <w:r>
              <w:rPr/>
              <w:t>Jamie Haenggi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pPr>
            <w:r>
              <w:rPr/>
              <w:t>Bernard Gutmann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114,012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pPr>
            <w:r>
              <w:rPr/>
              <w:t>All Directors and executive officers as a group (14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67,866,486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5,832,054 shares held by Ecosystem Integrity Fund II, L.P., of which Mr. Devin Whatley is the managing member of the general partner, (ii) 198,346 shares held by EIF CS SPV LLC, and (iii) 2,369,253 shares issuable pursuant to warrants exercisable within 60 days of May 15,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May 15, 2026, and (viii) 116,601 shares issuable pursuant to stock options and restricted stock units exercisable or settleable within 60 days of May 15,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9,008,345 shares of common stock and 8,849,557 shares of common stock issuable upon conversion of 10.0% Notes held by the Chick Parm Pizza LLC. The business address of Chicken Parm Pizza LLC is 1750 West 11400 South, Suite 110, South Jordan, Utah 84095.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obtained from a Schedule 13G filed by KHP Fund GP LLC (“KHP Fund GP”) on February 5, 2025. Includes (i) an aggregate of 2,383,534 shares of common stock held by Kline Hill Partners Fund LP (“KHP LP”), Kline Hill Partners IV SPV LLC (“KHP IV SPV”) and Kline Hill Partners Opportunity IV SPV LLC (“KHP Opportunity IV SPV”), (ii) an aggregate of 4,745,675 shares of common stock issuable upon the conversion of the outstanding convertible promissory notes held by KHP LP, KHP IV SPV and KHP Opportunity IV SPV and (iii) an aggregate of 170,486 shares of common stock issuable upon the exercise of warrants held by KHP LP, KHP IV SPV and KHP Opportunity IV SPV. KHP Fund GP is the general partner of KHP LP and may be deemed to share voting, investment and dispositive power with respect to these securities. Kline Hill Partners Fund IV LP (“KHP IV LP”) is the sole member of KHP IV SPV and may be deemed to share voting, investment and dispositive power with respect to these securities. KHP Fund IV GP is the general partner of KHP IV LP and may be deemed to share voting, investment and dispositive power with respect to these securities. KHP Opportunity IV LP is the sole member of KHP Opportunity IV SPV and may be deemed to share voting, investment and dispositive power with respect to these securities. KHP Fund IV GP is the general partner of KHP Opportunity IV LP and may be deemed to share voting, investment and dispositive power with respect to these securities. Michael Bego and Jared Barlow are the managing members of KHP Fund GP and KPH Fund IV GP and may be deemed to share voting, investment and dispositive power with respect to these securities. Other than those securities reported herein as being held directly by such securityholder, each of them disclaims any such beneficial ownership of such securities, except to the extent of their respective pecuniary interest. The business address for Kline Hill is 325 Greenwich Ave., 3rd Floor, Greenwich, CT 06830.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obtained from a Schedule 13G, as amended, filed by the Carlyle Group Inc. (“Carlyle”) and its affiliates on November 13, 2025. Includes (i) 1,258,970 shares of common stock held of record by CRSEF Solis Holdings, L.L.C. and (ii) 5,952,381 shares of common stock issuable upon the conversion of the 12% Notes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405,090 shares of common stock, (ii) 671,738 shares of common stock issued or issuable upon settlement of restricted stock units, (iii) 1,735,068 shares issuable pursuant to stock options exercisable within 60 days of May 15, 2026, and (iv) 141,187 shares issuable pursuant to warrants exercisable within 60 days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106,577 shares of common stock issued or issuable upon settlement of restricted stock units and (ii) 94,452 shares issuable pursuant to stock options exercisable within 60 days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410"/>
        <w:gridCol w:w="336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 </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80,245 shares of common stock and 106,011 shares of common stock issued or issuable upon settlement of restricted stock units, (ii) 12,117 shares issuable pursuant to warrants exercisable within 60 days of May 15, 2026, and (iii) 94,452 shares issuable pursuant to stock options exercisable within 60 days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174,515 shares of common stock and 110,656 shares of common stock issued or issuable upon settlement of restricted stock units, (ii) 480,000 shares issuable pursuant to warrants exercisable within 60 days of May 15, 2026, and (iii) 99,515 shares issuable pursuant to stock options exercisable within 60 days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(13) </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112,022 shares of common stock issued or issuable upon settlement of restricted stock units and (ii) 113,437 shares issuable pursuant to stock options exercisable within 60 days of May 15, 2026.</w:t>
            </w:r>
          </w:p>
        </w:tc>
      </w:tr>
      <w:tr>
        <w:trPr/>
        <w:tc>
          <w:tcPr>
            <w:tcW w:w="364" w:type="dxa"/>
            <w:tcBorders/>
            <w:vAlign w:val="center"/>
          </w:tcPr>
          <w:p>
            <w:pPr>
              <w:pStyle w:val="TableContents"/>
              <w:bidi w:val="0"/>
              <w:spacing w:before="0" w:after="283"/>
              <w:jc w:val="left"/>
              <w:rPr/>
            </w:pPr>
            <w:r>
              <w:rPr/>
              <w:t> </w:t>
            </w:r>
          </w:p>
        </w:tc>
        <w:tc>
          <w:tcPr>
            <w:tcW w:w="9841" w:type="dxa"/>
            <w:tcBorders/>
            <w:vAlign w:val="center"/>
          </w:tcPr>
          <w:p>
            <w:pPr>
              <w:pStyle w:val="TableContents"/>
              <w:bidi w:val="0"/>
              <w:spacing w:before="0" w:after="283"/>
              <w:jc w:val="both"/>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103,825 shares of common stock issued or issuable upon settlement of restricted stock units and (ii) 292,889 shares issuable pursuant to stock options exercisable within 60 days of May 15, 2026.</w:t>
            </w:r>
          </w:p>
        </w:tc>
      </w:tr>
      <w:tr>
        <w:trPr/>
        <w:tc>
          <w:tcPr>
            <w:tcW w:w="364" w:type="dxa"/>
            <w:tcBorders/>
            <w:vAlign w:val="center"/>
          </w:tcPr>
          <w:p>
            <w:pPr>
              <w:pStyle w:val="TableContents"/>
              <w:bidi w:val="0"/>
              <w:spacing w:before="0" w:after="283"/>
              <w:jc w:val="left"/>
              <w:rPr/>
            </w:pPr>
            <w:r>
              <w:rPr/>
              <w:t> </w:t>
            </w:r>
          </w:p>
        </w:tc>
        <w:tc>
          <w:tcPr>
            <w:tcW w:w="9841" w:type="dxa"/>
            <w:tcBorders/>
            <w:vAlign w:val="center"/>
          </w:tcPr>
          <w:p>
            <w:pPr>
              <w:pStyle w:val="TableContents"/>
              <w:bidi w:val="0"/>
              <w:spacing w:before="0" w:after="283"/>
              <w:jc w:val="both"/>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r>
        <w:trPr/>
        <w:tc>
          <w:tcPr>
            <w:tcW w:w="318"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both"/>
              <w:rPr/>
            </w:pPr>
            <w:r>
              <w:rPr/>
              <w:t> </w:t>
            </w:r>
          </w:p>
        </w:tc>
      </w:tr>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114,012 shares of common stock issued or issuable upon settlement of restricted stock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the Selling Securityholder of any or all of the shares of common stock that may be issued by us to White Lion under the White Lion Purchase Agreement. We are registering the shares of common stock pursuant to the provisions of the RRA we entered into with White Lion on July 16, 2024 in order to permit the Selling Securityholder to offer the shares for resale from time to time. Except for the transactions contemplated by the White Lion Purchase Agreement and the RRA or as otherwise disclosed in this prospectus, White Lion has not had any material relationship with us within the past three years. As used in this prospectus, the term “Selling Securityholder” means White Lion Capital, LLC.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regarding the Selling Securityholder and the shares of common stock that it may offer from time to time under this prospectus. This table is prepared based on information supplied to us by the Selling Securityholder, and reflects holdings as of May 15, 2026. The number of shares in the column “Maximum Number of Shares of Common Stock to be Offered Pursuant to this Prospectus” represents all of the shares of common stock that the Selling Securityholder may offer under this prospectus. The Selling Securityholder may sell some, all or none of its shares in this offering. We do not know how long the Selling Securityholder will hold the shares before selling them, and we currently have no agreements, arrangements or understandings with the Selling Securityholder regarding the sale of any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 has voting and investment power. The percentage of shares of common stock beneficially owned by the Selling Securityholder prior to the offering shown in the table below is based on an aggregate of 145,819,663 shares of our common stock outstanding on May 15, 2026. Because the purchase price of the shares of common stock issuable under the White Lion Purchase Agreement is determined on the closing date with respect to each purchase, the number of shares that may actually be sold by the Company under the White Lion Purchase Agreement may be fewer than the number of shares being offered by this prospectus. The fourth column assumes the sale of all of the shares offered by the Selling Securityholder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stockholders’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675"/>
        <w:gridCol w:w="60"/>
        <w:gridCol w:w="296"/>
        <w:gridCol w:w="623"/>
        <w:gridCol w:w="233"/>
        <w:gridCol w:w="233"/>
        <w:gridCol w:w="366"/>
        <w:gridCol w:w="508"/>
        <w:gridCol w:w="60"/>
        <w:gridCol w:w="60"/>
        <w:gridCol w:w="126"/>
        <w:gridCol w:w="2008"/>
        <w:gridCol w:w="60"/>
        <w:gridCol w:w="60"/>
        <w:gridCol w:w="296"/>
        <w:gridCol w:w="623"/>
        <w:gridCol w:w="247"/>
        <w:gridCol w:w="247"/>
        <w:gridCol w:w="366"/>
        <w:gridCol w:w="508"/>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Common Stock</w:t>
              <w:br/>
              <w:t>Owned Prior to</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Number of</w:t>
              <w:br/>
              <w:t>Shares of Common Stock</w:t>
              <w:br/>
              <w:t>to be Offered Pursuant to</w:t>
              <w:br/>
              <w:t>this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Common Stock</w:t>
              <w:br/>
              <w:t>Owned After Offering</w:t>
            </w:r>
          </w:p>
        </w:tc>
        <w:tc>
          <w:tcPr>
            <w:tcW w:w="75" w:type="dxa"/>
            <w:tcBorders/>
            <w:vAlign w:val="center"/>
          </w:tcPr>
          <w:p>
            <w:pPr>
              <w:pStyle w:val="TableContents"/>
              <w:bidi w:val="0"/>
              <w:spacing w:before="0" w:after="283"/>
              <w:jc w:val="left"/>
              <w:rPr/>
            </w:pPr>
            <w:r>
              <w:rPr/>
              <w:t> </w:t>
            </w:r>
          </w:p>
        </w:tc>
      </w:tr>
      <w:tr>
        <w:trPr/>
        <w:tc>
          <w:tcPr>
            <w:tcW w:w="2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(1)</w:t>
            </w:r>
          </w:p>
        </w:tc>
        <w:tc>
          <w:tcPr>
            <w:tcW w:w="23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(3)</w:t>
            </w:r>
          </w:p>
        </w:tc>
        <w:tc>
          <w:tcPr>
            <w:tcW w:w="247"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(2)</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Lion Capital, LLC(4)</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48,521,163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47"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Rule 13d-3(d) under the Exchange Act, we have excluded from the number of shares beneficially owned prior to the offering all of the shares that White Lion Capital may be required to purchase under the White Lion Purchase Agreement because the issuance of such shares is solely at our discretion and is subject to conditions contained in the White Lion Purchase Agreement, the satisfaction of which are entirely outside of White Lion Capital’s control, including the registration statement that includes this prospectus becoming and remaining effective. Furthermore, the purchase of common stock are subject to certain agreed upon maximum amount limitations set forth in the White Lion Purchase Agreement. Also, the White Lion Purchase Agreement prohibits us from issuing and selling any shares of our common stock to White Lion Capital to the extent such shares, when aggregated with all other shares of our common stock then beneficially owned by White Lion Capital, would cause White Lion Capital’s beneficial ownership of our common stock to exceed a 9.99% Beneficial Ownership Limitation. The Beneficial Ownership Limitation may not be amended or waived under the White Lion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ownership is based on 145,819,663 shares of our common stock outstanding as of May 15, 2026.</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60"/>
        <w:gridCol w:w="57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of White Lion Capital, LLC is 17631 Ventura Blvd., Suite 1008, Encino, CA 91316. White Lion Capital’s principal business is that of a private investor. Yash Thukral, Sam Yaffa, and Nathan Yee are the managing principals of White Lion Capital, each of whom may be deemed to have sole voting control and investment discretion over securities beneficially owned directly or indirectly by White Lion Capital. We have been advised that White Lion Capital is not a member of the Financial Industry Regulatory Authority, or FINRA, or an independent broker-dealer. The foregoing should not be construed in and of itself as an admission by Slobodskiy Jr., Thukral, Yaffa, and Yee as to beneficial ownership of the securities beneficially owned directly or indirectly by White Lion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May 15, 2026, there were 145,819,663 shares of common stock issued and outstanding and no preferred shares of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firstLine="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2870"/>
        <w:gridCol w:w="60"/>
        <w:gridCol w:w="78"/>
        <w:gridCol w:w="646"/>
        <w:gridCol w:w="60"/>
        <w:gridCol w:w="60"/>
        <w:gridCol w:w="64"/>
        <w:gridCol w:w="526"/>
        <w:gridCol w:w="60"/>
        <w:gridCol w:w="60"/>
        <w:gridCol w:w="64"/>
        <w:gridCol w:w="526"/>
        <w:gridCol w:w="60"/>
        <w:gridCol w:w="60"/>
        <w:gridCol w:w="64"/>
        <w:gridCol w:w="526"/>
        <w:gridCol w:w="60"/>
        <w:gridCol w:w="60"/>
        <w:gridCol w:w="64"/>
        <w:gridCol w:w="526"/>
        <w:gridCol w:w="60"/>
        <w:gridCol w:w="60"/>
        <w:gridCol w:w="64"/>
        <w:gridCol w:w="526"/>
        <w:gridCol w:w="60"/>
        <w:gridCol w:w="60"/>
        <w:gridCol w:w="64"/>
        <w:gridCol w:w="526"/>
        <w:gridCol w:w="60"/>
        <w:gridCol w:w="60"/>
        <w:gridCol w:w="64"/>
        <w:gridCol w:w="526"/>
        <w:gridCol w:w="60"/>
        <w:gridCol w:w="60"/>
        <w:gridCol w:w="78"/>
        <w:gridCol w:w="646"/>
        <w:gridCol w:w="75"/>
      </w:tblGrid>
      <w:tr>
        <w:trPr/>
        <w:tc>
          <w:tcPr>
            <w:tcW w:w="2870"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Redemption Date</w:t>
            </w:r>
          </w:p>
        </w:tc>
        <w:tc>
          <w:tcPr>
            <w:tcW w:w="60" w:type="dxa"/>
            <w:tcBorders/>
            <w:vAlign w:val="center"/>
          </w:tcPr>
          <w:p>
            <w:pPr>
              <w:pStyle w:val="TableContents"/>
              <w:bidi w:val="0"/>
              <w:spacing w:before="0" w:after="283"/>
              <w:jc w:val="left"/>
              <w:rPr/>
            </w:pPr>
            <w:r>
              <w:rPr/>
              <w:t> </w:t>
            </w:r>
          </w:p>
        </w:tc>
        <w:tc>
          <w:tcPr>
            <w:tcW w:w="6538" w:type="dxa"/>
            <w:gridSpan w:val="3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Market Value of Common Stock</w:t>
            </w:r>
          </w:p>
        </w:tc>
        <w:tc>
          <w:tcPr>
            <w:tcW w:w="75" w:type="dxa"/>
            <w:tcBorders/>
            <w:vAlign w:val="center"/>
          </w:tcPr>
          <w:p>
            <w:pPr>
              <w:pStyle w:val="TableContents"/>
              <w:bidi w:val="0"/>
              <w:spacing w:before="0" w:after="283"/>
              <w:ind w:left="0" w:right="0" w:hanging="180"/>
              <w:jc w:val="left"/>
              <w:rPr/>
            </w:pPr>
            <w:r>
              <w:rPr/>
              <w:t> </w:t>
            </w:r>
          </w:p>
        </w:tc>
      </w:tr>
      <w:tr>
        <w:trPr/>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(period to expiration of warrants)</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75" w:type="dxa"/>
            <w:tcBorders/>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months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months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Ayna Warrant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income tax treatment of a non-U.S. Holder’s exercise of a Warrant generally will correspond to the U.S. federal income tax treatment of the exercise of a Warrant by a U.S. Holder, as described under ”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xml:space="preserve">” above, although to the extent a cashless exercise results in a taxable exchange, the tax consequences to the non-U.S. Holder would be the same as those described below in ”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Securityholder, White Lion Capital, LLC. The shares may be sold or distributed from time to time by the Selling Securityholder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is an “underwriter” within the meaning of Section 2(a)(11) of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has informed us that it intends to use one or more registered broker-dealers to effectuate all sales, if any, of our common stock that it may acquire from us pursuant to the White Lion Purchase Agreement. Such sales will be made at prices and at terms then prevailing or at prices related to the then current market price. Each such registered broker-dealer will be an underwriter within the meaning of Section 2(a)(11) of the Securities Act. White Lion has informed us that each such broker-dealer may receive commissions from White Lion and, if so, such commissions will not exceed customary brokerage commissions.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 through this prospectus. The compensation paid to any such particular broker-dealer by any such purchasers of shares of our common stock sold by the Selling Securityholder may be less than or in excess of customary commissions. Neither we nor the Selling Securityholder can presently estimate the amount of compensation that any agent will receive from any purchasers of shares of our common stock sold by the Selling Securityholder.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Securityholder or any other stockholder, broker, dealer, underwriter or agent relating to the sale or distribution of the shares of our common stock offered by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 including the names of any brokers, dealers, underwriters or agents participating in the distribution of such shares by the Selling Securityholder, any compensation paid by the Selling Securityholder to any such brokers, dealers, underwriters or agents, and any other required information.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White Lion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White Lion has agreed to indemnify us against liabilities under the Securities Act that may arise from certain written information furnished to us by White Lion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for the offering will be approximately $185,662.10.</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has represented to us that at no time prior to the date of the White Lion Purchase Agreement has White Lion, any of its affiliates or any entity managed or controlled by White Lion engaged in or effected, directly or indirectly, for its own principal account, any short sale (as such term is defined in Rule 200 of Regulation SHO of the Exchange Act) of our common stock that establishes a net short position with respect to our common stock. White Lion has agreed that during the term of the White Lion Purchase Agreement, none of White Lion, any of its affiliates nor any entity managed or controlled by White Lion will enter into or effect, directly or indirectly, any of the foregoing transactions for its own principal account or for the principal account of any other such entity.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 that it is required to comply with Regulation M promulgated under the Exchange Act. With certain exceptions, Regulation M precludes the Selling Securityholder,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9"/>
        <w:gridCol w:w="60"/>
        <w:gridCol w:w="426"/>
      </w:tblGrid>
      <w:tr>
        <w:trPr/>
        <w:tc>
          <w:tcPr>
            <w:tcW w:w="971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2"/>
        <w:gridCol w:w="60"/>
        <w:gridCol w:w="473"/>
      </w:tblGrid>
      <w:tr>
        <w:trPr/>
        <w:tc>
          <w:tcPr>
            <w:tcW w:w="967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1"/>
        <w:gridCol w:w="60"/>
        <w:gridCol w:w="434"/>
      </w:tblGrid>
      <w:tr>
        <w:trPr/>
        <w:tc>
          <w:tcPr>
            <w:tcW w:w="971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711"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711"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711"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711"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 Energy,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I_002">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7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1" w:type="dxa"/>
            <w:tcBorders/>
            <w:shd w:fill="CCEEFF" w:val="clear"/>
            <w:vAlign w:val="center"/>
          </w:tcPr>
          <w:p>
            <w:pPr>
              <w:pStyle w:val="TableContents"/>
              <w:bidi w:val="0"/>
              <w:spacing w:before="0" w:after="283"/>
              <w:jc w:val="left"/>
              <w:rPr/>
            </w:pPr>
            <w:hyperlink w:anchor="I_003">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60"/>
        <w:gridCol w:w="141"/>
        <w:gridCol w:w="887"/>
        <w:gridCol w:w="95"/>
        <w:gridCol w:w="60"/>
        <w:gridCol w:w="188"/>
        <w:gridCol w:w="1182"/>
        <w:gridCol w:w="112"/>
      </w:tblGrid>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28,</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9,488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9,617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480" w:type="dxa"/>
            <w:tcBorders/>
            <w:shd w:fill="FFFFFF" w:val="clear"/>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80,585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81,946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4,375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27,852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16,913</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3,841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4,552</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50,814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75,607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62,630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28,348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26,240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70,006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56,977</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21,500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Short-term debt with third parties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2,786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16,879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20,336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535</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171,798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154,638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3,059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4,361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794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Notes payable and derivative liabilities, net of current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120,159</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35,130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1,300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323,539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480"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389,849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366,408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(451,483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112" w:type="dxa"/>
            <w:tcBorders/>
            <w:shd w:fill="FFFFFF" w:val="clear"/>
            <w:vAlign w:val="center"/>
          </w:tcPr>
          <w:p>
            <w:pPr>
              <w:pStyle w:val="TableContents"/>
              <w:bidi w:val="0"/>
              <w:spacing w:before="0" w:after="283"/>
              <w:jc w:val="left"/>
              <w:rPr/>
            </w:pPr>
            <w:r>
              <w:rPr/>
              <w:t>)</w:t>
            </w:r>
          </w:p>
        </w:tc>
      </w:tr>
      <w:tr>
        <w:trPr/>
        <w:tc>
          <w:tcPr>
            <w:tcW w:w="7480" w:type="dxa"/>
            <w:tcBorders/>
            <w:shd w:fill="CCEEFF" w:val="clear"/>
            <w:vAlign w:val="center"/>
          </w:tcPr>
          <w:p>
            <w:pPr>
              <w:pStyle w:val="TableContents"/>
              <w:bidi w:val="0"/>
              <w:spacing w:before="0" w:after="283"/>
              <w:jc w:val="both"/>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12" w:type="dxa"/>
            <w:tcBorders/>
            <w:shd w:fill="CCEEFF" w:val="clear"/>
            <w:vAlign w:val="center"/>
          </w:tcPr>
          <w:p>
            <w:pPr>
              <w:pStyle w:val="TableContents"/>
              <w:bidi w:val="0"/>
              <w:spacing w:before="0" w:after="283"/>
              <w:jc w:val="left"/>
              <w:rPr/>
            </w:pPr>
            <w:r>
              <w:rPr/>
              <w:t>)</w:t>
            </w:r>
          </w:p>
        </w:tc>
      </w:tr>
      <w:tr>
        <w:trPr/>
        <w:tc>
          <w:tcPr>
            <w:tcW w:w="7480" w:type="dxa"/>
            <w:tcBorders/>
            <w:shd w:fill="FFFFFF" w:val="clear"/>
            <w:vAlign w:val="center"/>
          </w:tcPr>
          <w:p>
            <w:pPr>
              <w:pStyle w:val="TableContents"/>
              <w:bidi w:val="0"/>
              <w:spacing w:before="0" w:after="283"/>
              <w:jc w:val="both"/>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0"/>
        <w:gridCol w:w="60"/>
        <w:gridCol w:w="140"/>
        <w:gridCol w:w="1220"/>
        <w:gridCol w:w="95"/>
        <w:gridCol w:w="60"/>
        <w:gridCol w:w="140"/>
        <w:gridCol w:w="1220"/>
        <w:gridCol w:w="100"/>
      </w:tblGrid>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72,793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78,413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31,102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(6,041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Comprehensive income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Net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Weighted-average shares used to compute net income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163,787,402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112,302,063</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3"/>
        <w:gridCol w:w="60"/>
        <w:gridCol w:w="341"/>
        <w:gridCol w:w="763"/>
        <w:gridCol w:w="132"/>
        <w:gridCol w:w="132"/>
        <w:gridCol w:w="341"/>
        <w:gridCol w:w="763"/>
        <w:gridCol w:w="80"/>
      </w:tblGrid>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80" w:type="dxa"/>
            <w:tcBorders/>
            <w:vAlign w:val="center"/>
          </w:tcPr>
          <w:p>
            <w:pPr>
              <w:pStyle w:val="TableContents"/>
              <w:bidi w:val="0"/>
              <w:spacing w:before="0" w:after="283"/>
              <w:jc w:val="left"/>
              <w:rPr/>
            </w:pPr>
            <w:r>
              <w:rPr/>
              <w:t> </w:t>
            </w:r>
          </w:p>
        </w:tc>
      </w:tr>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80" w:type="dxa"/>
            <w:tcBorders/>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80" w:type="dxa"/>
            <w:tcBorders/>
            <w:shd w:fill="CCEEFF" w:val="clear"/>
            <w:vAlign w:val="center"/>
          </w:tcPr>
          <w:p>
            <w:pPr>
              <w:pStyle w:val="TableContents"/>
              <w:bidi w:val="0"/>
              <w:spacing w:before="0" w:after="283"/>
              <w:jc w:val="left"/>
              <w:rPr/>
            </w:pPr>
            <w:r>
              <w:rPr/>
              <w:t> </w:t>
            </w:r>
          </w:p>
        </w:tc>
      </w:tr>
      <w:tr>
        <w:trPr/>
        <w:tc>
          <w:tcPr>
            <w:tcW w:w="7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5"/>
        <w:gridCol w:w="60"/>
        <w:gridCol w:w="60"/>
        <w:gridCol w:w="1220"/>
        <w:gridCol w:w="60"/>
        <w:gridCol w:w="60"/>
        <w:gridCol w:w="301"/>
        <w:gridCol w:w="559"/>
        <w:gridCol w:w="60"/>
        <w:gridCol w:w="60"/>
        <w:gridCol w:w="163"/>
        <w:gridCol w:w="937"/>
        <w:gridCol w:w="60"/>
        <w:gridCol w:w="60"/>
        <w:gridCol w:w="188"/>
        <w:gridCol w:w="1182"/>
        <w:gridCol w:w="95"/>
        <w:gridCol w:w="60"/>
        <w:gridCol w:w="433"/>
        <w:gridCol w:w="1177"/>
        <w:gridCol w:w="60"/>
        <w:gridCol w:w="60"/>
        <w:gridCol w:w="209"/>
        <w:gridCol w:w="1134"/>
        <w:gridCol w:w="112"/>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8"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12"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1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8"/>
        <w:gridCol w:w="60"/>
        <w:gridCol w:w="60"/>
        <w:gridCol w:w="1100"/>
        <w:gridCol w:w="60"/>
        <w:gridCol w:w="60"/>
        <w:gridCol w:w="301"/>
        <w:gridCol w:w="559"/>
        <w:gridCol w:w="60"/>
        <w:gridCol w:w="60"/>
        <w:gridCol w:w="163"/>
        <w:gridCol w:w="937"/>
        <w:gridCol w:w="60"/>
        <w:gridCol w:w="60"/>
        <w:gridCol w:w="188"/>
        <w:gridCol w:w="1182"/>
        <w:gridCol w:w="95"/>
        <w:gridCol w:w="60"/>
        <w:gridCol w:w="433"/>
        <w:gridCol w:w="1177"/>
        <w:gridCol w:w="60"/>
        <w:gridCol w:w="60"/>
        <w:gridCol w:w="212"/>
        <w:gridCol w:w="1149"/>
        <w:gridCol w:w="111"/>
      </w:tblGrid>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6"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11"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0"/>
        <w:gridCol w:w="60"/>
        <w:gridCol w:w="165"/>
        <w:gridCol w:w="897"/>
        <w:gridCol w:w="113"/>
        <w:gridCol w:w="71"/>
        <w:gridCol w:w="170"/>
        <w:gridCol w:w="925"/>
        <w:gridCol w:w="114"/>
      </w:tblGrid>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5,250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4,812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Adjustments to reconcile net income from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1,605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469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504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288</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(608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3,609</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1,583</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1,087</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SAFE Agreement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44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20</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1,142</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(268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(26,608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(15,127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(615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1,092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deferred consideration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(2,943</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Change in fair value of deferred consideration with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(2,307</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debt obligations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320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3,655</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(223</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2,016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11,386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(11,279</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(4,413</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(1,756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6,896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9,702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(5,525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(25,656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acquisition, net of cash acquired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553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convertible notes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10,710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200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issuance of convertible notes due to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1,300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Finance lease payments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(515</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Principal repayment of notes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(1,078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6,991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57</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exercise of warrant for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Investor financing deposit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(2,836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(2,825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10,622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5" w:type="dxa"/>
            <w:tcBorders>
              <w:bottom w:val="double" w:sz="10" w:space="0" w:color="000000"/>
            </w:tcBorders>
            <w:shd w:fill="FFFFFF" w:val="clear"/>
            <w:tcMar>
              <w:bottom w:w="28" w:type="dxa"/>
            </w:tcMar>
            <w:vAlign w:val="center"/>
          </w:tcPr>
          <w:p>
            <w:pPr>
              <w:pStyle w:val="TableContents"/>
              <w:bidi w:val="0"/>
              <w:spacing w:before="0" w:after="283"/>
              <w:jc w:val="right"/>
              <w:rPr/>
            </w:pPr>
            <w:r>
              <w:rPr/>
              <w:t>14,394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5,263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1,388</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 of noncash financing and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convertible note in exchange for investor deposit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2,000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Conversion of 7% unsecured notes for shares of common stock</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2,646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common stock as partial consideration for acquisition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3,333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recognized for acquisition of Cobalt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6,331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Tax effect of Cobalt acquisition accounted for as Goodwill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1,001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reclassified to Additional paid-in capital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8,533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45"/>
        <w:gridCol w:w="812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4475"/>
        <w:gridCol w:w="60"/>
        <w:gridCol w:w="182"/>
        <w:gridCol w:w="887"/>
        <w:gridCol w:w="60"/>
        <w:gridCol w:w="60"/>
        <w:gridCol w:w="241"/>
        <w:gridCol w:w="117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293" w:type="dxa"/>
        <w:jc w:val="left"/>
        <w:tblInd w:w="0" w:type="dxa"/>
        <w:tblLayout w:type="fixed"/>
        <w:tblCellMar>
          <w:top w:w="0" w:type="dxa"/>
          <w:left w:w="0" w:type="dxa"/>
          <w:bottom w:w="0" w:type="dxa"/>
          <w:right w:w="0" w:type="dxa"/>
        </w:tblCellMar>
      </w:tblPr>
      <w:tblGrid>
        <w:gridCol w:w="5750"/>
        <w:gridCol w:w="60"/>
        <w:gridCol w:w="195"/>
        <w:gridCol w:w="884"/>
        <w:gridCol w:w="132"/>
        <w:gridCol w:w="83"/>
        <w:gridCol w:w="195"/>
        <w:gridCol w:w="884"/>
        <w:gridCol w:w="110"/>
      </w:tblGrid>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0"/>
        <w:gridCol w:w="60"/>
        <w:gridCol w:w="140"/>
        <w:gridCol w:w="560"/>
        <w:gridCol w:w="75"/>
      </w:tblGrid>
      <w:tr>
        <w:trPr/>
        <w:tc>
          <w:tcPr>
            <w:tcW w:w="9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CCEEFF" w:val="clear"/>
            <w:vAlign w:val="center"/>
          </w:tcPr>
          <w:p>
            <w:pPr>
              <w:pStyle w:val="TableContents"/>
              <w:bidi w:val="0"/>
              <w:spacing w:before="0" w:after="283"/>
              <w:jc w:val="left"/>
              <w:rPr/>
            </w:pPr>
            <w:r>
              <w:rPr/>
              <w:t> </w:t>
            </w:r>
          </w:p>
        </w:tc>
      </w:tr>
      <w:tr>
        <w:trPr/>
        <w:tc>
          <w:tcPr>
            <w:tcW w:w="9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FFFFFF" w:val="clear"/>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34" w:type="dxa"/>
        <w:jc w:val="left"/>
        <w:tblInd w:w="0" w:type="dxa"/>
        <w:tblLayout w:type="fixed"/>
        <w:tblCellMar>
          <w:top w:w="0" w:type="dxa"/>
          <w:left w:w="0" w:type="dxa"/>
          <w:bottom w:w="0" w:type="dxa"/>
          <w:right w:w="0" w:type="dxa"/>
        </w:tblCellMar>
      </w:tblPr>
      <w:tblGrid>
        <w:gridCol w:w="6230"/>
        <w:gridCol w:w="60"/>
        <w:gridCol w:w="262"/>
        <w:gridCol w:w="1272"/>
        <w:gridCol w:w="110"/>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1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1,739</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485</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3,871</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(3,864</w:t>
            </w:r>
          </w:p>
        </w:tc>
        <w:tc>
          <w:tcPr>
            <w:tcW w:w="110" w:type="dxa"/>
            <w:tcBorders/>
            <w:shd w:fill="FFFFFF" w:val="clear"/>
            <w:vAlign w:val="center"/>
          </w:tcPr>
          <w:p>
            <w:pPr>
              <w:pStyle w:val="TableContents"/>
              <w:bidi w:val="0"/>
              <w:spacing w:before="0" w:after="283"/>
              <w:jc w:val="left"/>
              <w:rPr/>
            </w:pPr>
            <w:r>
              <w:rPr/>
              <w:t>)</w:t>
            </w:r>
          </w:p>
        </w:tc>
      </w:tr>
      <w:tr>
        <w:trPr/>
        <w:tc>
          <w:tcPr>
            <w:tcW w:w="623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(1,002</w:t>
            </w:r>
          </w:p>
        </w:tc>
        <w:tc>
          <w:tcPr>
            <w:tcW w:w="110" w:type="dxa"/>
            <w:tcBorders/>
            <w:shd w:fill="CCEEFF" w:val="clear"/>
            <w:vAlign w:val="center"/>
          </w:tcPr>
          <w:p>
            <w:pPr>
              <w:pStyle w:val="TableContents"/>
              <w:bidi w:val="0"/>
              <w:spacing w:before="0" w:after="283"/>
              <w:jc w:val="left"/>
              <w:rPr/>
            </w:pPr>
            <w:r>
              <w:rPr/>
              <w:t>)</w:t>
            </w:r>
          </w:p>
        </w:tc>
      </w:tr>
      <w:tr>
        <w:trPr/>
        <w:tc>
          <w:tcPr>
            <w:tcW w:w="6230" w:type="dxa"/>
            <w:tcBorders/>
            <w:shd w:fill="FFFFFF" w:val="clear"/>
            <w:vAlign w:val="center"/>
          </w:tcPr>
          <w:p>
            <w:pPr>
              <w:pStyle w:val="TableContents"/>
              <w:bidi w:val="0"/>
              <w:spacing w:before="0" w:after="283"/>
              <w:jc w:val="left"/>
              <w:rPr/>
            </w:pPr>
            <w:r>
              <w:rPr/>
              <w:t>Short-term debt with third parties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(2,706</w:t>
            </w:r>
          </w:p>
        </w:tc>
        <w:tc>
          <w:tcPr>
            <w:tcW w:w="110" w:type="dxa"/>
            <w:tcBorders/>
            <w:shd w:fill="FFFFFF" w:val="clear"/>
            <w:vAlign w:val="center"/>
          </w:tcPr>
          <w:p>
            <w:pPr>
              <w:pStyle w:val="TableContents"/>
              <w:bidi w:val="0"/>
              <w:spacing w:before="0" w:after="283"/>
              <w:jc w:val="left"/>
              <w:rPr/>
            </w:pPr>
            <w:r>
              <w:rPr/>
              <w:t>)</w:t>
            </w:r>
          </w:p>
        </w:tc>
      </w:tr>
      <w:tr>
        <w:trPr/>
        <w:tc>
          <w:tcPr>
            <w:tcW w:w="623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w:t>
            </w:r>
          </w:p>
        </w:tc>
      </w:tr>
      <w:tr>
        <w:trPr/>
        <w:tc>
          <w:tcPr>
            <w:tcW w:w="623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(5,238</w:t>
            </w:r>
          </w:p>
        </w:tc>
        <w:tc>
          <w:tcPr>
            <w:tcW w:w="110" w:type="dxa"/>
            <w:tcBorders/>
            <w:shd w:fill="FFFFFF" w:val="clear"/>
            <w:vAlign w:val="center"/>
          </w:tcPr>
          <w:p>
            <w:pPr>
              <w:pStyle w:val="TableContents"/>
              <w:bidi w:val="0"/>
              <w:spacing w:before="0" w:after="283"/>
              <w:jc w:val="left"/>
              <w:rPr/>
            </w:pPr>
            <w:r>
              <w:rPr/>
              <w:t>)</w:t>
            </w:r>
          </w:p>
        </w:tc>
      </w:tr>
      <w:tr>
        <w:trPr/>
        <w:tc>
          <w:tcPr>
            <w:tcW w:w="623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10" w:type="dxa"/>
            <w:tcBorders/>
            <w:shd w:fill="CCEEFF" w:val="clear"/>
            <w:vAlign w:val="center"/>
          </w:tcPr>
          <w:p>
            <w:pPr>
              <w:pStyle w:val="TableContents"/>
              <w:bidi w:val="0"/>
              <w:spacing w:before="0" w:after="283"/>
              <w:jc w:val="left"/>
              <w:rPr/>
            </w:pPr>
            <w:r>
              <w:rPr/>
              <w:t>)</w:t>
            </w:r>
          </w:p>
        </w:tc>
      </w:tr>
      <w:tr>
        <w:trPr/>
        <w:tc>
          <w:tcPr>
            <w:tcW w:w="6230" w:type="dxa"/>
            <w:tcBorders/>
            <w:shd w:fill="FFFFFF" w:val="clear"/>
            <w:vAlign w:val="center"/>
          </w:tcPr>
          <w:p>
            <w:pPr>
              <w:pStyle w:val="TableContents"/>
              <w:bidi w:val="0"/>
              <w:spacing w:before="0" w:after="283"/>
              <w:jc w:val="left"/>
              <w:rPr/>
            </w:pPr>
            <w:r>
              <w:rPr/>
              <w:t>Fair value of the excess of liabilities assumed over assets acquired</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(3,313</w:t>
            </w:r>
          </w:p>
        </w:tc>
        <w:tc>
          <w:tcPr>
            <w:tcW w:w="110" w:type="dxa"/>
            <w:tcBorders/>
            <w:shd w:fill="FFFFFF" w:val="clear"/>
            <w:vAlign w:val="center"/>
          </w:tcPr>
          <w:p>
            <w:pPr>
              <w:pStyle w:val="TableContents"/>
              <w:bidi w:val="0"/>
              <w:spacing w:before="0" w:after="283"/>
              <w:jc w:val="left"/>
              <w:rPr/>
            </w:pPr>
            <w:r>
              <w:rPr/>
              <w:t>)</w:t>
            </w:r>
          </w:p>
        </w:tc>
      </w:tr>
      <w:tr>
        <w:trPr/>
        <w:tc>
          <w:tcPr>
            <w:tcW w:w="6230" w:type="dxa"/>
            <w:tcBorders/>
            <w:shd w:fill="CCEEFF" w:val="clear"/>
            <w:vAlign w:val="center"/>
          </w:tcPr>
          <w:p>
            <w:pPr>
              <w:pStyle w:val="TableContents"/>
              <w:bidi w:val="0"/>
              <w:spacing w:before="0" w:after="283"/>
              <w:jc w:val="left"/>
              <w:rPr/>
            </w:pPr>
            <w:r>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3,333</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Fair value of Deferred Cobalt Consideration Shares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6,331</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12,977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4535"/>
        <w:gridCol w:w="60"/>
        <w:gridCol w:w="1040"/>
        <w:gridCol w:w="60"/>
        <w:gridCol w:w="307"/>
        <w:gridCol w:w="1228"/>
        <w:gridCol w:w="75"/>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0"/>
        <w:gridCol w:w="60"/>
        <w:gridCol w:w="249"/>
        <w:gridCol w:w="1211"/>
        <w:gridCol w:w="75"/>
      </w:tblGrid>
      <w:tr>
        <w:trPr/>
        <w:tc>
          <w:tcPr>
            <w:tcW w:w="86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28" w:type="dxa"/>
          <w:right w:w="0" w:type="dxa"/>
        </w:tblCellMar>
      </w:tblPr>
      <w:tblGrid>
        <w:gridCol w:w="4325"/>
        <w:gridCol w:w="60"/>
        <w:gridCol w:w="190"/>
        <w:gridCol w:w="1029"/>
        <w:gridCol w:w="110"/>
      </w:tblGrid>
      <w:tr>
        <w:trPr/>
        <w:tc>
          <w:tcPr>
            <w:tcW w:w="4325" w:type="dxa"/>
            <w:tcBorders>
              <w:bottom w:val="single" w:sz="12" w:space="0" w:color="000000"/>
            </w:tcBorders>
            <w:vAlign w:val="center"/>
          </w:tcPr>
          <w:p>
            <w:pPr>
              <w:pStyle w:val="TableContents"/>
              <w:bidi w:val="0"/>
              <w:jc w:val="both"/>
              <w:rPr/>
            </w:pPr>
            <w:r>
              <w:rPr/>
              <w:t>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3050"/>
        <w:gridCol w:w="60"/>
        <w:gridCol w:w="1040"/>
        <w:gridCol w:w="60"/>
        <w:gridCol w:w="60"/>
        <w:gridCol w:w="208"/>
        <w:gridCol w:w="1011"/>
        <w:gridCol w:w="75"/>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8645"/>
        <w:gridCol w:w="60"/>
        <w:gridCol w:w="140"/>
        <w:gridCol w:w="680"/>
        <w:gridCol w:w="75"/>
      </w:tblGrid>
      <w:tr>
        <w:trPr/>
        <w:tc>
          <w:tcPr>
            <w:tcW w:w="86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75" w:type="dxa"/>
            <w:tcBorders/>
            <w:shd w:fill="CCEEFF" w:val="clear"/>
            <w:vAlign w:val="center"/>
          </w:tcPr>
          <w:p>
            <w:pPr>
              <w:pStyle w:val="TableContents"/>
              <w:bidi w:val="0"/>
              <w:spacing w:before="0" w:after="283"/>
              <w:jc w:val="left"/>
              <w:rPr/>
            </w:pPr>
            <w:r>
              <w:rPr/>
              <w:t> </w:t>
            </w:r>
          </w:p>
        </w:tc>
      </w:tr>
      <w:tr>
        <w:trPr/>
        <w:tc>
          <w:tcPr>
            <w:tcW w:w="8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FFFFFF" w:val="clear"/>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99" w:type="dxa"/>
        <w:jc w:val="left"/>
        <w:tblInd w:w="0" w:type="dxa"/>
        <w:tblLayout w:type="fixed"/>
        <w:tblCellMar>
          <w:top w:w="0" w:type="dxa"/>
          <w:left w:w="0" w:type="dxa"/>
          <w:bottom w:w="0" w:type="dxa"/>
          <w:right w:w="0" w:type="dxa"/>
        </w:tblCellMar>
      </w:tblPr>
      <w:tblGrid>
        <w:gridCol w:w="4910"/>
        <w:gridCol w:w="60"/>
        <w:gridCol w:w="208"/>
        <w:gridCol w:w="1011"/>
        <w:gridCol w:w="110"/>
      </w:tblGrid>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3200"/>
        <w:gridCol w:w="60"/>
        <w:gridCol w:w="1040"/>
        <w:gridCol w:w="60"/>
        <w:gridCol w:w="244"/>
        <w:gridCol w:w="976"/>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620"/>
        <w:gridCol w:w="60"/>
        <w:gridCol w:w="159"/>
        <w:gridCol w:w="910"/>
        <w:gridCol w:w="60"/>
        <w:gridCol w:w="60"/>
        <w:gridCol w:w="159"/>
        <w:gridCol w:w="910"/>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70"/>
        <w:gridCol w:w="60"/>
        <w:gridCol w:w="182"/>
        <w:gridCol w:w="887"/>
        <w:gridCol w:w="60"/>
        <w:gridCol w:w="60"/>
        <w:gridCol w:w="182"/>
        <w:gridCol w:w="887"/>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82"/>
        <w:gridCol w:w="887"/>
        <w:gridCol w:w="60"/>
        <w:gridCol w:w="60"/>
        <w:gridCol w:w="241"/>
        <w:gridCol w:w="1173"/>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14" w:type="dxa"/>
        <w:jc w:val="left"/>
        <w:tblInd w:w="0" w:type="dxa"/>
        <w:tblLayout w:type="fixed"/>
        <w:tblCellMar>
          <w:top w:w="0" w:type="dxa"/>
          <w:left w:w="0" w:type="dxa"/>
          <w:bottom w:w="0" w:type="dxa"/>
          <w:right w:w="0" w:type="dxa"/>
        </w:tblCellMar>
      </w:tblPr>
      <w:tblGrid>
        <w:gridCol w:w="5030"/>
        <w:gridCol w:w="60"/>
        <w:gridCol w:w="151"/>
        <w:gridCol w:w="604"/>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55"/>
        <w:gridCol w:w="60"/>
        <w:gridCol w:w="167"/>
        <w:gridCol w:w="903"/>
        <w:gridCol w:w="95"/>
        <w:gridCol w:w="60"/>
        <w:gridCol w:w="208"/>
        <w:gridCol w:w="1012"/>
        <w:gridCol w:w="60"/>
        <w:gridCol w:w="60"/>
        <w:gridCol w:w="235"/>
        <w:gridCol w:w="940"/>
        <w:gridCol w:w="60"/>
        <w:gridCol w:w="60"/>
        <w:gridCol w:w="332"/>
        <w:gridCol w:w="903"/>
        <w:gridCol w:w="60"/>
        <w:gridCol w:w="60"/>
        <w:gridCol w:w="184"/>
        <w:gridCol w:w="736"/>
        <w:gridCol w:w="95"/>
        <w:gridCol w:w="60"/>
        <w:gridCol w:w="249"/>
        <w:gridCol w:w="1211"/>
        <w:gridCol w:w="95"/>
        <w:gridCol w:w="60"/>
        <w:gridCol w:w="140"/>
        <w:gridCol w:w="800"/>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9"/>
        <w:gridCol w:w="60"/>
        <w:gridCol w:w="167"/>
        <w:gridCol w:w="903"/>
        <w:gridCol w:w="95"/>
        <w:gridCol w:w="60"/>
        <w:gridCol w:w="235"/>
        <w:gridCol w:w="940"/>
        <w:gridCol w:w="95"/>
        <w:gridCol w:w="60"/>
        <w:gridCol w:w="332"/>
        <w:gridCol w:w="903"/>
        <w:gridCol w:w="60"/>
        <w:gridCol w:w="60"/>
        <w:gridCol w:w="184"/>
        <w:gridCol w:w="736"/>
        <w:gridCol w:w="60"/>
        <w:gridCol w:w="60"/>
        <w:gridCol w:w="140"/>
        <w:gridCol w:w="800"/>
        <w:gridCol w:w="86"/>
      </w:tblGrid>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86"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6" w:type="dxa"/>
            <w:tcBorders/>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9935" w:type="dxa"/>
        <w:jc w:val="left"/>
        <w:tblInd w:w="0" w:type="dxa"/>
        <w:tblLayout w:type="fixed"/>
        <w:tblCellMar>
          <w:top w:w="0" w:type="dxa"/>
          <w:left w:w="0" w:type="dxa"/>
          <w:bottom w:w="0" w:type="dxa"/>
          <w:right w:w="0" w:type="dxa"/>
        </w:tblCellMar>
      </w:tblPr>
      <w:tblGrid>
        <w:gridCol w:w="2195"/>
        <w:gridCol w:w="60"/>
        <w:gridCol w:w="153"/>
        <w:gridCol w:w="746"/>
        <w:gridCol w:w="235"/>
        <w:gridCol w:w="65"/>
        <w:gridCol w:w="153"/>
        <w:gridCol w:w="746"/>
        <w:gridCol w:w="235"/>
        <w:gridCol w:w="65"/>
        <w:gridCol w:w="195"/>
        <w:gridCol w:w="950"/>
        <w:gridCol w:w="235"/>
        <w:gridCol w:w="65"/>
        <w:gridCol w:w="153"/>
        <w:gridCol w:w="746"/>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2"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2195"/>
        <w:gridCol w:w="60"/>
        <w:gridCol w:w="206"/>
        <w:gridCol w:w="1004"/>
        <w:gridCol w:w="317"/>
        <w:gridCol w:w="88"/>
        <w:gridCol w:w="206"/>
        <w:gridCol w:w="1004"/>
        <w:gridCol w:w="317"/>
        <w:gridCol w:w="88"/>
        <w:gridCol w:w="206"/>
        <w:gridCol w:w="1004"/>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2285"/>
        <w:gridCol w:w="60"/>
        <w:gridCol w:w="173"/>
        <w:gridCol w:w="1046"/>
        <w:gridCol w:w="215"/>
        <w:gridCol w:w="60"/>
        <w:gridCol w:w="177"/>
        <w:gridCol w:w="1072"/>
        <w:gridCol w:w="230"/>
      </w:tblGrid>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3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3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3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2330"/>
        <w:gridCol w:w="60"/>
        <w:gridCol w:w="152"/>
        <w:gridCol w:w="917"/>
        <w:gridCol w:w="215"/>
        <w:gridCol w:w="60"/>
        <w:gridCol w:w="283"/>
        <w:gridCol w:w="1132"/>
        <w:gridCol w:w="230"/>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883" w:type="dxa"/>
        <w:jc w:val="left"/>
        <w:tblInd w:w="0" w:type="dxa"/>
        <w:tblLayout w:type="fixed"/>
        <w:tblCellMar>
          <w:top w:w="0" w:type="dxa"/>
          <w:left w:w="0" w:type="dxa"/>
          <w:bottom w:w="0" w:type="dxa"/>
          <w:right w:w="0" w:type="dxa"/>
        </w:tblCellMar>
      </w:tblPr>
      <w:tblGrid>
        <w:gridCol w:w="1835"/>
        <w:gridCol w:w="60"/>
        <w:gridCol w:w="152"/>
        <w:gridCol w:w="917"/>
        <w:gridCol w:w="215"/>
        <w:gridCol w:w="60"/>
        <w:gridCol w:w="341"/>
        <w:gridCol w:w="1073"/>
        <w:gridCol w:w="23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3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3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595"/>
        <w:gridCol w:w="60"/>
        <w:gridCol w:w="182"/>
        <w:gridCol w:w="887"/>
        <w:gridCol w:w="60"/>
        <w:gridCol w:w="60"/>
        <w:gridCol w:w="241"/>
        <w:gridCol w:w="1173"/>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43" w:type="dxa"/>
        <w:jc w:val="left"/>
        <w:tblInd w:w="0" w:type="dxa"/>
        <w:tblLayout w:type="fixed"/>
        <w:tblCellMar>
          <w:top w:w="0" w:type="dxa"/>
          <w:left w:w="0" w:type="dxa"/>
          <w:bottom w:w="0" w:type="dxa"/>
          <w:right w:w="0" w:type="dxa"/>
        </w:tblCellMar>
      </w:tblPr>
      <w:tblGrid>
        <w:gridCol w:w="4805"/>
        <w:gridCol w:w="60"/>
        <w:gridCol w:w="182"/>
        <w:gridCol w:w="887"/>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4220"/>
        <w:gridCol w:w="60"/>
        <w:gridCol w:w="205"/>
        <w:gridCol w:w="999"/>
        <w:gridCol w:w="60"/>
        <w:gridCol w:w="60"/>
        <w:gridCol w:w="210"/>
        <w:gridCol w:w="1024"/>
        <w:gridCol w:w="60"/>
        <w:gridCol w:w="60"/>
        <w:gridCol w:w="140"/>
        <w:gridCol w:w="680"/>
        <w:gridCol w:w="60"/>
        <w:gridCol w:w="60"/>
        <w:gridCol w:w="140"/>
        <w:gridCol w:w="680"/>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Balance as of December 28, 2025</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12,977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Balance as of March 29, 2026</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12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81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5"/>
        <w:gridCol w:w="60"/>
        <w:gridCol w:w="155"/>
        <w:gridCol w:w="887"/>
        <w:gridCol w:w="95"/>
        <w:gridCol w:w="60"/>
        <w:gridCol w:w="207"/>
        <w:gridCol w:w="1194"/>
        <w:gridCol w:w="112"/>
      </w:tblGrid>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845"/>
        <w:gridCol w:w="60"/>
        <w:gridCol w:w="167"/>
        <w:gridCol w:w="902"/>
        <w:gridCol w:w="95"/>
        <w:gridCol w:w="60"/>
        <w:gridCol w:w="220"/>
        <w:gridCol w:w="1194"/>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93"/>
        <w:gridCol w:w="876"/>
        <w:gridCol w:w="95"/>
        <w:gridCol w:w="60"/>
        <w:gridCol w:w="254"/>
        <w:gridCol w:w="1160"/>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78" w:type="dxa"/>
        <w:jc w:val="left"/>
        <w:tblInd w:w="0" w:type="dxa"/>
        <w:tblLayout w:type="fixed"/>
        <w:tblCellMar>
          <w:top w:w="0" w:type="dxa"/>
          <w:left w:w="0" w:type="dxa"/>
          <w:bottom w:w="0" w:type="dxa"/>
          <w:right w:w="0" w:type="dxa"/>
        </w:tblCellMar>
      </w:tblPr>
      <w:tblGrid>
        <w:gridCol w:w="4370"/>
        <w:gridCol w:w="60"/>
        <w:gridCol w:w="193"/>
        <w:gridCol w:w="876"/>
        <w:gridCol w:w="95"/>
        <w:gridCol w:w="60"/>
        <w:gridCol w:w="254"/>
        <w:gridCol w:w="116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39" w:type="dxa"/>
        <w:jc w:val="left"/>
        <w:tblInd w:w="0" w:type="dxa"/>
        <w:tblLayout w:type="fixed"/>
        <w:tblCellMar>
          <w:top w:w="0" w:type="dxa"/>
          <w:left w:w="0" w:type="dxa"/>
          <w:bottom w:w="0" w:type="dxa"/>
          <w:right w:w="0" w:type="dxa"/>
        </w:tblCellMar>
      </w:tblPr>
      <w:tblGrid>
        <w:gridCol w:w="4100"/>
        <w:gridCol w:w="60"/>
        <w:gridCol w:w="193"/>
        <w:gridCol w:w="876"/>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pPr>
            <w:r>
              <w:rPr/>
              <w:t>January 2026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(2,262</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both"/>
              <w:rPr/>
            </w:pPr>
            <w:r>
              <w:rPr/>
              <w:t>Net carrying amount of January 2026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420"/>
        <w:gridCol w:w="60"/>
        <w:gridCol w:w="141"/>
        <w:gridCol w:w="809"/>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6"/>
        <w:gridCol w:w="60"/>
        <w:gridCol w:w="185"/>
        <w:gridCol w:w="893"/>
        <w:gridCol w:w="122"/>
        <w:gridCol w:w="77"/>
        <w:gridCol w:w="185"/>
        <w:gridCol w:w="893"/>
        <w:gridCol w:w="114"/>
      </w:tblGrid>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29,</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26,608</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15,127</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(1,142</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269</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SAFE Agreement with related party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(44</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w:t>
            </w:r>
          </w:p>
        </w:tc>
        <w:tc>
          <w:tcPr>
            <w:tcW w:w="114" w:type="dxa"/>
            <w:tcBorders/>
            <w:shd w:fill="CCEEFF" w:val="clear"/>
            <w:vAlign w:val="center"/>
          </w:tcPr>
          <w:p>
            <w:pPr>
              <w:pStyle w:val="TableContents"/>
              <w:bidi w:val="0"/>
              <w:spacing w:before="0" w:after="283"/>
              <w:jc w:val="left"/>
              <w:rPr/>
            </w:pPr>
            <w:r>
              <w:rPr/>
              <w:t>)</w:t>
            </w:r>
          </w:p>
        </w:tc>
      </w:tr>
      <w:tr>
        <w:trPr/>
        <w:tc>
          <w:tcPr>
            <w:tcW w:w="7676" w:type="dxa"/>
            <w:tcBorders/>
            <w:shd w:fill="FFFFFF" w:val="clear"/>
            <w:vAlign w:val="center"/>
          </w:tcPr>
          <w:p>
            <w:pPr>
              <w:pStyle w:val="TableContents"/>
              <w:bidi w:val="0"/>
              <w:spacing w:before="0" w:after="283"/>
              <w:jc w:val="both"/>
              <w:rPr/>
            </w:pPr>
            <w:r>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615</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(1,092</w:t>
            </w:r>
          </w:p>
        </w:tc>
        <w:tc>
          <w:tcPr>
            <w:tcW w:w="114" w:type="dxa"/>
            <w:tcBorders/>
            <w:shd w:fill="FFFFFF" w:val="clear"/>
            <w:vAlign w:val="center"/>
          </w:tcPr>
          <w:p>
            <w:pPr>
              <w:pStyle w:val="TableContents"/>
              <w:bidi w:val="0"/>
              <w:spacing w:before="0" w:after="283"/>
              <w:jc w:val="left"/>
              <w:rPr/>
            </w:pPr>
            <w:r>
              <w:rPr/>
              <w:t>)</w:t>
            </w:r>
          </w:p>
        </w:tc>
      </w:tr>
      <w:tr>
        <w:trPr/>
        <w:tc>
          <w:tcPr>
            <w:tcW w:w="7676" w:type="dxa"/>
            <w:tcBorders/>
            <w:shd w:fill="CCEEFF" w:val="clear"/>
            <w:vAlign w:val="center"/>
          </w:tcPr>
          <w:p>
            <w:pPr>
              <w:pStyle w:val="TableContents"/>
              <w:bidi w:val="0"/>
              <w:spacing w:before="0" w:after="283"/>
              <w:jc w:val="both"/>
              <w:rPr/>
            </w:pPr>
            <w:r>
              <w:rPr/>
              <w:t>Change in fair value of Notes valued at fair value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(320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pPr>
            <w:r>
              <w:rPr/>
              <w:t>Change in fair value of Deferred Sunder Consideration with related party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2,306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Deferred Ambia Consideration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2,943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213"/>
        <w:gridCol w:w="853"/>
        <w:gridCol w:w="90"/>
        <w:gridCol w:w="90"/>
        <w:gridCol w:w="213"/>
        <w:gridCol w:w="853"/>
        <w:gridCol w:w="114"/>
      </w:tblGrid>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4,653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5,968</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Accruals for new warranties issued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Settlements and other</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jc w:val="left"/>
              <w:rPr/>
            </w:pPr>
            <w:r>
              <w:rPr/>
              <w:t>)</w:t>
            </w:r>
          </w:p>
        </w:tc>
      </w:tr>
      <w:tr>
        <w:trPr/>
        <w:tc>
          <w:tcPr>
            <w:tcW w:w="7719" w:type="dxa"/>
            <w:tcBorders/>
            <w:shd w:fill="FFFFFF" w:val="clear"/>
            <w:vAlign w:val="center"/>
          </w:tcPr>
          <w:p>
            <w:pPr>
              <w:pStyle w:val="TableContents"/>
              <w:bidi w:val="0"/>
              <w:spacing w:before="0" w:after="283"/>
              <w:jc w:val="left"/>
              <w:rPr/>
            </w:pPr>
            <w:r>
              <w:rPr/>
              <w:t>Warranty provision, end of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Accrued warranty current (Classified in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3,019</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Total warranty liability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5270"/>
        <w:gridCol w:w="60"/>
        <w:gridCol w:w="60"/>
        <w:gridCol w:w="1220"/>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4"/>
        <w:gridCol w:w="60"/>
        <w:gridCol w:w="66"/>
        <w:gridCol w:w="1223"/>
        <w:gridCol w:w="66"/>
        <w:gridCol w:w="66"/>
        <w:gridCol w:w="69"/>
        <w:gridCol w:w="1225"/>
        <w:gridCol w:w="60"/>
        <w:gridCol w:w="60"/>
        <w:gridCol w:w="183"/>
        <w:gridCol w:w="735"/>
        <w:gridCol w:w="60"/>
        <w:gridCol w:w="60"/>
        <w:gridCol w:w="1507"/>
        <w:gridCol w:w="81"/>
      </w:tblGrid>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4550"/>
        <w:gridCol w:w="60"/>
        <w:gridCol w:w="65"/>
        <w:gridCol w:w="1064"/>
        <w:gridCol w:w="60"/>
        <w:gridCol w:w="60"/>
        <w:gridCol w:w="240"/>
        <w:gridCol w:w="755"/>
        <w:gridCol w:w="60"/>
        <w:gridCol w:w="60"/>
        <w:gridCol w:w="150"/>
        <w:gridCol w:w="1100"/>
        <w:gridCol w:w="60"/>
        <w:gridCol w:w="60"/>
        <w:gridCol w:w="238"/>
        <w:gridCol w:w="952"/>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Outstanding—December 28,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1,376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Vested and expected to vest — March 29,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1,376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Vested and exercisable — 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3095"/>
        <w:gridCol w:w="60"/>
        <w:gridCol w:w="60"/>
        <w:gridCol w:w="1100"/>
        <w:gridCol w:w="95"/>
        <w:gridCol w:w="60"/>
        <w:gridCol w:w="297"/>
        <w:gridCol w:w="937"/>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46" w:type="dxa"/>
        <w:jc w:val="left"/>
        <w:tblInd w:w="0" w:type="dxa"/>
        <w:tblLayout w:type="fixed"/>
        <w:tblCellMar>
          <w:top w:w="0" w:type="dxa"/>
          <w:left w:w="0" w:type="dxa"/>
          <w:bottom w:w="0" w:type="dxa"/>
          <w:right w:w="0" w:type="dxa"/>
        </w:tblCellMar>
      </w:tblPr>
      <w:tblGrid>
        <w:gridCol w:w="3890"/>
        <w:gridCol w:w="60"/>
        <w:gridCol w:w="248"/>
        <w:gridCol w:w="992"/>
        <w:gridCol w:w="106"/>
        <w:gridCol w:w="106"/>
        <w:gridCol w:w="288"/>
        <w:gridCol w:w="781"/>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305"/>
        <w:gridCol w:w="60"/>
        <w:gridCol w:w="140"/>
        <w:gridCol w:w="1220"/>
        <w:gridCol w:w="95"/>
        <w:gridCol w:w="60"/>
        <w:gridCol w:w="140"/>
        <w:gridCol w:w="1220"/>
        <w:gridCol w:w="110"/>
      </w:tblGrid>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Numerator for basic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4,812</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Numerator for diluted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July 2024 Notes derivative liability and interest expense,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(3,138</w:t>
            </w:r>
          </w:p>
        </w:tc>
        <w:tc>
          <w:tcPr>
            <w:tcW w:w="110" w:type="dxa"/>
            <w:tcBorders/>
            <w:shd w:fill="CCEEFF" w:val="clear"/>
            <w:vAlign w:val="center"/>
          </w:tcPr>
          <w:p>
            <w:pPr>
              <w:pStyle w:val="TableContents"/>
              <w:bidi w:val="0"/>
              <w:spacing w:before="0" w:after="283"/>
              <w:jc w:val="left"/>
              <w:rPr/>
            </w:pPr>
            <w:r>
              <w:rPr/>
              <w:t>)</w:t>
            </w:r>
          </w:p>
        </w:tc>
      </w:tr>
      <w:tr>
        <w:trPr/>
        <w:tc>
          <w:tcPr>
            <w:tcW w:w="6305" w:type="dxa"/>
            <w:tcBorders/>
            <w:shd w:fill="FFFFFF" w:val="clear"/>
            <w:vAlign w:val="center"/>
          </w:tcPr>
          <w:p>
            <w:pPr>
              <w:pStyle w:val="TableContents"/>
              <w:bidi w:val="0"/>
              <w:spacing w:before="0" w:after="283"/>
              <w:jc w:val="both"/>
              <w:rPr/>
            </w:pPr>
            <w:r>
              <w:rPr/>
              <w:t>Third SAFE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1,694</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Weighted average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Denominator for basic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124,279,055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80,209,585</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16,912,704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July 2024 Notes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27,364,717</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Third SAFE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Stock options and RSUs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14,705,403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1,489,794</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166,460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487,794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Deferred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4,973,840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Denominator for diluted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163,787,462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112,302,063</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Net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6740"/>
        <w:gridCol w:w="60"/>
        <w:gridCol w:w="60"/>
        <w:gridCol w:w="1100"/>
        <w:gridCol w:w="60"/>
        <w:gridCol w:w="60"/>
        <w:gridCol w:w="60"/>
        <w:gridCol w:w="1100"/>
        <w:gridCol w:w="75"/>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7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shd w:fill="FFFFFF" w:val="clear"/>
            <w:vAlign w:val="center"/>
          </w:tcPr>
          <w:p>
            <w:pPr>
              <w:pStyle w:val="TableContents"/>
              <w:bidi w:val="0"/>
              <w:spacing w:before="0" w:after="283"/>
              <w:jc w:val="left"/>
              <w:rPr/>
            </w:pPr>
            <w:r>
              <w:rPr/>
              <w:t>Total 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65,722,738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37,333,318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6"/>
        <w:gridCol w:w="60"/>
        <w:gridCol w:w="181"/>
        <w:gridCol w:w="979"/>
        <w:gridCol w:w="97"/>
        <w:gridCol w:w="61"/>
        <w:gridCol w:w="151"/>
        <w:gridCol w:w="739"/>
        <w:gridCol w:w="97"/>
        <w:gridCol w:w="61"/>
        <w:gridCol w:w="143"/>
        <w:gridCol w:w="701"/>
        <w:gridCol w:w="61"/>
        <w:gridCol w:w="61"/>
        <w:gridCol w:w="143"/>
        <w:gridCol w:w="778"/>
        <w:gridCol w:w="116"/>
      </w:tblGrid>
      <w:tr>
        <w:trPr/>
        <w:tc>
          <w:tcPr>
            <w:tcW w:w="5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6" w:type="dxa"/>
            <w:tcBorders/>
            <w:vAlign w:val="center"/>
          </w:tcPr>
          <w:p>
            <w:pPr>
              <w:pStyle w:val="TableContents"/>
              <w:bidi w:val="0"/>
              <w:spacing w:before="0" w:after="283"/>
              <w:jc w:val="left"/>
              <w:rPr/>
            </w:pPr>
            <w:r>
              <w:rPr/>
              <w:t> </w:t>
            </w:r>
          </w:p>
        </w:tc>
      </w:tr>
      <w:tr>
        <w:trPr/>
        <w:tc>
          <w:tcPr>
            <w:tcW w:w="577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6" w:type="dxa"/>
            <w:tcBorders/>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245"/>
        <w:gridCol w:w="960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11"/>
        <w:gridCol w:w="484"/>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8"/>
        <w:gridCol w:w="60"/>
        <w:gridCol w:w="181"/>
        <w:gridCol w:w="979"/>
        <w:gridCol w:w="108"/>
        <w:gridCol w:w="68"/>
        <w:gridCol w:w="169"/>
        <w:gridCol w:w="794"/>
        <w:gridCol w:w="68"/>
        <w:gridCol w:w="68"/>
        <w:gridCol w:w="243"/>
        <w:gridCol w:w="452"/>
        <w:gridCol w:w="68"/>
        <w:gridCol w:w="68"/>
        <w:gridCol w:w="161"/>
        <w:gridCol w:w="783"/>
        <w:gridCol w:w="117"/>
      </w:tblGrid>
      <w:tr>
        <w:trPr/>
        <w:tc>
          <w:tcPr>
            <w:tcW w:w="5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17" w:type="dxa"/>
            <w:tcBorders/>
            <w:vAlign w:val="center"/>
          </w:tcPr>
          <w:p>
            <w:pPr>
              <w:pStyle w:val="TableContents"/>
              <w:bidi w:val="0"/>
              <w:spacing w:before="0" w:after="283"/>
              <w:jc w:val="left"/>
              <w:rPr/>
            </w:pPr>
            <w:r>
              <w:rPr/>
              <w:t> </w:t>
            </w:r>
          </w:p>
        </w:tc>
      </w:tr>
      <w:tr>
        <w:trPr/>
        <w:tc>
          <w:tcPr>
            <w:tcW w:w="5818"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7" w:type="dxa"/>
            <w:tcBorders/>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41,909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78,413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22,615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28,422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1,017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8,522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pPr>
            <w:r>
              <w:rPr/>
              <w:t>(11,740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8,014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ind w:left="0" w:right="0" w:hanging="180"/>
              <w:jc w:val="left"/>
              <w:rPr/>
            </w:pPr>
            <w:r>
              <w:rPr/>
              <w:t> </w:t>
            </w:r>
          </w:p>
        </w:tc>
      </w:tr>
      <w:tr>
        <w:trPr/>
        <w:tc>
          <w:tcPr>
            <w:tcW w:w="5818" w:type="dxa"/>
            <w:tcBorders/>
            <w:shd w:fill="FFFFFF" w:val="clear"/>
            <w:vAlign w:val="center"/>
          </w:tcPr>
          <w:p>
            <w:pPr>
              <w:pStyle w:val="TableContents"/>
              <w:bidi w:val="0"/>
              <w:spacing w:before="0" w:after="283"/>
              <w:jc w:val="left"/>
              <w:rPr>
                <w:i/>
              </w:rPr>
            </w:pPr>
            <w:r>
              <w:rPr>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(6,041</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Loss from operations before taxes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43"/>
        <w:gridCol w:w="452"/>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45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7"/>
        <w:gridCol w:w="60"/>
        <w:gridCol w:w="187"/>
        <w:gridCol w:w="1180"/>
        <w:gridCol w:w="95"/>
        <w:gridCol w:w="60"/>
        <w:gridCol w:w="187"/>
        <w:gridCol w:w="1180"/>
        <w:gridCol w:w="259"/>
      </w:tblGrid>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29,</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13,378</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67,824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25,842</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22,110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8,206</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699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112,851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95,602</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259" w:type="dxa"/>
            <w:tcBorders/>
            <w:shd w:fill="CCEEFF" w:val="clear"/>
            <w:vAlign w:val="center"/>
          </w:tcPr>
          <w:p>
            <w:pPr>
              <w:pStyle w:val="TableContents"/>
              <w:bidi w:val="0"/>
              <w:spacing w:before="0" w:after="283"/>
              <w:ind w:left="0" w:right="0" w:hanging="360"/>
              <w:jc w:val="left"/>
              <w:rPr/>
            </w:pPr>
            <w:r>
              <w:rPr/>
              <w:t> </w:t>
            </w:r>
          </w:p>
        </w:tc>
      </w:tr>
      <w:tr>
        <w:trPr/>
        <w:tc>
          <w:tcPr>
            <w:tcW w:w="699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5,493</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3,041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628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62,630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18,476</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50,814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17,385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26,240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7,980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56,081</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Short-term debt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1,500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liabilities,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20,336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10,003</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384</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Forward purchase agreement liabilities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1,274</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3,437</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1,561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918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92,638</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Notes payable and derivative liabilities with related parties, net of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53,193</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242,005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366,408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313,661</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(411,379</w:t>
            </w:r>
          </w:p>
        </w:tc>
        <w:tc>
          <w:tcPr>
            <w:tcW w:w="259" w:type="dxa"/>
            <w:tcBorders/>
            <w:shd w:fill="FFFFFF" w:val="clear"/>
            <w:vAlign w:val="center"/>
          </w:tcPr>
          <w:p>
            <w:pPr>
              <w:pStyle w:val="TableContents"/>
              <w:bidi w:val="0"/>
              <w:spacing w:before="0" w:after="283"/>
              <w:ind w:left="0" w:right="0" w:hanging="180"/>
              <w:jc w:val="left"/>
              <w:rPr/>
            </w:pPr>
            <w:r>
              <w:rPr/>
              <w:t>)</w:t>
            </w:r>
          </w:p>
        </w:tc>
      </w:tr>
      <w:tr>
        <w:trPr/>
        <w:tc>
          <w:tcPr>
            <w:tcW w:w="6997"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6997"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144,466</w:t>
            </w:r>
          </w:p>
        </w:tc>
        <w:tc>
          <w:tcPr>
            <w:tcW w:w="25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1"/>
        <w:gridCol w:w="60"/>
        <w:gridCol w:w="155"/>
        <w:gridCol w:w="1233"/>
        <w:gridCol w:w="95"/>
        <w:gridCol w:w="60"/>
        <w:gridCol w:w="155"/>
        <w:gridCol w:w="1233"/>
        <w:gridCol w:w="113"/>
      </w:tblGrid>
      <w:tr>
        <w:trPr/>
        <w:tc>
          <w:tcPr>
            <w:tcW w:w="7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29,</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108,742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 xml:space="preserve">Cost of revenues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24,590</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29,030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6,827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108,011</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(25,095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(16,223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7,932</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14,065</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net of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Comprehensive loss (net of tax)</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(56,451</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(0.82</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66,655,837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(1.19</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9"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4"/>
        <w:gridCol w:w="60"/>
        <w:gridCol w:w="319"/>
        <w:gridCol w:w="856"/>
        <w:gridCol w:w="109"/>
        <w:gridCol w:w="81"/>
        <w:gridCol w:w="319"/>
        <w:gridCol w:w="856"/>
        <w:gridCol w:w="91"/>
      </w:tblGrid>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1" w:type="dxa"/>
            <w:tcBorders/>
            <w:vAlign w:val="center"/>
          </w:tcPr>
          <w:p>
            <w:pPr>
              <w:pStyle w:val="TableContents"/>
              <w:bidi w:val="0"/>
              <w:spacing w:before="0" w:after="283"/>
              <w:jc w:val="left"/>
              <w:rPr/>
            </w:pPr>
            <w:r>
              <w:rPr/>
              <w:t> </w:t>
            </w:r>
          </w:p>
        </w:tc>
      </w:tr>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1" w:type="dxa"/>
            <w:tcBorders/>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1"/>
        <w:gridCol w:w="60"/>
        <w:gridCol w:w="60"/>
        <w:gridCol w:w="1220"/>
        <w:gridCol w:w="60"/>
        <w:gridCol w:w="60"/>
        <w:gridCol w:w="301"/>
        <w:gridCol w:w="559"/>
        <w:gridCol w:w="60"/>
        <w:gridCol w:w="60"/>
        <w:gridCol w:w="163"/>
        <w:gridCol w:w="937"/>
        <w:gridCol w:w="95"/>
        <w:gridCol w:w="60"/>
        <w:gridCol w:w="188"/>
        <w:gridCol w:w="1182"/>
        <w:gridCol w:w="95"/>
        <w:gridCol w:w="60"/>
        <w:gridCol w:w="432"/>
        <w:gridCol w:w="1178"/>
        <w:gridCol w:w="60"/>
        <w:gridCol w:w="60"/>
        <w:gridCol w:w="209"/>
        <w:gridCol w:w="1134"/>
        <w:gridCol w:w="111"/>
      </w:tblGrid>
      <w:tr>
        <w:trPr/>
        <w:tc>
          <w:tcPr>
            <w:tcW w:w="18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Stockholders’</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49,065,361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277,965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(354,928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b/>
              </w:rPr>
            </w:pPr>
            <w:r>
              <w:rPr>
                <w:b/>
              </w:rPr>
              <w:t>$</w:t>
            </w:r>
          </w:p>
        </w:tc>
        <w:tc>
          <w:tcPr>
            <w:tcW w:w="1178" w:type="dxa"/>
            <w:tcBorders/>
            <w:shd w:fill="CCEEFF" w:val="clear"/>
            <w:vAlign w:val="center"/>
          </w:tcPr>
          <w:p>
            <w:pPr>
              <w:pStyle w:val="TableContents"/>
              <w:bidi w:val="0"/>
              <w:spacing w:before="0" w:after="283"/>
              <w:jc w:val="right"/>
              <w:rPr>
                <w:b/>
              </w:rPr>
            </w:pPr>
            <w:r>
              <w:rPr>
                <w:b/>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134" w:type="dxa"/>
            <w:tcBorders/>
            <w:shd w:fill="CCEEFF" w:val="clear"/>
            <w:vAlign w:val="center"/>
          </w:tcPr>
          <w:p>
            <w:pPr>
              <w:pStyle w:val="TableContents"/>
              <w:bidi w:val="0"/>
              <w:spacing w:before="0" w:after="283"/>
              <w:jc w:val="right"/>
              <w:rPr>
                <w:b/>
              </w:rPr>
            </w:pPr>
            <w:r>
              <w:rPr>
                <w:b/>
              </w:rPr>
              <w:t>(76,813</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532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3,067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1,400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 warrants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9,179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6,250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5,343,616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for exchange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2,220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2,918,837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7,144</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Modification of Warrant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7,306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Offering costs of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(1,396</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(56,451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180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480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10,488</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Taxes paid related to net share settlements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(1,898</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13,577,258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22,193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6,741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8,600,580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14,685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b/>
              </w:rPr>
            </w:pPr>
            <w:r>
              <w:rPr>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1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0"/>
        <w:gridCol w:w="60"/>
        <w:gridCol w:w="217"/>
        <w:gridCol w:w="1178"/>
        <w:gridCol w:w="95"/>
        <w:gridCol w:w="60"/>
        <w:gridCol w:w="206"/>
        <w:gridCol w:w="1188"/>
        <w:gridCol w:w="101"/>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b/>
              </w:rPr>
            </w:pPr>
            <w:r>
              <w:rPr>
                <w:b/>
              </w:rPr>
              <w:t>December 29,</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(56,451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loss from continuing operations, net of tax</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3,067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2,736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5,842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income tax provision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9,132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(616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on conversion of SAFE Agreements to shares of common stock with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1,250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deferred consideration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24,688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(33,986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(2,921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(337</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Non-cash expense in connection with warrants issued for vendor services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9,179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Loss on impairments and disposals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3,827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Non-cash income</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1,757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(22,337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3,872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Other financing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3,306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8,654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(10,412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14,071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(849</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Net cash used in operating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(15,327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(54,662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Capitalization of internal-use-software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Cash paid for acquisitions; net of cash acquired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convertible notes, net of issuance cost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81,725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convertible notes to related parties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6,694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exercise of common stock options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532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exercise of warrant for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Investor financing deposit –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Principal repayment of notes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Financing lease payments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17,219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6,416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consideration for acquisition of Sunder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5,700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Sunder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purchase consideration for acquisition of Ambia</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Ambia</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September 2024 Notes to shares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14,472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14,684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accrued but unpaid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65,873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42,662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Issuance of common stock in Exchange Agreement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SAFE Agreements to shares of common stock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5,000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1,396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Warrants issued in debt issuance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860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Carlyle Warrant modification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7,306</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60"/>
        <w:gridCol w:w="39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0"/>
        <w:gridCol w:w="4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65"/>
        <w:gridCol w:w="591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905"/>
        <w:gridCol w:w="60"/>
        <w:gridCol w:w="204"/>
        <w:gridCol w:w="970"/>
        <w:gridCol w:w="60"/>
        <w:gridCol w:w="60"/>
        <w:gridCol w:w="204"/>
        <w:gridCol w:w="97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37" w:type="dxa"/>
        <w:jc w:val="left"/>
        <w:tblInd w:w="0" w:type="dxa"/>
        <w:tblLayout w:type="fixed"/>
        <w:tblCellMar>
          <w:top w:w="0" w:type="dxa"/>
          <w:left w:w="0" w:type="dxa"/>
          <w:bottom w:w="0" w:type="dxa"/>
          <w:right w:w="0" w:type="dxa"/>
        </w:tblCellMar>
      </w:tblPr>
      <w:tblGrid>
        <w:gridCol w:w="4910"/>
        <w:gridCol w:w="60"/>
        <w:gridCol w:w="218"/>
        <w:gridCol w:w="956"/>
        <w:gridCol w:w="128"/>
        <w:gridCol w:w="96"/>
        <w:gridCol w:w="204"/>
        <w:gridCol w:w="970"/>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075"/>
        <w:gridCol w:w="60"/>
        <w:gridCol w:w="467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0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FEEFF" w:val="clear"/>
            <w:vAlign w:val="center"/>
          </w:tcPr>
          <w:p>
            <w:pPr>
              <w:pStyle w:val="TableContents"/>
              <w:bidi w:val="0"/>
              <w:spacing w:before="0" w:after="283"/>
              <w:jc w:val="left"/>
              <w:rPr/>
            </w:pPr>
            <w:r>
              <w:rPr/>
              <w:t> </w:t>
            </w:r>
          </w:p>
        </w:tc>
        <w:tc>
          <w:tcPr>
            <w:tcW w:w="46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75"/>
        <w:gridCol w:w="60"/>
        <w:gridCol w:w="107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FEEFF" w:val="clear"/>
            <w:vAlign w:val="center"/>
          </w:tcPr>
          <w:p>
            <w:pPr>
              <w:pStyle w:val="TableContents"/>
              <w:bidi w:val="0"/>
              <w:spacing w:before="0" w:after="283"/>
              <w:jc w:val="left"/>
              <w:rPr/>
            </w:pPr>
            <w:r>
              <w:rPr/>
              <w:t> </w:t>
            </w:r>
          </w:p>
        </w:tc>
        <w:tc>
          <w:tcPr>
            <w:tcW w:w="10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4"/>
        <w:gridCol w:w="60"/>
        <w:gridCol w:w="478"/>
        <w:gridCol w:w="2504"/>
        <w:gridCol w:w="80"/>
        <w:gridCol w:w="60"/>
        <w:gridCol w:w="350"/>
        <w:gridCol w:w="1825"/>
        <w:gridCol w:w="80"/>
        <w:gridCol w:w="60"/>
        <w:gridCol w:w="147"/>
        <w:gridCol w:w="768"/>
        <w:gridCol w:w="99"/>
      </w:tblGrid>
      <w:tr>
        <w:trPr/>
        <w:tc>
          <w:tcPr>
            <w:tcW w:w="36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99"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60" w:type="dxa"/>
            <w:tcBorders/>
            <w:vAlign w:val="center"/>
          </w:tcPr>
          <w:p>
            <w:pPr>
              <w:pStyle w:val="TableContents"/>
              <w:bidi w:val="0"/>
              <w:spacing w:before="0" w:after="283"/>
              <w:jc w:val="left"/>
              <w:rPr/>
            </w:pPr>
            <w:r>
              <w:rPr/>
              <w:t> </w:t>
            </w:r>
          </w:p>
        </w:tc>
        <w:tc>
          <w:tcPr>
            <w:tcW w:w="2982"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2525"/>
        <w:gridCol w:w="60"/>
        <w:gridCol w:w="875"/>
        <w:gridCol w:w="60"/>
        <w:gridCol w:w="212"/>
        <w:gridCol w:w="1007"/>
        <w:gridCol w:w="60"/>
        <w:gridCol w:w="60"/>
        <w:gridCol w:w="219"/>
        <w:gridCol w:w="956"/>
        <w:gridCol w:w="80"/>
        <w:gridCol w:w="60"/>
        <w:gridCol w:w="160"/>
        <w:gridCol w:w="759"/>
        <w:gridCol w:w="75"/>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855"/>
        <w:gridCol w:w="60"/>
        <w:gridCol w:w="125"/>
        <w:gridCol w:w="590"/>
        <w:gridCol w:w="75"/>
      </w:tblGrid>
      <w:tr>
        <w:trPr/>
        <w:tc>
          <w:tcPr>
            <w:tcW w:w="8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7" w:type="dxa"/>
        <w:jc w:val="left"/>
        <w:tblInd w:w="0" w:type="dxa"/>
        <w:tblLayout w:type="fixed"/>
        <w:tblCellMar>
          <w:top w:w="0" w:type="dxa"/>
          <w:left w:w="0" w:type="dxa"/>
          <w:bottom w:w="0" w:type="dxa"/>
          <w:right w:w="0" w:type="dxa"/>
        </w:tblCellMar>
      </w:tblPr>
      <w:tblGrid>
        <w:gridCol w:w="4325"/>
        <w:gridCol w:w="60"/>
        <w:gridCol w:w="230"/>
        <w:gridCol w:w="1244"/>
        <w:gridCol w:w="95"/>
        <w:gridCol w:w="60"/>
        <w:gridCol w:w="235"/>
        <w:gridCol w:w="1269"/>
        <w:gridCol w:w="95"/>
        <w:gridCol w:w="60"/>
        <w:gridCol w:w="220"/>
        <w:gridCol w:w="1194"/>
        <w:gridCol w:w="110"/>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25,922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(11,073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Consideration transferred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Goodwill recognized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617" w:type="dxa"/>
        <w:jc w:val="left"/>
        <w:tblInd w:w="0" w:type="dxa"/>
        <w:tblLayout w:type="fixed"/>
        <w:tblCellMar>
          <w:top w:w="0" w:type="dxa"/>
          <w:left w:w="0" w:type="dxa"/>
          <w:bottom w:w="0" w:type="dxa"/>
          <w:right w:w="0" w:type="dxa"/>
        </w:tblCellMar>
      </w:tblPr>
      <w:tblGrid>
        <w:gridCol w:w="2615"/>
        <w:gridCol w:w="60"/>
        <w:gridCol w:w="875"/>
        <w:gridCol w:w="60"/>
        <w:gridCol w:w="220"/>
        <w:gridCol w:w="1044"/>
        <w:gridCol w:w="60"/>
        <w:gridCol w:w="60"/>
        <w:gridCol w:w="198"/>
        <w:gridCol w:w="1036"/>
        <w:gridCol w:w="80"/>
        <w:gridCol w:w="60"/>
        <w:gridCol w:w="204"/>
        <w:gridCol w:w="97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5"/>
        <w:gridCol w:w="60"/>
        <w:gridCol w:w="125"/>
        <w:gridCol w:w="590"/>
        <w:gridCol w:w="75"/>
      </w:tblGrid>
      <w:tr>
        <w:trPr/>
        <w:tc>
          <w:tcPr>
            <w:tcW w:w="9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75" w:type="dxa"/>
            <w:tcBorders/>
            <w:shd w:fill="CCEEFF" w:val="clear"/>
            <w:vAlign w:val="center"/>
          </w:tcPr>
          <w:p>
            <w:pPr>
              <w:pStyle w:val="TableContents"/>
              <w:bidi w:val="0"/>
              <w:spacing w:before="0" w:after="283"/>
              <w:jc w:val="left"/>
              <w:rPr/>
            </w:pPr>
            <w:r>
              <w:rPr/>
              <w:t> </w:t>
            </w:r>
          </w:p>
        </w:tc>
      </w:tr>
      <w:tr>
        <w:trPr/>
        <w:tc>
          <w:tcPr>
            <w:tcW w:w="9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75" w:type="dxa"/>
            <w:tcBorders/>
            <w:shd w:fill="FFFFFF" w:val="clear"/>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7"/>
        <w:gridCol w:w="60"/>
        <w:gridCol w:w="249"/>
        <w:gridCol w:w="1217"/>
        <w:gridCol w:w="112"/>
      </w:tblGrid>
      <w:tr>
        <w:trPr/>
        <w:tc>
          <w:tcPr>
            <w:tcW w:w="856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12" w:type="dxa"/>
            <w:tcBorders/>
            <w:vAlign w:val="center"/>
          </w:tcPr>
          <w:p>
            <w:pPr>
              <w:pStyle w:val="TableContents"/>
              <w:bidi w:val="0"/>
              <w:spacing w:before="0" w:after="283"/>
              <w:jc w:val="left"/>
              <w:rPr/>
            </w:pPr>
            <w:r>
              <w:rPr/>
              <w:t> </w:t>
            </w:r>
          </w:p>
        </w:tc>
      </w:tr>
      <w:tr>
        <w:trPr/>
        <w:tc>
          <w:tcPr>
            <w:tcW w:w="8567"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1,350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1,368</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1,143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797</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2,230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4,300</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2,563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182</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(2,806</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(2,917</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(1,675</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(2,702</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Finance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2,564</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16,493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8567" w:type="dxa"/>
            <w:tcBorders/>
            <w:shd w:fill="FFFFFF" w:val="clear"/>
            <w:vAlign w:val="center"/>
          </w:tcPr>
          <w:p>
            <w:pPr>
              <w:pStyle w:val="TableContents"/>
              <w:bidi w:val="0"/>
              <w:spacing w:before="0" w:after="283"/>
              <w:jc w:val="both"/>
              <w:rPr/>
            </w:pPr>
            <w:r>
              <w:rPr/>
              <w:t>Fair value of Deferred Ambia Consideration Shares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3200"/>
        <w:gridCol w:w="60"/>
        <w:gridCol w:w="1040"/>
        <w:gridCol w:w="60"/>
        <w:gridCol w:w="295"/>
        <w:gridCol w:w="1180"/>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355"/>
        <w:gridCol w:w="60"/>
        <w:gridCol w:w="209"/>
        <w:gridCol w:w="1205"/>
        <w:gridCol w:w="95"/>
        <w:gridCol w:w="60"/>
        <w:gridCol w:w="194"/>
        <w:gridCol w:w="1220"/>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429,689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480,427</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Pro forma net loss from continuing operations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(312,801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070"/>
        <w:gridCol w:w="60"/>
        <w:gridCol w:w="209"/>
        <w:gridCol w:w="1205"/>
        <w:gridCol w:w="60"/>
        <w:gridCol w:w="60"/>
        <w:gridCol w:w="209"/>
        <w:gridCol w:w="1205"/>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Residential Solar Installation</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160,987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67,460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New Homes Business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46,686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32,205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41,282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207,673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99,665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2900"/>
        <w:gridCol w:w="60"/>
        <w:gridCol w:w="241"/>
        <w:gridCol w:w="1173"/>
        <w:gridCol w:w="60"/>
        <w:gridCol w:w="60"/>
        <w:gridCol w:w="241"/>
        <w:gridCol w:w="1173"/>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assets, 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26,066</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10,003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10,921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86" w:type="dxa"/>
        <w:jc w:val="left"/>
        <w:tblInd w:w="0" w:type="dxa"/>
        <w:tblLayout w:type="fixed"/>
        <w:tblCellMar>
          <w:top w:w="0" w:type="dxa"/>
          <w:left w:w="0" w:type="dxa"/>
          <w:bottom w:w="0" w:type="dxa"/>
          <w:right w:w="0" w:type="dxa"/>
        </w:tblCellMar>
      </w:tblPr>
      <w:tblGrid>
        <w:gridCol w:w="6065"/>
        <w:gridCol w:w="60"/>
        <w:gridCol w:w="220"/>
        <w:gridCol w:w="1194"/>
        <w:gridCol w:w="97"/>
        <w:gridCol w:w="61"/>
        <w:gridCol w:w="241"/>
        <w:gridCol w:w="1173"/>
        <w:gridCol w:w="7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b/>
              </w:rPr>
            </w:pPr>
            <w:r>
              <w:rPr>
                <w:b/>
              </w:rPr>
              <w:t>Contract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beginning of period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Contract assets recognized</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12,979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21,451</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Reclassifications to accounts receivable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Increase due to contract assets acquired in business combination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1,143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4,615</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end of period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92" w:type="dxa"/>
        <w:jc w:val="left"/>
        <w:tblInd w:w="0" w:type="dxa"/>
        <w:tblLayout w:type="fixed"/>
        <w:tblCellMar>
          <w:top w:w="0" w:type="dxa"/>
          <w:left w:w="0" w:type="dxa"/>
          <w:bottom w:w="0" w:type="dxa"/>
          <w:right w:w="0" w:type="dxa"/>
        </w:tblCellMar>
      </w:tblPr>
      <w:tblGrid>
        <w:gridCol w:w="6530"/>
        <w:gridCol w:w="60"/>
        <w:gridCol w:w="241"/>
        <w:gridCol w:w="1173"/>
        <w:gridCol w:w="101"/>
        <w:gridCol w:w="63"/>
        <w:gridCol w:w="241"/>
        <w:gridCol w:w="1173"/>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b/>
              </w:rPr>
            </w:pPr>
            <w:r>
              <w:rPr>
                <w:b/>
              </w:rPr>
              <w:t>Contract liabilities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beginning of period</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10,921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3,478</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Increases due to billings or cash received in advance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6,750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2,642</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Revenue recognized from beginning balance of 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(9,889</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(2,560</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Increase due to contract liabilities assumed in a business combination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13,348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end of period</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b/>
              </w:rPr>
            </w:pPr>
            <w:r>
              <w:rPr>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5030"/>
        <w:gridCol w:w="60"/>
        <w:gridCol w:w="133"/>
        <w:gridCol w:w="516"/>
        <w:gridCol w:w="60"/>
        <w:gridCol w:w="60"/>
        <w:gridCol w:w="210"/>
        <w:gridCol w:w="439"/>
        <w:gridCol w:w="60"/>
        <w:gridCol w:w="60"/>
        <w:gridCol w:w="125"/>
        <w:gridCol w:w="695"/>
        <w:gridCol w:w="60"/>
        <w:gridCol w:w="60"/>
        <w:gridCol w:w="125"/>
        <w:gridCol w:w="695"/>
        <w:gridCol w:w="7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03" w:type="dxa"/>
            <w:tcBorders/>
            <w:vAlign w:val="center"/>
          </w:tcPr>
          <w:p>
            <w:pPr>
              <w:pStyle w:val="TableContents"/>
              <w:bidi w:val="0"/>
              <w:spacing w:before="0" w:after="283"/>
              <w:jc w:val="both"/>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8"/>
        <w:gridCol w:w="60"/>
        <w:gridCol w:w="178"/>
        <w:gridCol w:w="963"/>
        <w:gridCol w:w="95"/>
        <w:gridCol w:w="60"/>
        <w:gridCol w:w="277"/>
        <w:gridCol w:w="1108"/>
        <w:gridCol w:w="60"/>
        <w:gridCol w:w="60"/>
        <w:gridCol w:w="346"/>
        <w:gridCol w:w="941"/>
        <w:gridCol w:w="60"/>
        <w:gridCol w:w="60"/>
        <w:gridCol w:w="198"/>
        <w:gridCol w:w="793"/>
        <w:gridCol w:w="60"/>
        <w:gridCol w:w="60"/>
        <w:gridCol w:w="281"/>
        <w:gridCol w:w="1366"/>
        <w:gridCol w:w="60"/>
        <w:gridCol w:w="60"/>
        <w:gridCol w:w="140"/>
        <w:gridCol w:w="800"/>
        <w:gridCol w:w="81"/>
      </w:tblGrid>
      <w:tr>
        <w:trPr/>
        <w:tc>
          <w:tcPr>
            <w:tcW w:w="2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81" w:type="dxa"/>
            <w:tcBorders/>
            <w:vAlign w:val="center"/>
          </w:tcPr>
          <w:p>
            <w:pPr>
              <w:pStyle w:val="TableContents"/>
              <w:bidi w:val="0"/>
              <w:spacing w:before="0" w:after="283"/>
              <w:jc w:val="left"/>
              <w:rPr/>
            </w:pPr>
            <w:r>
              <w:rPr/>
              <w:t> </w:t>
            </w:r>
          </w:p>
        </w:tc>
      </w:tr>
      <w:tr>
        <w:trPr/>
        <w:tc>
          <w:tcPr>
            <w:tcW w:w="2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101,699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038"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16,879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37,687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(10,931</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038" w:type="dxa"/>
            <w:tcBorders/>
            <w:shd w:fill="FFFFFF" w:val="clear"/>
            <w:vAlign w:val="center"/>
          </w:tcPr>
          <w:p>
            <w:pPr>
              <w:pStyle w:val="TableContents"/>
              <w:bidi w:val="0"/>
              <w:spacing w:before="0" w:after="283"/>
              <w:jc w:val="left"/>
              <w:rPr/>
            </w:pPr>
            <w:r>
              <w:rPr/>
              <w:t>Net (gain)/loss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(11,490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(9,681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038"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2"/>
        <w:gridCol w:w="60"/>
        <w:gridCol w:w="180"/>
        <w:gridCol w:w="1008"/>
        <w:gridCol w:w="80"/>
        <w:gridCol w:w="60"/>
        <w:gridCol w:w="316"/>
        <w:gridCol w:w="1228"/>
        <w:gridCol w:w="80"/>
        <w:gridCol w:w="60"/>
        <w:gridCol w:w="223"/>
        <w:gridCol w:w="974"/>
        <w:gridCol w:w="80"/>
        <w:gridCol w:w="60"/>
        <w:gridCol w:w="186"/>
        <w:gridCol w:w="883"/>
        <w:gridCol w:w="80"/>
        <w:gridCol w:w="60"/>
        <w:gridCol w:w="125"/>
        <w:gridCol w:w="695"/>
        <w:gridCol w:w="85"/>
      </w:tblGrid>
      <w:tr>
        <w:trPr/>
        <w:tc>
          <w:tcPr>
            <w:tcW w:w="368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37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 December 29, 2024</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Derivative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Forward Purchase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SAFE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5" w:type="dxa"/>
            <w:tcBorders/>
            <w:vAlign w:val="center"/>
          </w:tcPr>
          <w:p>
            <w:pPr>
              <w:pStyle w:val="TableContents"/>
              <w:bidi w:val="0"/>
              <w:spacing w:before="0" w:after="283"/>
              <w:ind w:left="0" w:right="0" w:hanging="180"/>
              <w:jc w:val="center"/>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137,108</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(13,556</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(gain)/loss recognized within Other non-operating income, net in the consolidated statement of operations</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(36,644</w:t>
            </w:r>
          </w:p>
        </w:tc>
        <w:tc>
          <w:tcPr>
            <w:tcW w:w="8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Derivative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205"/>
        <w:gridCol w:w="977"/>
        <w:gridCol w:w="236"/>
        <w:gridCol w:w="76"/>
        <w:gridCol w:w="196"/>
        <w:gridCol w:w="932"/>
        <w:gridCol w:w="236"/>
        <w:gridCol w:w="76"/>
        <w:gridCol w:w="273"/>
        <w:gridCol w:w="1274"/>
        <w:gridCol w:w="185"/>
        <w:gridCol w:w="60"/>
        <w:gridCol w:w="311"/>
        <w:gridCol w:w="1305"/>
        <w:gridCol w:w="333"/>
        <w:gridCol w:w="107"/>
        <w:gridCol w:w="311"/>
        <w:gridCol w:w="1305"/>
        <w:gridCol w:w="209"/>
      </w:tblGrid>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09"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09" w:type="dxa"/>
            <w:tcBorders/>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9" w:type="dxa"/>
            <w:tcBorders/>
            <w:shd w:fill="CCEEFF" w:val="clear"/>
            <w:vAlign w:val="center"/>
          </w:tcPr>
          <w:p>
            <w:pPr>
              <w:pStyle w:val="TableContents"/>
              <w:bidi w:val="0"/>
              <w:spacing w:before="0" w:after="283"/>
              <w:jc w:val="left"/>
              <w:rPr/>
            </w:pPr>
            <w:r>
              <w:rPr/>
              <w:t> </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60"/>
        <w:gridCol w:w="238"/>
        <w:gridCol w:w="1131"/>
        <w:gridCol w:w="338"/>
        <w:gridCol w:w="109"/>
        <w:gridCol w:w="330"/>
        <w:gridCol w:w="1564"/>
        <w:gridCol w:w="20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0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1520"/>
        <w:gridCol w:w="60"/>
        <w:gridCol w:w="259"/>
        <w:gridCol w:w="915"/>
        <w:gridCol w:w="185"/>
        <w:gridCol w:w="60"/>
        <w:gridCol w:w="240"/>
        <w:gridCol w:w="934"/>
        <w:gridCol w:w="20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0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0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98" w:type="dxa"/>
        <w:jc w:val="left"/>
        <w:tblInd w:w="0" w:type="dxa"/>
        <w:tblLayout w:type="fixed"/>
        <w:tblCellMar>
          <w:top w:w="0" w:type="dxa"/>
          <w:left w:w="0" w:type="dxa"/>
          <w:bottom w:w="0" w:type="dxa"/>
          <w:right w:w="0" w:type="dxa"/>
        </w:tblCellMar>
      </w:tblPr>
      <w:tblGrid>
        <w:gridCol w:w="2045"/>
        <w:gridCol w:w="60"/>
        <w:gridCol w:w="240"/>
        <w:gridCol w:w="934"/>
        <w:gridCol w:w="185"/>
        <w:gridCol w:w="60"/>
        <w:gridCol w:w="240"/>
        <w:gridCol w:w="934"/>
        <w:gridCol w:w="200"/>
      </w:tblGrid>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b/>
              </w:rPr>
            </w:pPr>
            <w:r>
              <w:rPr>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(5,832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(42,211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(48,615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pPr>
            <w:r>
              <w:rPr/>
              <w:t>(88,528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3545"/>
        <w:gridCol w:w="60"/>
        <w:gridCol w:w="140"/>
        <w:gridCol w:w="779"/>
        <w:gridCol w:w="60"/>
        <w:gridCol w:w="60"/>
        <w:gridCol w:w="182"/>
        <w:gridCol w:w="948"/>
        <w:gridCol w:w="80"/>
        <w:gridCol w:w="60"/>
        <w:gridCol w:w="166"/>
        <w:gridCol w:w="784"/>
        <w:gridCol w:w="60"/>
        <w:gridCol w:w="60"/>
        <w:gridCol w:w="137"/>
        <w:gridCol w:w="767"/>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54" w:type="dxa"/>
        <w:jc w:val="left"/>
        <w:tblInd w:w="0" w:type="dxa"/>
        <w:tblLayout w:type="fixed"/>
        <w:tblCellMar>
          <w:top w:w="0" w:type="dxa"/>
          <w:left w:w="0" w:type="dxa"/>
          <w:bottom w:w="0" w:type="dxa"/>
          <w:right w:w="0" w:type="dxa"/>
        </w:tblCellMar>
      </w:tblPr>
      <w:tblGrid>
        <w:gridCol w:w="5270"/>
        <w:gridCol w:w="60"/>
        <w:gridCol w:w="241"/>
        <w:gridCol w:w="1173"/>
        <w:gridCol w:w="60"/>
        <w:gridCol w:w="60"/>
        <w:gridCol w:w="283"/>
        <w:gridCol w:w="1132"/>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3,759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4,447</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8"/>
                <w:sz w:val="19"/>
              </w:rPr>
            </w:pPr>
            <w:r>
              <w:rPr>
                <w:position w:val="8"/>
                <w:sz w:val="19"/>
              </w:rPr>
              <w:t>(1)</w:t>
            </w:r>
          </w:p>
        </w:tc>
        <w:tc>
          <w:tcPr>
            <w:tcW w:w="9973"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18"/>
        <w:gridCol w:w="956"/>
        <w:gridCol w:w="80"/>
        <w:gridCol w:w="60"/>
        <w:gridCol w:w="240"/>
        <w:gridCol w:w="934"/>
        <w:gridCol w:w="9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4805"/>
        <w:gridCol w:w="60"/>
        <w:gridCol w:w="241"/>
        <w:gridCol w:w="1173"/>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6,619</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8,028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legal settlements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7,700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rebates and credits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7,641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financing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4,674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4,523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6"/>
        <w:gridCol w:w="60"/>
        <w:gridCol w:w="431"/>
        <w:gridCol w:w="2338"/>
        <w:gridCol w:w="95"/>
        <w:gridCol w:w="60"/>
        <w:gridCol w:w="278"/>
        <w:gridCol w:w="904"/>
        <w:gridCol w:w="95"/>
        <w:gridCol w:w="60"/>
        <w:gridCol w:w="140"/>
        <w:gridCol w:w="680"/>
        <w:gridCol w:w="60"/>
        <w:gridCol w:w="60"/>
        <w:gridCol w:w="140"/>
        <w:gridCol w:w="755"/>
        <w:gridCol w:w="113"/>
      </w:tblGrid>
      <w:tr>
        <w:trPr/>
        <w:tc>
          <w:tcPr>
            <w:tcW w:w="39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Goodwill acquired in business combinations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Balance as of December 29, 2024</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w:t>
            </w:r>
          </w:p>
        </w:tc>
      </w:tr>
      <w:tr>
        <w:trPr/>
        <w:tc>
          <w:tcPr>
            <w:tcW w:w="3936"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30,808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62,630</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4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38"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b/>
              </w:rPr>
            </w:pPr>
            <w:r>
              <w:rPr>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(3,198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pPr>
            <w:r>
              <w:rPr/>
              <w:t>(1,975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pPr>
            <w:r>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pPr>
            <w:r>
              <w:rPr/>
              <w:t>$</w:t>
            </w:r>
          </w:p>
        </w:tc>
        <w:tc>
          <w:tcPr>
            <w:tcW w:w="750" w:type="dxa"/>
            <w:tcBorders>
              <w:bottom w:val="double" w:sz="10" w:space="0" w:color="000000"/>
            </w:tcBorders>
            <w:shd w:fill="FFFFFF" w:val="clear"/>
            <w:vAlign w:val="center"/>
          </w:tcPr>
          <w:p>
            <w:pPr>
              <w:pStyle w:val="TableContents"/>
              <w:bidi w:val="0"/>
              <w:spacing w:before="0" w:after="283"/>
              <w:jc w:val="right"/>
              <w:rPr/>
            </w:pPr>
            <w:r>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pPr>
            <w:r>
              <w:rPr/>
              <w:t>$</w:t>
            </w:r>
          </w:p>
        </w:tc>
        <w:tc>
          <w:tcPr>
            <w:tcW w:w="1123" w:type="dxa"/>
            <w:tcBorders>
              <w:bottom w:val="double" w:sz="10" w:space="0" w:color="000000"/>
            </w:tcBorders>
            <w:shd w:fill="FFFFFF" w:val="clear"/>
            <w:vAlign w:val="center"/>
          </w:tcPr>
          <w:p>
            <w:pPr>
              <w:pStyle w:val="TableContents"/>
              <w:bidi w:val="0"/>
              <w:spacing w:before="0" w:after="283"/>
              <w:jc w:val="right"/>
              <w:rPr/>
            </w:pPr>
            <w:r>
              <w:rPr/>
              <w:t>(6,880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w:t>
            </w:r>
          </w:p>
        </w:tc>
        <w:tc>
          <w:tcPr>
            <w:tcW w:w="812" w:type="dxa"/>
            <w:tcBorders>
              <w:bottom w:val="double" w:sz="10" w:space="0" w:color="000000"/>
            </w:tcBorders>
            <w:shd w:fill="FFFFFF" w:val="clear"/>
            <w:vAlign w:val="center"/>
          </w:tcPr>
          <w:p>
            <w:pPr>
              <w:pStyle w:val="TableContents"/>
              <w:bidi w:val="0"/>
              <w:spacing w:before="0" w:after="283"/>
              <w:jc w:val="right"/>
              <w:rPr/>
            </w:pPr>
            <w:r>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78" w:type="dxa"/>
        <w:jc w:val="left"/>
        <w:tblInd w:w="0" w:type="dxa"/>
        <w:tblLayout w:type="fixed"/>
        <w:tblCellMar>
          <w:top w:w="0" w:type="dxa"/>
          <w:left w:w="0" w:type="dxa"/>
          <w:bottom w:w="28" w:type="dxa"/>
          <w:right w:w="0" w:type="dxa"/>
        </w:tblCellMar>
      </w:tblPr>
      <w:tblGrid>
        <w:gridCol w:w="2120"/>
        <w:gridCol w:w="60"/>
        <w:gridCol w:w="157"/>
        <w:gridCol w:w="747"/>
        <w:gridCol w:w="60"/>
        <w:gridCol w:w="60"/>
        <w:gridCol w:w="278"/>
        <w:gridCol w:w="882"/>
        <w:gridCol w:w="80"/>
        <w:gridCol w:w="60"/>
        <w:gridCol w:w="139"/>
        <w:gridCol w:w="660"/>
        <w:gridCol w:w="75"/>
      </w:tblGrid>
      <w:tr>
        <w:trPr/>
        <w:tc>
          <w:tcPr>
            <w:tcW w:w="21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74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12" w:space="0" w:color="000000"/>
            </w:tcBorders>
            <w:shd w:fill="FFFFFF" w:val="clear"/>
            <w:vAlign w:val="center"/>
          </w:tcPr>
          <w:p>
            <w:pPr>
              <w:pStyle w:val="TableContents"/>
              <w:bidi w:val="0"/>
              <w:spacing w:before="0" w:after="283"/>
              <w:jc w:val="left"/>
              <w:rPr/>
            </w:pPr>
            <w:r>
              <w:rPr/>
              <w:t> </w:t>
            </w:r>
          </w:p>
        </w:tc>
        <w:tc>
          <w:tcPr>
            <w:tcW w:w="88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FFFFFF" w:val="clear"/>
            <w:vAlign w:val="center"/>
          </w:tcPr>
          <w:p>
            <w:pPr>
              <w:pStyle w:val="TableContents"/>
              <w:bidi w:val="0"/>
              <w:spacing w:before="0" w:after="283"/>
              <w:jc w:val="left"/>
              <w:rPr/>
            </w:pPr>
            <w:r>
              <w:rPr/>
              <w:t> </w:t>
            </w:r>
          </w:p>
        </w:tc>
        <w:tc>
          <w:tcPr>
            <w:tcW w:w="66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513" w:type="dxa"/>
        <w:jc w:val="left"/>
        <w:tblInd w:w="0" w:type="dxa"/>
        <w:tblLayout w:type="fixed"/>
        <w:tblCellMar>
          <w:top w:w="0" w:type="dxa"/>
          <w:left w:w="0" w:type="dxa"/>
          <w:bottom w:w="0" w:type="dxa"/>
          <w:right w:w="0" w:type="dxa"/>
        </w:tblCellMar>
      </w:tblPr>
      <w:tblGrid>
        <w:gridCol w:w="1910"/>
        <w:gridCol w:w="60"/>
        <w:gridCol w:w="160"/>
        <w:gridCol w:w="1014"/>
        <w:gridCol w:w="60"/>
        <w:gridCol w:w="60"/>
        <w:gridCol w:w="210"/>
        <w:gridCol w:w="964"/>
        <w:gridCol w:w="75"/>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7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54" w:type="dxa"/>
        <w:jc w:val="left"/>
        <w:tblInd w:w="0" w:type="dxa"/>
        <w:tblLayout w:type="fixed"/>
        <w:tblCellMar>
          <w:top w:w="0" w:type="dxa"/>
          <w:left w:w="0" w:type="dxa"/>
          <w:bottom w:w="28" w:type="dxa"/>
          <w:right w:w="0" w:type="dxa"/>
        </w:tblCellMar>
      </w:tblPr>
      <w:tblGrid>
        <w:gridCol w:w="1190"/>
        <w:gridCol w:w="60"/>
        <w:gridCol w:w="243"/>
        <w:gridCol w:w="1186"/>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8,501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6,234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4,809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1186" w:type="dxa"/>
            <w:tcBorders>
              <w:bottom w:val="single" w:sz="12" w:space="0" w:color="000000"/>
            </w:tcBorders>
            <w:shd w:fill="FFFFFF" w:val="clear"/>
            <w:vAlign w:val="center"/>
          </w:tcPr>
          <w:p>
            <w:pPr>
              <w:pStyle w:val="TableContents"/>
              <w:bidi w:val="0"/>
              <w:spacing w:before="0" w:after="283"/>
              <w:jc w:val="right"/>
              <w:rPr/>
            </w:pPr>
            <w:r>
              <w:rPr/>
              <w:t>21,652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pPr>
            <w:r>
              <w:rPr/>
              <w:t>$</w:t>
            </w:r>
          </w:p>
        </w:tc>
        <w:tc>
          <w:tcPr>
            <w:tcW w:w="1186" w:type="dxa"/>
            <w:tcBorders>
              <w:bottom w:val="double" w:sz="10" w:space="0" w:color="000000"/>
            </w:tcBorders>
            <w:shd w:fill="CCEEFF" w:val="clear"/>
            <w:vAlign w:val="center"/>
          </w:tcPr>
          <w:p>
            <w:pPr>
              <w:pStyle w:val="TableContents"/>
              <w:bidi w:val="0"/>
              <w:spacing w:before="0" w:after="283"/>
              <w:jc w:val="right"/>
              <w:rPr/>
            </w:pPr>
            <w:r>
              <w:rPr/>
              <w:t>50,814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6"/>
        <w:gridCol w:w="60"/>
        <w:gridCol w:w="207"/>
        <w:gridCol w:w="1192"/>
        <w:gridCol w:w="95"/>
        <w:gridCol w:w="60"/>
        <w:gridCol w:w="207"/>
        <w:gridCol w:w="1192"/>
        <w:gridCol w:w="76"/>
      </w:tblGrid>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29,</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both"/>
              <w:rPr>
                <w:b/>
              </w:rPr>
            </w:pPr>
            <w:r>
              <w:rPr>
                <w:b/>
              </w:rPr>
              <w:t>Short term:</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Seller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Loan with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b/>
              </w:rPr>
            </w:pPr>
            <w:r>
              <w:rPr>
                <w:b/>
              </w:rPr>
              <w:t>Long-term:</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17,965</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24,632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13,563</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12,615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21,127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79,487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77,287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5,636</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476</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2025 Notes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37,930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55,474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43,800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78,588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68,544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92,638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53,193</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275"/>
        <w:gridCol w:w="60"/>
        <w:gridCol w:w="189"/>
        <w:gridCol w:w="985"/>
        <w:gridCol w:w="80"/>
        <w:gridCol w:w="60"/>
        <w:gridCol w:w="189"/>
        <w:gridCol w:w="985"/>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60"/>
        <w:gridCol w:w="85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305"/>
        <w:gridCol w:w="64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4415"/>
        <w:gridCol w:w="60"/>
        <w:gridCol w:w="218"/>
        <w:gridCol w:w="956"/>
        <w:gridCol w:w="95"/>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910"/>
        <w:gridCol w:w="60"/>
        <w:gridCol w:w="218"/>
        <w:gridCol w:w="956"/>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28" w:type="dxa"/>
        <w:jc w:val="left"/>
        <w:tblInd w:w="0" w:type="dxa"/>
        <w:tblLayout w:type="fixed"/>
        <w:tblCellMar>
          <w:top w:w="0" w:type="dxa"/>
          <w:left w:w="0" w:type="dxa"/>
          <w:bottom w:w="0" w:type="dxa"/>
          <w:right w:w="0" w:type="dxa"/>
        </w:tblCellMar>
      </w:tblPr>
      <w:tblGrid>
        <w:gridCol w:w="3785"/>
        <w:gridCol w:w="60"/>
        <w:gridCol w:w="189"/>
        <w:gridCol w:w="985"/>
        <w:gridCol w:w="80"/>
        <w:gridCol w:w="60"/>
        <w:gridCol w:w="189"/>
        <w:gridCol w:w="985"/>
        <w:gridCol w:w="9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4460"/>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(18,646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Net carrying amount of 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249" w:type="dxa"/>
        <w:jc w:val="left"/>
        <w:tblInd w:w="0" w:type="dxa"/>
        <w:tblLayout w:type="fixed"/>
        <w:tblCellMar>
          <w:top w:w="0" w:type="dxa"/>
          <w:left w:w="0" w:type="dxa"/>
          <w:bottom w:w="0" w:type="dxa"/>
          <w:right w:w="0" w:type="dxa"/>
        </w:tblCellMar>
      </w:tblPr>
      <w:tblGrid>
        <w:gridCol w:w="1520"/>
        <w:gridCol w:w="60"/>
        <w:gridCol w:w="243"/>
        <w:gridCol w:w="1351"/>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578" w:type="dxa"/>
        <w:jc w:val="left"/>
        <w:tblInd w:w="0" w:type="dxa"/>
        <w:tblLayout w:type="fixed"/>
        <w:tblCellMar>
          <w:top w:w="0" w:type="dxa"/>
          <w:left w:w="0" w:type="dxa"/>
          <w:bottom w:w="0" w:type="dxa"/>
          <w:right w:w="0" w:type="dxa"/>
        </w:tblCellMar>
      </w:tblPr>
      <w:tblGrid>
        <w:gridCol w:w="6935"/>
        <w:gridCol w:w="60"/>
        <w:gridCol w:w="204"/>
        <w:gridCol w:w="970"/>
        <w:gridCol w:w="80"/>
        <w:gridCol w:w="60"/>
        <w:gridCol w:w="189"/>
        <w:gridCol w:w="985"/>
        <w:gridCol w:w="9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591" w:type="dxa"/>
        <w:jc w:val="left"/>
        <w:tblInd w:w="0" w:type="dxa"/>
        <w:tblLayout w:type="fixed"/>
        <w:tblCellMar>
          <w:top w:w="0" w:type="dxa"/>
          <w:left w:w="0" w:type="dxa"/>
          <w:bottom w:w="0" w:type="dxa"/>
          <w:right w:w="0" w:type="dxa"/>
        </w:tblCellMar>
      </w:tblPr>
      <w:tblGrid>
        <w:gridCol w:w="5720"/>
        <w:gridCol w:w="60"/>
        <w:gridCol w:w="240"/>
        <w:gridCol w:w="934"/>
        <w:gridCol w:w="199"/>
        <w:gridCol w:w="64"/>
        <w:gridCol w:w="240"/>
        <w:gridCol w:w="934"/>
        <w:gridCol w:w="20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450"/>
        <w:gridCol w:w="60"/>
        <w:gridCol w:w="142"/>
        <w:gridCol w:w="553"/>
        <w:gridCol w:w="80"/>
        <w:gridCol w:w="60"/>
        <w:gridCol w:w="182"/>
        <w:gridCol w:w="708"/>
        <w:gridCol w:w="9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9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6650"/>
        <w:gridCol w:w="60"/>
        <w:gridCol w:w="240"/>
        <w:gridCol w:w="934"/>
        <w:gridCol w:w="60"/>
        <w:gridCol w:w="60"/>
        <w:gridCol w:w="240"/>
        <w:gridCol w:w="934"/>
        <w:gridCol w:w="75"/>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668" w:type="dxa"/>
        <w:jc w:val="left"/>
        <w:tblInd w:w="0" w:type="dxa"/>
        <w:tblLayout w:type="fixed"/>
        <w:tblCellMar>
          <w:top w:w="0" w:type="dxa"/>
          <w:left w:w="0" w:type="dxa"/>
          <w:bottom w:w="0" w:type="dxa"/>
          <w:right w:w="0" w:type="dxa"/>
        </w:tblCellMar>
      </w:tblPr>
      <w:tblGrid>
        <w:gridCol w:w="7010"/>
        <w:gridCol w:w="60"/>
        <w:gridCol w:w="218"/>
        <w:gridCol w:w="956"/>
        <w:gridCol w:w="89"/>
        <w:gridCol w:w="66"/>
        <w:gridCol w:w="240"/>
        <w:gridCol w:w="934"/>
        <w:gridCol w:w="95"/>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5240"/>
        <w:gridCol w:w="60"/>
        <w:gridCol w:w="230"/>
        <w:gridCol w:w="1244"/>
        <w:gridCol w:w="95"/>
        <w:gridCol w:w="60"/>
        <w:gridCol w:w="230"/>
        <w:gridCol w:w="1244"/>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5990"/>
        <w:gridCol w:w="60"/>
        <w:gridCol w:w="295"/>
        <w:gridCol w:w="1180"/>
        <w:gridCol w:w="60"/>
        <w:gridCol w:w="60"/>
        <w:gridCol w:w="174"/>
        <w:gridCol w:w="130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Current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Total current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Deferred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Total deferred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Income tax expense from continuing operations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Income tax expense as a component of discontinued operations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3875"/>
        <w:gridCol w:w="60"/>
        <w:gridCol w:w="156"/>
        <w:gridCol w:w="763"/>
        <w:gridCol w:w="95"/>
        <w:gridCol w:w="60"/>
        <w:gridCol w:w="205"/>
        <w:gridCol w:w="759"/>
        <w:gridCol w:w="305"/>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05" w:type="dxa"/>
            <w:tcBorders/>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(8,962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(0.9</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law changes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(26.6</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pPr>
            <w:r>
              <w:rPr/>
              <w:t>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77"/>
              <w:jc w:val="left"/>
              <w:rPr/>
            </w:pPr>
            <w:r>
              <w:rPr/>
              <w:t> </w:t>
            </w:r>
          </w:p>
        </w:tc>
      </w:tr>
      <w:tr>
        <w:trPr/>
        <w:tc>
          <w:tcPr>
            <w:tcW w:w="3875"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ind w:left="0" w:right="0" w:hanging="177"/>
              <w:jc w:val="left"/>
              <w:rPr/>
            </w:pPr>
            <w:r>
              <w:rPr/>
              <w:t>)</w:t>
            </w:r>
          </w:p>
        </w:tc>
      </w:tr>
      <w:tr>
        <w:trPr/>
        <w:tc>
          <w:tcPr>
            <w:tcW w:w="3875" w:type="dxa"/>
            <w:tcBorders/>
            <w:shd w:fill="FFFFFF" w:val="clear"/>
            <w:vAlign w:val="center"/>
          </w:tcPr>
          <w:p>
            <w:pPr>
              <w:pStyle w:val="TableContents"/>
              <w:bidi w:val="0"/>
              <w:spacing w:before="0" w:after="283"/>
              <w:jc w:val="left"/>
              <w:rPr/>
            </w:pPr>
            <w:r>
              <w:rPr/>
              <w:t>Other 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Deferred tax true-up</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provision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260"/>
        <w:gridCol w:w="980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80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3695"/>
        <w:gridCol w:w="60"/>
        <w:gridCol w:w="196"/>
        <w:gridCol w:w="1023"/>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9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95" w:type="dxa"/>
            <w:tcBorders/>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3620"/>
        <w:gridCol w:w="60"/>
        <w:gridCol w:w="220"/>
        <w:gridCol w:w="1194"/>
        <w:gridCol w:w="95"/>
        <w:gridCol w:w="60"/>
        <w:gridCol w:w="220"/>
        <w:gridCol w:w="1194"/>
        <w:gridCol w:w="110"/>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Deferred income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35,792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34,749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Debt derivatives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27,508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24,591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Bad debt reserve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452</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1,512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reserves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3,381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carryover</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7,005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1,279</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Capitalized research and development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824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3,336</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(70,253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(55,714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b/>
              </w:rPr>
            </w:pPr>
            <w:r>
              <w:rPr>
                <w:b/>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Convertible loan discount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(19,175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(2,671</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Net deferred tax liability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4070"/>
        <w:gridCol w:w="60"/>
        <w:gridCol w:w="151"/>
        <w:gridCol w:w="1024"/>
        <w:gridCol w:w="60"/>
        <w:gridCol w:w="60"/>
        <w:gridCol w:w="189"/>
        <w:gridCol w:w="986"/>
        <w:gridCol w:w="9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9951" w:type="dxa"/>
        <w:jc w:val="left"/>
        <w:tblInd w:w="0" w:type="dxa"/>
        <w:tblLayout w:type="fixed"/>
        <w:tblCellMar>
          <w:top w:w="0" w:type="dxa"/>
          <w:left w:w="0" w:type="dxa"/>
          <w:bottom w:w="0" w:type="dxa"/>
          <w:right w:w="0" w:type="dxa"/>
        </w:tblCellMar>
      </w:tblPr>
      <w:tblGrid>
        <w:gridCol w:w="4985"/>
        <w:gridCol w:w="60"/>
        <w:gridCol w:w="69"/>
        <w:gridCol w:w="1106"/>
        <w:gridCol w:w="66"/>
        <w:gridCol w:w="66"/>
        <w:gridCol w:w="69"/>
        <w:gridCol w:w="1106"/>
        <w:gridCol w:w="60"/>
        <w:gridCol w:w="60"/>
        <w:gridCol w:w="160"/>
        <w:gridCol w:w="624"/>
        <w:gridCol w:w="60"/>
        <w:gridCol w:w="60"/>
        <w:gridCol w:w="140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pPr>
            <w:r>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270"/>
        <w:gridCol w:w="60"/>
        <w:gridCol w:w="65"/>
        <w:gridCol w:w="1349"/>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31,670,265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2,628,996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19,164,660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2,577,895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SAFE Agreement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Forward purchase agreements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82,460,428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58,579,636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11,640,506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850"/>
        <w:gridCol w:w="60"/>
        <w:gridCol w:w="60"/>
        <w:gridCol w:w="1100"/>
        <w:gridCol w:w="95"/>
        <w:gridCol w:w="60"/>
        <w:gridCol w:w="240"/>
        <w:gridCol w:w="755"/>
        <w:gridCol w:w="60"/>
        <w:gridCol w:w="60"/>
        <w:gridCol w:w="150"/>
        <w:gridCol w:w="1100"/>
        <w:gridCol w:w="60"/>
        <w:gridCol w:w="60"/>
        <w:gridCol w:w="238"/>
        <w:gridCol w:w="952"/>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2,756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6,121,251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(398,883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(7,441,781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(712,467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(4,354,466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Vested and expected to vest— December 28,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1,903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Vested and exercisable—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2615"/>
        <w:gridCol w:w="60"/>
        <w:gridCol w:w="60"/>
        <w:gridCol w:w="950"/>
        <w:gridCol w:w="80"/>
        <w:gridCol w:w="60"/>
        <w:gridCol w:w="222"/>
        <w:gridCol w:w="787"/>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000"/>
        <w:gridCol w:w="60"/>
        <w:gridCol w:w="60"/>
        <w:gridCol w:w="1355"/>
        <w:gridCol w:w="200"/>
      </w:tblGrid>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92" w:type="dxa"/>
        <w:jc w:val="left"/>
        <w:tblInd w:w="0" w:type="dxa"/>
        <w:tblLayout w:type="fixed"/>
        <w:tblCellMar>
          <w:top w:w="0" w:type="dxa"/>
          <w:left w:w="0" w:type="dxa"/>
          <w:bottom w:w="0" w:type="dxa"/>
          <w:right w:w="0" w:type="dxa"/>
        </w:tblCellMar>
      </w:tblPr>
      <w:tblGrid>
        <w:gridCol w:w="3890"/>
        <w:gridCol w:w="60"/>
        <w:gridCol w:w="241"/>
        <w:gridCol w:w="1173"/>
        <w:gridCol w:w="69"/>
        <w:gridCol w:w="69"/>
        <w:gridCol w:w="283"/>
        <w:gridCol w:w="113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157"/>
        <w:gridCol w:w="1249"/>
        <w:gridCol w:w="95"/>
        <w:gridCol w:w="60"/>
        <w:gridCol w:w="157"/>
        <w:gridCol w:w="1249"/>
        <w:gridCol w:w="112"/>
      </w:tblGrid>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29,</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b/>
              </w:rPr>
            </w:pPr>
            <w:r>
              <w:rPr>
                <w:b/>
              </w:rPr>
              <w:t>Numerator for basic loss per share:</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(54,444</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b/>
              </w:rPr>
            </w:pPr>
            <w:r>
              <w:rPr>
                <w:b/>
              </w:rPr>
              <w:t>Numerator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(92,337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Denominator for basic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87,108,928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66,655,837</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September 2024 Notes derivative liability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Denominator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(0.82</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(1.19</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283" w:type="dxa"/>
        <w:jc w:val="left"/>
        <w:tblInd w:w="0" w:type="dxa"/>
        <w:tblLayout w:type="fixed"/>
        <w:tblCellMar>
          <w:top w:w="0" w:type="dxa"/>
          <w:left w:w="0" w:type="dxa"/>
          <w:bottom w:w="0" w:type="dxa"/>
          <w:right w:w="0" w:type="dxa"/>
        </w:tblCellMar>
      </w:tblPr>
      <w:tblGrid>
        <w:gridCol w:w="6200"/>
        <w:gridCol w:w="60"/>
        <w:gridCol w:w="65"/>
        <w:gridCol w:w="1349"/>
        <w:gridCol w:w="60"/>
        <w:gridCol w:w="60"/>
        <w:gridCol w:w="73"/>
        <w:gridCol w:w="1341"/>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218,847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25,434,069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82,460,428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27,364,717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8,084,064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Third SAFE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Deferred consideration shares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FFFFFF" w:val="clear"/>
            <w:tcMar>
              <w:bottom w:w="28" w:type="dxa"/>
            </w:tcMar>
            <w:vAlign w:val="center"/>
          </w:tcPr>
          <w:p>
            <w:pPr>
              <w:pStyle w:val="TableContents"/>
              <w:bidi w:val="0"/>
              <w:spacing w:before="0" w:after="283"/>
              <w:jc w:val="right"/>
              <w:rPr/>
            </w:pPr>
            <w:r>
              <w:rPr/>
              <w:t>105,153,845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10" w:space="0" w:color="000000"/>
            </w:tcBorders>
            <w:shd w:fill="FFFFFF" w:val="clear"/>
            <w:tcMar>
              <w:bottom w:w="28" w:type="dxa"/>
            </w:tcMar>
            <w:vAlign w:val="center"/>
          </w:tcPr>
          <w:p>
            <w:pPr>
              <w:pStyle w:val="TableContents"/>
              <w:bidi w:val="0"/>
              <w:spacing w:before="0" w:after="283"/>
              <w:jc w:val="right"/>
              <w:rPr/>
            </w:pPr>
            <w:r>
              <w:rPr/>
              <w:t>64,778,154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71"/>
        <w:gridCol w:w="60"/>
        <w:gridCol w:w="172"/>
        <w:gridCol w:w="988"/>
        <w:gridCol w:w="95"/>
        <w:gridCol w:w="60"/>
        <w:gridCol w:w="170"/>
        <w:gridCol w:w="978"/>
        <w:gridCol w:w="60"/>
        <w:gridCol w:w="60"/>
        <w:gridCol w:w="140"/>
        <w:gridCol w:w="680"/>
        <w:gridCol w:w="60"/>
        <w:gridCol w:w="60"/>
        <w:gridCol w:w="140"/>
        <w:gridCol w:w="800"/>
        <w:gridCol w:w="111"/>
      </w:tblGrid>
      <w:tr>
        <w:trPr/>
        <w:tc>
          <w:tcPr>
            <w:tcW w:w="5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11" w:type="dxa"/>
            <w:tcBorders/>
            <w:vAlign w:val="center"/>
          </w:tcPr>
          <w:p>
            <w:pPr>
              <w:pStyle w:val="TableContents"/>
              <w:bidi w:val="0"/>
              <w:spacing w:before="0" w:after="283"/>
              <w:jc w:val="left"/>
              <w:rPr/>
            </w:pPr>
            <w:r>
              <w:rPr/>
              <w:t> </w:t>
            </w:r>
          </w:p>
        </w:tc>
      </w:tr>
      <w:tr>
        <w:trPr/>
        <w:tc>
          <w:tcPr>
            <w:tcW w:w="557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124,595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300,000</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82,288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25,154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pPr>
            <w:r>
              <w:rPr/>
              <w:t>4,374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571" w:type="dxa"/>
            <w:tcBorders/>
            <w:shd w:fill="FFFFFF" w:val="clear"/>
            <w:vAlign w:val="center"/>
          </w:tcPr>
          <w:p>
            <w:pPr>
              <w:pStyle w:val="TableContents"/>
              <w:bidi w:val="0"/>
              <w:spacing w:before="0" w:after="283"/>
              <w:jc w:val="left"/>
              <w:rPr>
                <w:i/>
              </w:rPr>
            </w:pPr>
            <w:r>
              <w:rPr>
                <w:i/>
              </w:rPr>
              <w:t>Reconciliation of segment income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(25,095</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9,347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45"/>
        <w:gridCol w:w="759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0"/>
        <w:gridCol w:w="60"/>
        <w:gridCol w:w="824"/>
        <w:gridCol w:w="1884"/>
        <w:gridCol w:w="60"/>
        <w:gridCol w:w="60"/>
        <w:gridCol w:w="605"/>
        <w:gridCol w:w="1390"/>
        <w:gridCol w:w="60"/>
        <w:gridCol w:w="60"/>
        <w:gridCol w:w="211"/>
        <w:gridCol w:w="484"/>
        <w:gridCol w:w="60"/>
        <w:gridCol w:w="60"/>
        <w:gridCol w:w="170"/>
        <w:gridCol w:w="390"/>
        <w:gridCol w:w="77"/>
      </w:tblGrid>
      <w:tr>
        <w:trPr/>
        <w:tc>
          <w:tcPr>
            <w:tcW w:w="3750" w:type="dxa"/>
            <w:tcBorders>
              <w:bottom w:val="single" w:sz="12" w:space="0" w:color="000000"/>
            </w:tcBorders>
            <w:vAlign w:val="center"/>
          </w:tcPr>
          <w:p>
            <w:pPr>
              <w:pStyle w:val="TableContents"/>
              <w:bidi w:val="0"/>
              <w:spacing w:before="0" w:after="283"/>
              <w:jc w:val="left"/>
              <w:rPr>
                <w:b/>
                <w:i/>
              </w:rPr>
            </w:pPr>
            <w:r>
              <w:rPr>
                <w:b/>
                <w:i/>
              </w:rPr>
              <w:t>(in millions)</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tcMar>
              <w:bottom w:w="0" w:type="dxa"/>
            </w:tcMar>
            <w:vAlign w:val="center"/>
          </w:tcPr>
          <w:p>
            <w:pPr>
              <w:pStyle w:val="TableContents"/>
              <w:bidi w:val="0"/>
              <w:spacing w:before="0" w:after="283"/>
              <w:jc w:val="left"/>
              <w:rPr/>
            </w:pPr>
            <w:r>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left"/>
              <w:rPr/>
            </w:pPr>
            <w:r>
              <w:rPr/>
              <w:t>$</w:t>
            </w:r>
          </w:p>
        </w:tc>
        <w:tc>
          <w:tcPr>
            <w:tcW w:w="1884" w:type="dxa"/>
            <w:tcBorders/>
            <w:shd w:fill="CCEEFF" w:val="clear"/>
            <w:tcMar>
              <w:bottom w:w="0" w:type="dxa"/>
            </w:tcMar>
            <w:vAlign w:val="center"/>
          </w:tcPr>
          <w:p>
            <w:pPr>
              <w:pStyle w:val="TableContents"/>
              <w:bidi w:val="0"/>
              <w:spacing w:before="0" w:after="283"/>
              <w:jc w:val="right"/>
              <w:rPr/>
            </w:pPr>
            <w:r>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w:t>
            </w:r>
          </w:p>
        </w:tc>
        <w:tc>
          <w:tcPr>
            <w:tcW w:w="1390"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484"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390" w:type="dxa"/>
            <w:tcBorders/>
            <w:shd w:fill="CCEEFF" w:val="clear"/>
            <w:tcMar>
              <w:bottom w:w="0" w:type="dxa"/>
            </w:tcMar>
            <w:vAlign w:val="center"/>
          </w:tcPr>
          <w:p>
            <w:pPr>
              <w:pStyle w:val="TableContents"/>
              <w:bidi w:val="0"/>
              <w:spacing w:before="0" w:after="283"/>
              <w:jc w:val="right"/>
              <w:rPr/>
            </w:pPr>
            <w:r>
              <w:rPr/>
              <w:t>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75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left"/>
              <w:rPr/>
            </w:pPr>
            <w:r>
              <w:rPr/>
              <w:t> </w:t>
            </w:r>
          </w:p>
        </w:tc>
        <w:tc>
          <w:tcPr>
            <w:tcW w:w="1884" w:type="dxa"/>
            <w:tcBorders>
              <w:bottom w:val="single" w:sz="12" w:space="0" w:color="000000"/>
            </w:tcBorders>
            <w:shd w:fill="FFFFFF" w:val="clear"/>
            <w:vAlign w:val="center"/>
          </w:tcPr>
          <w:p>
            <w:pPr>
              <w:pStyle w:val="TableContents"/>
              <w:bidi w:val="0"/>
              <w:spacing w:before="0" w:after="283"/>
              <w:jc w:val="right"/>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vAlign w:val="center"/>
          </w:tcPr>
          <w:p>
            <w:pPr>
              <w:pStyle w:val="TableContents"/>
              <w:bidi w:val="0"/>
              <w:spacing w:before="0" w:after="283"/>
              <w:jc w:val="left"/>
              <w:rPr/>
            </w:pPr>
            <w:r>
              <w:rPr/>
              <w:t> </w:t>
            </w:r>
          </w:p>
        </w:tc>
        <w:tc>
          <w:tcPr>
            <w:tcW w:w="1390" w:type="dxa"/>
            <w:tcBorders>
              <w:bottom w:val="single" w:sz="12" w:space="0" w:color="000000"/>
            </w:tcBorders>
            <w:shd w:fill="FFFFFF" w:val="clear"/>
            <w:vAlign w:val="center"/>
          </w:tcPr>
          <w:p>
            <w:pPr>
              <w:pStyle w:val="TableContents"/>
              <w:bidi w:val="0"/>
              <w:spacing w:before="0" w:after="283"/>
              <w:jc w:val="right"/>
              <w:rPr/>
            </w:pPr>
            <w:r>
              <w:rPr/>
              <w:t>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pPr>
            <w:r>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pPr>
            <w:r>
              <w:rPr/>
              <w:t>7.0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vAlign w:val="center"/>
          </w:tcPr>
          <w:p>
            <w:pPr>
              <w:pStyle w:val="TableContents"/>
              <w:bidi w:val="0"/>
              <w:spacing w:before="0" w:after="283"/>
              <w:jc w:val="left"/>
              <w:rPr/>
            </w:pPr>
            <w:r>
              <w:rPr/>
              <w:t>$</w:t>
            </w:r>
          </w:p>
        </w:tc>
        <w:tc>
          <w:tcPr>
            <w:tcW w:w="1884" w:type="dxa"/>
            <w:tcBorders>
              <w:bottom w:val="double" w:sz="10" w:space="0" w:color="000000"/>
            </w:tcBorders>
            <w:shd w:fill="CCEEFF" w:val="clear"/>
            <w:vAlign w:val="center"/>
          </w:tcPr>
          <w:p>
            <w:pPr>
              <w:pStyle w:val="TableContents"/>
              <w:bidi w:val="0"/>
              <w:spacing w:before="0" w:after="283"/>
              <w:jc w:val="right"/>
              <w:rPr/>
            </w:pPr>
            <w:r>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vAlign w:val="center"/>
          </w:tcPr>
          <w:p>
            <w:pPr>
              <w:pStyle w:val="TableContents"/>
              <w:bidi w:val="0"/>
              <w:spacing w:before="0" w:after="283"/>
              <w:jc w:val="left"/>
              <w:rPr/>
            </w:pPr>
            <w:r>
              <w:rPr/>
              <w:t>$</w:t>
            </w:r>
          </w:p>
        </w:tc>
        <w:tc>
          <w:tcPr>
            <w:tcW w:w="1390" w:type="dxa"/>
            <w:tcBorders>
              <w:bottom w:val="double" w:sz="10" w:space="0" w:color="000000"/>
            </w:tcBorders>
            <w:shd w:fill="CCEEFF" w:val="cle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w:t>
            </w:r>
          </w:p>
        </w:tc>
        <w:tc>
          <w:tcPr>
            <w:tcW w:w="484" w:type="dxa"/>
            <w:tcBorders>
              <w:bottom w:val="double" w:sz="10" w:space="0" w:color="000000"/>
            </w:tcBorders>
            <w:shd w:fill="CCEEFF" w:val="cle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390" w:type="dxa"/>
            <w:tcBorders>
              <w:bottom w:val="double" w:sz="10" w:space="0" w:color="000000"/>
            </w:tcBorders>
            <w:shd w:fill="CCEEFF" w:val="clear"/>
            <w:vAlign w:val="center"/>
          </w:tcPr>
          <w:p>
            <w:pPr>
              <w:pStyle w:val="TableContents"/>
              <w:bidi w:val="0"/>
              <w:spacing w:before="0" w:after="283"/>
              <w:jc w:val="right"/>
              <w:rPr/>
            </w:pPr>
            <w:r>
              <w:rPr/>
              <w:t>9.2</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1"/>
        <w:gridCol w:w="60"/>
        <w:gridCol w:w="184"/>
        <w:gridCol w:w="989"/>
        <w:gridCol w:w="118"/>
        <w:gridCol w:w="74"/>
        <w:gridCol w:w="204"/>
        <w:gridCol w:w="951"/>
        <w:gridCol w:w="118"/>
        <w:gridCol w:w="74"/>
        <w:gridCol w:w="173"/>
        <w:gridCol w:w="994"/>
        <w:gridCol w:w="115"/>
      </w:tblGrid>
      <w:tr>
        <w:trPr/>
        <w:tc>
          <w:tcPr>
            <w:tcW w:w="6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15" w:type="dxa"/>
            <w:tcBorders/>
            <w:vAlign w:val="center"/>
          </w:tcPr>
          <w:p>
            <w:pPr>
              <w:pStyle w:val="TableContents"/>
              <w:bidi w:val="0"/>
              <w:spacing w:before="0" w:after="283"/>
              <w:jc w:val="left"/>
              <w:rPr/>
            </w:pPr>
            <w:r>
              <w:rPr/>
              <w:t> </w:t>
            </w:r>
          </w:p>
        </w:tc>
      </w:tr>
      <w:tr>
        <w:trPr/>
        <w:tc>
          <w:tcPr>
            <w:tcW w:w="615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67,460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41,282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108,742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45,266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23,974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23,388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1,202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6,827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(65,662</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(2,847</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i/>
              </w:rPr>
            </w:pPr>
            <w:r>
              <w:rPr>
                <w:i/>
              </w:rPr>
              <w:t>Reconciliation of segment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(16,223</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19</w:t>
            </w:r>
          </w:p>
        </w:tc>
        <w:tc>
          <w:tcPr>
            <w:tcW w:w="115" w:type="dxa"/>
            <w:tcBorders/>
            <w:shd w:fill="CCEE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7,932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Gain on troubled debt restructuring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Loss from continuing operations before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shd w:fill="FFFFFF" w:val="clear"/>
            <w:tcMar>
              <w:bottom w:w="28" w:type="dxa"/>
            </w:tcMar>
            <w:vAlign w:val="center"/>
          </w:tcPr>
          <w:p>
            <w:pPr>
              <w:pStyle w:val="TableContents"/>
              <w:bidi w:val="0"/>
              <w:spacing w:before="0" w:after="283"/>
              <w:jc w:val="right"/>
              <w:rPr/>
            </w:pPr>
            <w:r>
              <w:rPr/>
              <w:t>(54,444</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50"/>
        <w:gridCol w:w="60"/>
        <w:gridCol w:w="515"/>
      </w:tblGrid>
      <w:tr>
        <w:trPr/>
        <w:tc>
          <w:tcPr>
            <w:tcW w:w="755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1"/>
        <w:gridCol w:w="60"/>
        <w:gridCol w:w="153"/>
        <w:gridCol w:w="744"/>
        <w:gridCol w:w="103"/>
        <w:gridCol w:w="65"/>
        <w:gridCol w:w="153"/>
        <w:gridCol w:w="695"/>
        <w:gridCol w:w="101"/>
      </w:tblGrid>
      <w:tr>
        <w:trPr/>
        <w:tc>
          <w:tcPr>
            <w:tcW w:w="813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1,524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1,710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2,018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2,991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229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559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3,872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349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397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506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4,977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b/>
              </w:rPr>
            </w:pPr>
            <w:r>
              <w:rPr>
                <w:b/>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1,402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3,487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6,511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255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Line of credit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2,250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17,231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2,381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27,513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8,231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27,815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8,652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(6,287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8131" w:type="dxa"/>
            <w:tcBorders/>
            <w:shd w:fill="CCEEFF" w:val="clear"/>
            <w:vAlign w:val="center"/>
          </w:tcPr>
          <w:p>
            <w:pPr>
              <w:pStyle w:val="TableContents"/>
              <w:bidi w:val="0"/>
              <w:spacing w:before="0" w:after="283"/>
              <w:jc w:val="left"/>
              <w:rPr/>
            </w:pPr>
            <w:r>
              <w:rPr/>
              <w:t>Total 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267" w:type="dxa"/>
        <w:jc w:val="left"/>
        <w:tblInd w:w="0" w:type="dxa"/>
        <w:tblLayout w:type="fixed"/>
        <w:tblCellMar>
          <w:top w:w="0" w:type="dxa"/>
          <w:left w:w="0" w:type="dxa"/>
          <w:bottom w:w="0" w:type="dxa"/>
          <w:right w:w="0" w:type="dxa"/>
        </w:tblCellMar>
      </w:tblPr>
      <w:tblGrid>
        <w:gridCol w:w="3290"/>
        <w:gridCol w:w="60"/>
        <w:gridCol w:w="210"/>
        <w:gridCol w:w="1134"/>
        <w:gridCol w:w="142"/>
        <w:gridCol w:w="90"/>
        <w:gridCol w:w="210"/>
        <w:gridCol w:w="102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44,293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56,928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37,554</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46,815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989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54,870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63,655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42"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(180</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18</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4,525</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(6,743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10" w:space="0" w:color="000000"/>
            </w:tcBorders>
            <w:shd w:fill="FFFFFF" w:val="clear"/>
            <w:tcMar>
              <w:bottom w:w="28" w:type="dxa"/>
            </w:tcM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4085"/>
        <w:gridCol w:w="60"/>
        <w:gridCol w:w="140"/>
        <w:gridCol w:w="635"/>
        <w:gridCol w:w="110"/>
      </w:tblGrid>
      <w:tr>
        <w:trPr/>
        <w:tc>
          <w:tcPr>
            <w:tcW w:w="4085" w:type="dxa"/>
            <w:tcBorders/>
            <w:shd w:fill="CCEEFF" w:val="clear"/>
            <w:vAlign w:val="center"/>
          </w:tcPr>
          <w:p>
            <w:pPr>
              <w:pStyle w:val="TableContents"/>
              <w:bidi w:val="0"/>
              <w:spacing w:before="0" w:after="283"/>
              <w:jc w:val="left"/>
              <w:rPr/>
            </w:pPr>
            <w:r>
              <w:rPr/>
              <w:t>Member’s equity as of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6,330</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(6,214</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4,059</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(6,287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0"/>
        <w:gridCol w:w="60"/>
        <w:gridCol w:w="140"/>
        <w:gridCol w:w="755"/>
        <w:gridCol w:w="95"/>
        <w:gridCol w:w="60"/>
        <w:gridCol w:w="140"/>
        <w:gridCol w:w="635"/>
        <w:gridCol w:w="110"/>
      </w:tblGrid>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210" w:type="dxa"/>
            <w:tcBorders/>
            <w:shd w:fill="FFFFFF" w:val="clear"/>
            <w:vAlign w:val="center"/>
          </w:tcPr>
          <w:p>
            <w:pPr>
              <w:pStyle w:val="TableContents"/>
              <w:bidi w:val="0"/>
              <w:spacing w:before="0" w:after="283"/>
              <w:jc w:val="left"/>
              <w:rPr/>
            </w:pPr>
            <w:r>
              <w:rPr/>
              <w:t>Adjustments to reconcile net loss from continuing operations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3,677</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3,380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2,381</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paid for 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distribution to member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Cash contributions from member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Borrowings on the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Repayments on the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Net cash provided by (used in) financing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Cash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2,732</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and restricted cash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Non-cash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Right-of-use assets acquired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609</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787" w:type="dxa"/>
        <w:jc w:val="left"/>
        <w:tblInd w:w="0" w:type="dxa"/>
        <w:tblLayout w:type="fixed"/>
        <w:tblCellMar>
          <w:top w:w="0" w:type="dxa"/>
          <w:left w:w="0" w:type="dxa"/>
          <w:bottom w:w="0" w:type="dxa"/>
          <w:right w:w="0" w:type="dxa"/>
        </w:tblCellMar>
      </w:tblPr>
      <w:tblGrid>
        <w:gridCol w:w="3620"/>
        <w:gridCol w:w="60"/>
        <w:gridCol w:w="203"/>
        <w:gridCol w:w="814"/>
        <w:gridCol w:w="138"/>
        <w:gridCol w:w="87"/>
        <w:gridCol w:w="203"/>
        <w:gridCol w:w="55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1,199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786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1,574</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60"/>
        <w:gridCol w:w="311"/>
        <w:gridCol w:w="1245"/>
        <w:gridCol w:w="110"/>
        <w:gridCol w:w="69"/>
        <w:gridCol w:w="433"/>
        <w:gridCol w:w="1039"/>
        <w:gridCol w:w="110"/>
        <w:gridCol w:w="69"/>
        <w:gridCol w:w="391"/>
        <w:gridCol w:w="1277"/>
        <w:gridCol w:w="110"/>
        <w:gridCol w:w="69"/>
        <w:gridCol w:w="513"/>
        <w:gridCol w:w="1397"/>
        <w:gridCol w:w="110"/>
        <w:gridCol w:w="69"/>
        <w:gridCol w:w="163"/>
        <w:gridCol w:w="743"/>
        <w:gridCol w:w="122"/>
      </w:tblGrid>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22"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2" w:type="dxa"/>
            <w:tcBorders/>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54</w:t>
            </w:r>
          </w:p>
        </w:tc>
        <w:tc>
          <w:tcPr>
            <w:tcW w:w="122" w:type="dxa"/>
            <w:tcBorders/>
            <w:shd w:fill="CCEEFF" w:val="clear"/>
            <w:vAlign w:val="center"/>
          </w:tcPr>
          <w:p>
            <w:pPr>
              <w:pStyle w:val="TableContents"/>
              <w:bidi w:val="0"/>
              <w:spacing w:before="0" w:after="283"/>
              <w:ind w:left="0" w:right="0" w:hanging="180"/>
              <w:jc w:val="left"/>
              <w:rPr/>
            </w:pPr>
            <w:r>
              <w:rPr/>
              <w:t> </w:t>
            </w:r>
          </w:p>
        </w:tc>
      </w:tr>
      <w:tr>
        <w:trPr/>
        <w:tc>
          <w:tcPr>
            <w:tcW w:w="179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1,053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1,813</w:t>
            </w:r>
          </w:p>
        </w:tc>
        <w:tc>
          <w:tcPr>
            <w:tcW w:w="122" w:type="dxa"/>
            <w:tcBorders/>
            <w:shd w:fill="FFFFFF" w:val="clear"/>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(1,225</w:t>
            </w:r>
          </w:p>
        </w:tc>
        <w:tc>
          <w:tcPr>
            <w:tcW w:w="122" w:type="dxa"/>
            <w:tcBorders/>
            <w:shd w:fill="CCEEFF" w:val="clear"/>
            <w:vAlign w:val="center"/>
          </w:tcPr>
          <w:p>
            <w:pPr>
              <w:pStyle w:val="TableContents"/>
              <w:bidi w:val="0"/>
              <w:spacing w:before="0" w:after="283"/>
              <w:ind w:left="0" w:right="0" w:hanging="180"/>
              <w:jc w:val="left"/>
              <w:rPr/>
            </w:pPr>
            <w:r>
              <w:rPr/>
              <w:t>)</w:t>
            </w:r>
          </w:p>
        </w:tc>
      </w:tr>
      <w:tr>
        <w:trPr/>
        <w:tc>
          <w:tcPr>
            <w:tcW w:w="1795"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5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22" w:type="dxa"/>
            <w:tcBorders/>
            <w:shd w:fill="FFFFFF" w:val="clear"/>
            <w:vAlign w:val="center"/>
          </w:tcPr>
          <w:p>
            <w:pPr>
              <w:pStyle w:val="TableContents"/>
              <w:bidi w:val="0"/>
              <w:spacing w:before="0" w:after="283"/>
              <w:jc w:val="left"/>
              <w:rPr/>
            </w:pPr>
            <w:r>
              <w:rPr/>
              <w:t>)</w:t>
            </w:r>
          </w:p>
        </w:tc>
      </w:tr>
      <w:tr>
        <w:trPr/>
        <w:tc>
          <w:tcPr>
            <w:tcW w:w="179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2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4"/>
        <w:gridCol w:w="60"/>
        <w:gridCol w:w="286"/>
        <w:gridCol w:w="1306"/>
        <w:gridCol w:w="105"/>
        <w:gridCol w:w="66"/>
        <w:gridCol w:w="520"/>
        <w:gridCol w:w="968"/>
        <w:gridCol w:w="66"/>
        <w:gridCol w:w="66"/>
        <w:gridCol w:w="340"/>
        <w:gridCol w:w="1363"/>
        <w:gridCol w:w="105"/>
        <w:gridCol w:w="66"/>
        <w:gridCol w:w="309"/>
        <w:gridCol w:w="1639"/>
        <w:gridCol w:w="66"/>
        <w:gridCol w:w="66"/>
        <w:gridCol w:w="155"/>
        <w:gridCol w:w="705"/>
        <w:gridCol w:w="104"/>
      </w:tblGrid>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97"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04" w:type="dxa"/>
            <w:tcBorders/>
            <w:vAlign w:val="center"/>
          </w:tcPr>
          <w:p>
            <w:pPr>
              <w:pStyle w:val="TableContents"/>
              <w:bidi w:val="0"/>
              <w:spacing w:before="0" w:after="283"/>
              <w:jc w:val="left"/>
              <w:rPr/>
            </w:pPr>
            <w:r>
              <w:rPr/>
              <w:t> </w:t>
            </w:r>
          </w:p>
        </w:tc>
      </w:tr>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04" w:type="dxa"/>
            <w:tcBorders/>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363"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639"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1844"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4,157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1,041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5,206</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(4,157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(995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(5,152</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1844"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39"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067" w:type="dxa"/>
        <w:jc w:val="left"/>
        <w:tblInd w:w="0" w:type="dxa"/>
        <w:tblLayout w:type="fixed"/>
        <w:tblCellMar>
          <w:top w:w="0" w:type="dxa"/>
          <w:left w:w="0" w:type="dxa"/>
          <w:bottom w:w="0" w:type="dxa"/>
          <w:right w:w="0" w:type="dxa"/>
        </w:tblCellMar>
      </w:tblPr>
      <w:tblGrid>
        <w:gridCol w:w="3935"/>
        <w:gridCol w:w="60"/>
        <w:gridCol w:w="170"/>
        <w:gridCol w:w="829"/>
        <w:gridCol w:w="73"/>
        <w:gridCol w:w="73"/>
        <w:gridCol w:w="170"/>
        <w:gridCol w:w="682"/>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12,840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1,423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435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FFFFFF" w:val="clear"/>
            <w:tcMar>
              <w:bottom w:w="28" w:type="dxa"/>
            </w:tcMar>
            <w:vAlign w:val="center"/>
          </w:tcPr>
          <w:p>
            <w:pPr>
              <w:pStyle w:val="TableContents"/>
              <w:bidi w:val="0"/>
              <w:spacing w:before="0" w:after="283"/>
              <w:jc w:val="right"/>
              <w:rPr/>
            </w:pPr>
            <w:r>
              <w:rPr/>
              <w:t>1,839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4625"/>
        <w:gridCol w:w="60"/>
        <w:gridCol w:w="220"/>
        <w:gridCol w:w="716"/>
        <w:gridCol w:w="149"/>
        <w:gridCol w:w="94"/>
        <w:gridCol w:w="220"/>
        <w:gridCol w:w="598"/>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202</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188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shd w:fill="FFFFFF" w:val="clear"/>
            <w:tcMar>
              <w:bottom w:w="28" w:type="dxa"/>
            </w:tcMar>
            <w:vAlign w:val="center"/>
          </w:tcPr>
          <w:p>
            <w:pPr>
              <w:pStyle w:val="TableContents"/>
              <w:bidi w:val="0"/>
              <w:spacing w:before="0" w:after="283"/>
              <w:jc w:val="right"/>
              <w:rPr/>
            </w:pPr>
            <w:r>
              <w:rPr/>
              <w:t>349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6936" w:type="dxa"/>
        <w:jc w:val="left"/>
        <w:tblInd w:w="0" w:type="dxa"/>
        <w:tblLayout w:type="fixed"/>
        <w:tblCellMar>
          <w:top w:w="0" w:type="dxa"/>
          <w:left w:w="0" w:type="dxa"/>
          <w:bottom w:w="0" w:type="dxa"/>
          <w:right w:w="0" w:type="dxa"/>
        </w:tblCellMar>
      </w:tblPr>
      <w:tblGrid>
        <w:gridCol w:w="4805"/>
        <w:gridCol w:w="60"/>
        <w:gridCol w:w="208"/>
        <w:gridCol w:w="835"/>
        <w:gridCol w:w="89"/>
        <w:gridCol w:w="89"/>
        <w:gridCol w:w="208"/>
        <w:gridCol w:w="567"/>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120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7"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Legal fees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4,136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Commissions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1,814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Credit card obligation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101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pPr>
            <w:r>
              <w:rPr/>
              <w:t>6,511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double" w:sz="10"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4340"/>
        <w:gridCol w:w="60"/>
        <w:gridCol w:w="241"/>
        <w:gridCol w:w="655"/>
        <w:gridCol w:w="103"/>
        <w:gridCol w:w="103"/>
        <w:gridCol w:w="241"/>
        <w:gridCol w:w="655"/>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421</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56"/>
        <w:gridCol w:w="838"/>
        <w:gridCol w:w="415"/>
        <w:gridCol w:w="115"/>
        <w:gridCol w:w="155"/>
        <w:gridCol w:w="839"/>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3.17 years</w:t>
            </w:r>
          </w:p>
        </w:tc>
        <w:tc>
          <w:tcPr>
            <w:tcW w:w="4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4.17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6.5</w:t>
            </w:r>
          </w:p>
        </w:tc>
        <w:tc>
          <w:tcPr>
            <w:tcW w:w="415"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142</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565"/>
        <w:gridCol w:w="60"/>
        <w:gridCol w:w="121"/>
        <w:gridCol w:w="1383"/>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Incentive units outstanding, January 1, 2023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51,087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1,045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both"/>
              <w:rPr/>
            </w:pPr>
            <w:r>
              <w:rPr/>
              <w:t>Incentive units outstanding, December 31, 2023</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pPr>
            <w:r>
              <w:rPr/>
              <w:t>44,132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Granted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Incentive units outstanding, December 31, 2024</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10" w:space="0" w:color="000000"/>
            </w:tcBorders>
            <w:shd w:fill="FFFFFF" w:val="clear"/>
            <w:tcMar>
              <w:bottom w:w="28" w:type="dxa"/>
            </w:tcMar>
            <w:vAlign w:val="center"/>
          </w:tcPr>
          <w:p>
            <w:pPr>
              <w:pStyle w:val="TableContents"/>
              <w:bidi w:val="0"/>
              <w:spacing w:before="0" w:after="283"/>
              <w:jc w:val="right"/>
              <w:rPr/>
            </w:pPr>
            <w:r>
              <w:rPr/>
              <w:t>46,574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January 1, 2023</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2023</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3290"/>
        <w:gridCol w:w="60"/>
        <w:gridCol w:w="140"/>
        <w:gridCol w:w="635"/>
        <w:gridCol w:w="110"/>
      </w:tblGrid>
      <w:tr>
        <w:trPr/>
        <w:tc>
          <w:tcPr>
            <w:tcW w:w="3290" w:type="dxa"/>
            <w:tcBorders/>
            <w:shd w:fill="CCEEFF" w:val="clear"/>
            <w:vAlign w:val="center"/>
          </w:tcPr>
          <w:p>
            <w:pPr>
              <w:pStyle w:val="TableContents"/>
              <w:bidi w:val="0"/>
              <w:spacing w:before="0" w:after="283"/>
              <w:jc w:val="both"/>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8480"/>
        <w:gridCol w:w="60"/>
        <w:gridCol w:w="515"/>
      </w:tblGrid>
      <w:tr>
        <w:trPr/>
        <w:tc>
          <w:tcPr>
            <w:tcW w:w="848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4610"/>
        <w:gridCol w:w="60"/>
        <w:gridCol w:w="194"/>
        <w:gridCol w:w="1055"/>
        <w:gridCol w:w="95"/>
        <w:gridCol w:w="60"/>
        <w:gridCol w:w="241"/>
        <w:gridCol w:w="1173"/>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2,018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2,991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Line of credit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2,250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17,231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Member’s deficit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200"/>
        <w:gridCol w:w="60"/>
        <w:gridCol w:w="213"/>
        <w:gridCol w:w="1036"/>
        <w:gridCol w:w="144"/>
        <w:gridCol w:w="91"/>
        <w:gridCol w:w="213"/>
        <w:gridCol w:w="1036"/>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40,012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11,930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33,339</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10,765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771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17,279</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(168</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815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3725"/>
        <w:gridCol w:w="60"/>
        <w:gridCol w:w="140"/>
        <w:gridCol w:w="755"/>
        <w:gridCol w:w="110"/>
      </w:tblGrid>
      <w:tr>
        <w:trPr/>
        <w:tc>
          <w:tcPr>
            <w:tcW w:w="3725" w:type="dxa"/>
            <w:tcBorders/>
            <w:shd w:fill="CCEEFF" w:val="clear"/>
            <w:vAlign w:val="center"/>
          </w:tcPr>
          <w:p>
            <w:pPr>
              <w:pStyle w:val="TableContents"/>
              <w:bidi w:val="0"/>
              <w:spacing w:before="0" w:after="283"/>
              <w:jc w:val="left"/>
              <w:rPr/>
            </w:pPr>
            <w:r>
              <w:rPr/>
              <w:t>Member’s deficit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3725"/>
        <w:gridCol w:w="60"/>
        <w:gridCol w:w="140"/>
        <w:gridCol w:w="635"/>
        <w:gridCol w:w="110"/>
      </w:tblGrid>
      <w:tr>
        <w:trPr/>
        <w:tc>
          <w:tcPr>
            <w:tcW w:w="3725" w:type="dxa"/>
            <w:tcBorders/>
            <w:shd w:fill="CCEEFF" w:val="clear"/>
            <w:vAlign w:val="center"/>
          </w:tcPr>
          <w:p>
            <w:pPr>
              <w:pStyle w:val="TableContents"/>
              <w:bidi w:val="0"/>
              <w:spacing w:before="0" w:after="283"/>
              <w:jc w:val="left"/>
              <w:rPr/>
            </w:pPr>
            <w:r>
              <w:rPr/>
              <w:t>Member’s deficit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731" w:type="dxa"/>
        <w:jc w:val="left"/>
        <w:tblInd w:w="0" w:type="dxa"/>
        <w:tblLayout w:type="fixed"/>
        <w:tblCellMar>
          <w:top w:w="0" w:type="dxa"/>
          <w:left w:w="0" w:type="dxa"/>
          <w:bottom w:w="0" w:type="dxa"/>
          <w:right w:w="0" w:type="dxa"/>
        </w:tblCellMar>
      </w:tblPr>
      <w:tblGrid>
        <w:gridCol w:w="6830"/>
        <w:gridCol w:w="60"/>
        <w:gridCol w:w="218"/>
        <w:gridCol w:w="992"/>
        <w:gridCol w:w="148"/>
        <w:gridCol w:w="93"/>
        <w:gridCol w:w="218"/>
        <w:gridCol w:w="1062"/>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(5,681</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(4,620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433</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(2,757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Due from related entity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559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3,678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(8,214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(592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5,370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1,796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(2,800</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10,957</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Borrowing on line of credit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1,000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(764</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1,994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762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1,524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3,542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130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620"/>
        <w:gridCol w:w="60"/>
        <w:gridCol w:w="175"/>
        <w:gridCol w:w="700"/>
        <w:gridCol w:w="95"/>
        <w:gridCol w:w="60"/>
        <w:gridCol w:w="283"/>
        <w:gridCol w:w="113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1,199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5,315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9"/>
        <w:gridCol w:w="60"/>
        <w:gridCol w:w="421"/>
        <w:gridCol w:w="1145"/>
        <w:gridCol w:w="77"/>
        <w:gridCol w:w="77"/>
        <w:gridCol w:w="516"/>
        <w:gridCol w:w="961"/>
        <w:gridCol w:w="122"/>
        <w:gridCol w:w="77"/>
        <w:gridCol w:w="451"/>
        <w:gridCol w:w="1227"/>
        <w:gridCol w:w="122"/>
        <w:gridCol w:w="77"/>
        <w:gridCol w:w="516"/>
        <w:gridCol w:w="1405"/>
        <w:gridCol w:w="77"/>
        <w:gridCol w:w="77"/>
        <w:gridCol w:w="180"/>
        <w:gridCol w:w="723"/>
        <w:gridCol w:w="85"/>
      </w:tblGrid>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5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85" w:type="dxa"/>
            <w:tcBorders/>
            <w:vAlign w:val="center"/>
          </w:tcPr>
          <w:p>
            <w:pPr>
              <w:pStyle w:val="TableContents"/>
              <w:bidi w:val="0"/>
              <w:spacing w:before="0" w:after="283"/>
              <w:jc w:val="left"/>
              <w:rPr/>
            </w:pPr>
            <w:r>
              <w:rPr/>
              <w:t> </w:t>
            </w:r>
          </w:p>
        </w:tc>
      </w:tr>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131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1405" w:type="dxa"/>
            <w:tcBorders/>
            <w:shd w:fill="CCEEFF" w:val="clear"/>
            <w:vAlign w:val="center"/>
          </w:tcPr>
          <w:p>
            <w:pPr>
              <w:pStyle w:val="TableContents"/>
              <w:bidi w:val="0"/>
              <w:spacing w:before="0" w:after="283"/>
              <w:jc w:val="right"/>
              <w:rPr/>
            </w:pPr>
            <w:r>
              <w:rPr/>
              <w:t>170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588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248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191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433</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5"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9"/>
        <w:gridCol w:w="60"/>
        <w:gridCol w:w="427"/>
        <w:gridCol w:w="1161"/>
        <w:gridCol w:w="132"/>
        <w:gridCol w:w="83"/>
        <w:gridCol w:w="520"/>
        <w:gridCol w:w="967"/>
        <w:gridCol w:w="132"/>
        <w:gridCol w:w="83"/>
        <w:gridCol w:w="457"/>
        <w:gridCol w:w="1243"/>
        <w:gridCol w:w="83"/>
        <w:gridCol w:w="83"/>
        <w:gridCol w:w="680"/>
        <w:gridCol w:w="1265"/>
        <w:gridCol w:w="83"/>
        <w:gridCol w:w="83"/>
        <w:gridCol w:w="212"/>
        <w:gridCol w:w="528"/>
        <w:gridCol w:w="84"/>
      </w:tblGrid>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84" w:type="dxa"/>
            <w:tcBorders/>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54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137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251</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3935"/>
        <w:gridCol w:w="60"/>
        <w:gridCol w:w="175"/>
        <w:gridCol w:w="700"/>
        <w:gridCol w:w="60"/>
        <w:gridCol w:w="60"/>
        <w:gridCol w:w="241"/>
        <w:gridCol w:w="1174"/>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12,840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4625"/>
        <w:gridCol w:w="60"/>
        <w:gridCol w:w="205"/>
        <w:gridCol w:w="669"/>
        <w:gridCol w:w="95"/>
        <w:gridCol w:w="60"/>
        <w:gridCol w:w="332"/>
        <w:gridCol w:w="1082"/>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4805"/>
        <w:gridCol w:w="60"/>
        <w:gridCol w:w="149"/>
        <w:gridCol w:w="725"/>
        <w:gridCol w:w="60"/>
        <w:gridCol w:w="60"/>
        <w:gridCol w:w="283"/>
        <w:gridCol w:w="1132"/>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Commissions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1,814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Legal fees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4,136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Credit card obligation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4340"/>
        <w:gridCol w:w="60"/>
        <w:gridCol w:w="235"/>
        <w:gridCol w:w="639"/>
        <w:gridCol w:w="60"/>
        <w:gridCol w:w="60"/>
        <w:gridCol w:w="380"/>
        <w:gridCol w:w="1034"/>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119</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755"/>
        <w:gridCol w:w="60"/>
        <w:gridCol w:w="60"/>
        <w:gridCol w:w="845"/>
        <w:gridCol w:w="215"/>
        <w:gridCol w:w="60"/>
        <w:gridCol w:w="169"/>
        <w:gridCol w:w="1245"/>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Years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Forfeitures</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Compensation award outstanding, June 30, 2025</w:t>
            </w:r>
          </w:p>
        </w:tc>
        <w:tc>
          <w:tcPr>
            <w:tcW w:w="60" w:type="dxa"/>
            <w:tcBorders/>
            <w:shd w:fill="FFFFFF" w:val="cle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Exercise professional judgment and maintain professional skepticism throughout the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F-149</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6380"/>
        <w:gridCol w:w="60"/>
        <w:gridCol w:w="214"/>
        <w:gridCol w:w="169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3770"/>
        <w:gridCol w:w="60"/>
        <w:gridCol w:w="215"/>
        <w:gridCol w:w="1694"/>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94" w:type="dxa"/>
            <w:tcBorders/>
            <w:shd w:fill="CCEEFF" w:val="clear"/>
            <w:vAlign w:val="center"/>
          </w:tcPr>
          <w:p>
            <w:pPr>
              <w:pStyle w:val="TableContents"/>
              <w:bidi w:val="0"/>
              <w:spacing w:before="0" w:after="283"/>
              <w:jc w:val="right"/>
              <w:rPr/>
            </w:pPr>
            <w:r>
              <w:rPr/>
              <w:t>54,273,721</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31,932,462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11,156,319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Commissions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14,399,701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1,198,814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(4,815,240</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(1,233,685</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(1,437,811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Member’s deficit, beginning of the year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694" w:type="dxa"/>
            <w:tcBorders/>
            <w:shd w:fill="FFFFFF" w:val="clear"/>
            <w:vAlign w:val="center"/>
          </w:tcPr>
          <w:p>
            <w:pPr>
              <w:pStyle w:val="TableContents"/>
              <w:bidi w:val="0"/>
              <w:spacing w:before="0" w:after="283"/>
              <w:jc w:val="right"/>
              <w:rPr/>
            </w:pPr>
            <w:r>
              <w:rPr/>
              <w:t>(5,112,377</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contribution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4,333,164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(6,253,051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deficit, end of the year</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09" w:type="dxa"/>
        <w:jc w:val="left"/>
        <w:tblInd w:w="0" w:type="dxa"/>
        <w:tblLayout w:type="fixed"/>
        <w:tblCellMar>
          <w:top w:w="0" w:type="dxa"/>
          <w:left w:w="0" w:type="dxa"/>
          <w:bottom w:w="0" w:type="dxa"/>
          <w:right w:w="0" w:type="dxa"/>
        </w:tblCellMar>
      </w:tblPr>
      <w:tblGrid>
        <w:gridCol w:w="8030"/>
        <w:gridCol w:w="60"/>
        <w:gridCol w:w="223"/>
        <w:gridCol w:w="1686"/>
        <w:gridCol w:w="110"/>
      </w:tblGrid>
      <w:tr>
        <w:trPr/>
        <w:tc>
          <w:tcPr>
            <w:tcW w:w="80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759,705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(854,494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(685,328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(70,215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143,272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74,447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(701,857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(323,190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(14,304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696,549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2,009,806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180,114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89,561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(1,076,155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(6,321,566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(335,303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Proceeds from related-party notes payable and revolving lines of credit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8,925,000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Payments on related-party notes payable and revolving lines of credit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(3,305,747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(530,918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6,971,499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314,630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728,639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at end of year</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235,503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61,313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Finance lease right-of-use assets obtained in exchange for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1,477,040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2,450,000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19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47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64</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C</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55"/>
        <w:gridCol w:w="4775"/>
      </w:tblGrid>
      <w:tr>
        <w:trPr/>
        <w:tc>
          <w:tcPr>
            <w:tcW w:w="155" w:type="dxa"/>
            <w:tcBorders/>
            <w:vAlign w:val="center"/>
          </w:tcPr>
          <w:p>
            <w:pPr>
              <w:pStyle w:val="TableContents"/>
              <w:bidi w:val="0"/>
              <w:spacing w:before="0" w:after="283"/>
              <w:jc w:val="left"/>
              <w:rPr>
                <w:i/>
              </w:rPr>
            </w:pPr>
            <w:r>
              <w:rPr>
                <w:i/>
              </w:rPr>
              <w:t>*</w:t>
            </w:r>
          </w:p>
        </w:tc>
        <w:tc>
          <w:tcPr>
            <w:tcW w:w="477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55"/>
        <w:gridCol w:w="6770"/>
      </w:tblGrid>
      <w:tr>
        <w:trPr/>
        <w:tc>
          <w:tcPr>
            <w:tcW w:w="15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995"/>
        <w:gridCol w:w="60"/>
        <w:gridCol w:w="93"/>
        <w:gridCol w:w="407"/>
        <w:gridCol w:w="23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05"/>
        <w:gridCol w:w="60"/>
        <w:gridCol w:w="905"/>
      </w:tblGrid>
      <w:tr>
        <w:trPr/>
        <w:tc>
          <w:tcPr>
            <w:tcW w:w="240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 years</w:t>
            </w:r>
          </w:p>
        </w:tc>
      </w:tr>
      <w:tr>
        <w:trPr/>
        <w:tc>
          <w:tcPr>
            <w:tcW w:w="240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5 years</w:t>
            </w:r>
          </w:p>
        </w:tc>
      </w:tr>
      <w:tr>
        <w:trPr/>
        <w:tc>
          <w:tcPr>
            <w:tcW w:w="2405" w:type="dxa"/>
            <w:tcBorders/>
            <w:shd w:fill="FFFFFF" w:val="clear"/>
            <w:vAlign w:val="center"/>
          </w:tcPr>
          <w:p>
            <w:pPr>
              <w:pStyle w:val="TableContents"/>
              <w:bidi w:val="0"/>
              <w:spacing w:before="0" w:after="283"/>
              <w:jc w:val="left"/>
              <w:rPr/>
            </w:pPr>
            <w:r>
              <w:rPr/>
              <w:t>Vehicles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457"/>
        <w:gridCol w:w="9647"/>
      </w:tblGrid>
      <w:tr>
        <w:trPr/>
        <w:tc>
          <w:tcPr>
            <w:tcW w:w="1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69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54,164,441</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Sales dealer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109,280</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1970"/>
        <w:gridCol w:w="60"/>
        <w:gridCol w:w="219"/>
        <w:gridCol w:w="1735"/>
        <w:gridCol w:w="60"/>
        <w:gridCol w:w="60"/>
        <w:gridCol w:w="186"/>
        <w:gridCol w:w="146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75"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35" w:type="dxa"/>
            <w:tcBorders/>
            <w:shd w:fill="CCEEFF" w:val="clear"/>
            <w:vAlign w:val="center"/>
          </w:tcPr>
          <w:p>
            <w:pPr>
              <w:pStyle w:val="TableContents"/>
              <w:bidi w:val="0"/>
              <w:spacing w:before="0" w:after="283"/>
              <w:jc w:val="right"/>
              <w:rPr/>
            </w:pPr>
            <w:r>
              <w:rPr/>
              <w:t>1,010,295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155,801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4,601,890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3,916,562</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10,585,293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11,661,448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F-156</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98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56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296,085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54,392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510,676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385,192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96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7,140,109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2,175,000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79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0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39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20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71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759,705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299,985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44,223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1,103,913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The weighted average remaining lease terms and interest rates were as follows as of December 31, 2024:</w:t>
      </w:r>
    </w:p>
    <w:p>
      <w:pPr>
        <w:pStyle w:val="TextBody"/>
        <w:bidi w:val="0"/>
        <w:spacing w:before="0" w:after="283"/>
        <w:jc w:val="left"/>
        <w:rPr/>
      </w:pPr>
      <w:r>
        <w:rPr/>
        <w:t> </w:t>
      </w:r>
    </w:p>
    <w:tbl>
      <w:tblPr>
        <w:tblW w:w="5250" w:type="dxa"/>
        <w:jc w:val="left"/>
        <w:tblInd w:w="0" w:type="dxa"/>
        <w:tblLayout w:type="fixed"/>
        <w:tblCellMar>
          <w:top w:w="0" w:type="dxa"/>
          <w:left w:w="0" w:type="dxa"/>
          <w:bottom w:w="28" w:type="dxa"/>
          <w:right w:w="0" w:type="dxa"/>
        </w:tblCellMar>
      </w:tblPr>
      <w:tblGrid>
        <w:gridCol w:w="4460"/>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2.26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4.36</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4.07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Finance leaess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3515"/>
        <w:gridCol w:w="60"/>
        <w:gridCol w:w="157"/>
        <w:gridCol w:w="898"/>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8" w:type="dxa"/>
            <w:tcBorders/>
            <w:shd w:fill="CCEEFF" w:val="clear"/>
            <w:tcMar>
              <w:bottom w:w="0" w:type="dxa"/>
            </w:tcMar>
            <w:vAlign w:val="center"/>
          </w:tcPr>
          <w:p>
            <w:pPr>
              <w:pStyle w:val="TableContents"/>
              <w:bidi w:val="0"/>
              <w:spacing w:before="0" w:after="283"/>
              <w:jc w:val="right"/>
              <w:rPr/>
            </w:pPr>
            <w:r>
              <w:rPr/>
              <w:t>424,140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215,620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374,183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93,048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70,521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353,318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231,674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803,329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1,709,079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(34,527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(164,992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pPr>
            <w:r>
              <w:rPr/>
              <w:t>$</w:t>
            </w:r>
          </w:p>
        </w:tc>
        <w:tc>
          <w:tcPr>
            <w:tcW w:w="898" w:type="dxa"/>
            <w:tcBorders>
              <w:bottom w:val="double" w:sz="10" w:space="0" w:color="000000"/>
            </w:tcBorders>
            <w:shd w:fill="FFFFFF" w:val="clear"/>
            <w:vAlign w:val="center"/>
          </w:tcPr>
          <w:p>
            <w:pPr>
              <w:pStyle w:val="TableContents"/>
              <w:bidi w:val="0"/>
              <w:spacing w:before="0" w:after="283"/>
              <w:jc w:val="right"/>
              <w:rPr/>
            </w:pPr>
            <w:r>
              <w:rPr/>
              <w:t>768,802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1,544,087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32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537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28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September 30, 2025 and December 31, 2024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5"/>
        <w:gridCol w:w="60"/>
        <w:gridCol w:w="142"/>
        <w:gridCol w:w="1086"/>
        <w:gridCol w:w="80"/>
        <w:gridCol w:w="60"/>
        <w:gridCol w:w="137"/>
        <w:gridCol w:w="1047"/>
        <w:gridCol w:w="98"/>
      </w:tblGrid>
      <w:tr>
        <w:trPr/>
        <w:tc>
          <w:tcPr>
            <w:tcW w:w="74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 xml:space="preserve">As of </w:t>
              <w:br/>
              <w:t xml:space="preserve">September 30, </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As of</w:t>
              <w:br/>
              <w:t xml:space="preserve">December 31, </w:t>
            </w:r>
          </w:p>
        </w:tc>
        <w:tc>
          <w:tcPr>
            <w:tcW w:w="98"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2024</w:t>
            </w:r>
          </w:p>
        </w:tc>
        <w:tc>
          <w:tcPr>
            <w:tcW w:w="98"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 of allowance for credit losses of $225,000 and $123,000,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1,293,174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1,010,295</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5,715,605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4,601,890</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366,027</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 net of allowance of $760,413</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1,580,974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423,719</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commissions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1,145,672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3,511,328</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3,943,059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6,137,615</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531,238</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17,625,381</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385,192</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2,856,409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740,654</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1,602,376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1,971,170</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116,819</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20,265,603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20,839,216</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2,168,566</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3,431,906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2,799,860</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180,114</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net of debt discount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509,649</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7,701,532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10,585,293</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401,456</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315,541</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15,548,157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16,960,479</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2,145,929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367,346</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1,228,546</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lines of credit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2,175,000</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notes payable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7,140,109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7,140,109</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28,495,044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27,871,480</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20,265,603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20,839,216</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660"/>
        <w:gridCol w:w="60"/>
        <w:gridCol w:w="125"/>
        <w:gridCol w:w="950"/>
        <w:gridCol w:w="80"/>
        <w:gridCol w:w="60"/>
        <w:gridCol w:w="125"/>
        <w:gridCol w:w="1010"/>
        <w:gridCol w:w="9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F-164</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40"/>
        <w:gridCol w:w="4100"/>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40"/>
        <w:gridCol w:w="59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815"/>
        <w:gridCol w:w="60"/>
        <w:gridCol w:w="91"/>
        <w:gridCol w:w="349"/>
        <w:gridCol w:w="185"/>
        <w:gridCol w:w="60"/>
        <w:gridCol w:w="91"/>
        <w:gridCol w:w="349"/>
        <w:gridCol w:w="20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075"/>
        <w:gridCol w:w="60"/>
        <w:gridCol w:w="60"/>
        <w:gridCol w:w="755"/>
        <w:gridCol w:w="75"/>
      </w:tblGrid>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2690"/>
        <w:gridCol w:w="60"/>
        <w:gridCol w:w="140"/>
        <w:gridCol w:w="1100"/>
        <w:gridCol w:w="6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59,438,442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28,114,668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HVAC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990,177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Roofing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61,075,725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28,114,668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28" w:type="dxa"/>
          <w:right w:w="0" w:type="dxa"/>
        </w:tblCellMar>
      </w:tblPr>
      <w:tblGrid>
        <w:gridCol w:w="1970"/>
        <w:gridCol w:w="60"/>
        <w:gridCol w:w="158"/>
        <w:gridCol w:w="1106"/>
        <w:gridCol w:w="60"/>
        <w:gridCol w:w="60"/>
        <w:gridCol w:w="140"/>
        <w:gridCol w:w="1100"/>
        <w:gridCol w:w="60"/>
        <w:gridCol w:w="60"/>
        <w:gridCol w:w="166"/>
        <w:gridCol w:w="1308"/>
        <w:gridCol w:w="75"/>
      </w:tblGrid>
      <w:tr>
        <w:trPr/>
        <w:tc>
          <w:tcPr>
            <w:tcW w:w="1970" w:type="dxa"/>
            <w:tcBorders>
              <w:bottom w:val="single" w:sz="12" w:space="0" w:color="000000"/>
            </w:tcBorders>
            <w:vAlign w:val="center"/>
          </w:tcPr>
          <w:p>
            <w:pPr>
              <w:pStyle w:val="TableContents"/>
              <w:bidi w:val="0"/>
              <w:spacing w:before="0" w:after="283"/>
              <w:jc w:val="left"/>
              <w:rPr>
                <w:b/>
              </w:rPr>
            </w:pPr>
            <w:r>
              <w:rPr>
                <w:b/>
              </w:rPr>
              <w:t>As of:</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1,293,174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1,010,295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Unbilled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5,715,605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4,601,890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3,916,562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7,701,532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10,585,293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565"/>
        <w:gridCol w:w="60"/>
        <w:gridCol w:w="140"/>
        <w:gridCol w:w="875"/>
        <w:gridCol w:w="9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Tools and gear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296,085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54,392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30,946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510,676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(277,887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(125,484</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7,140,109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5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90"/>
        <w:gridCol w:w="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60"/>
        <w:gridCol w:w="60"/>
        <w:gridCol w:w="140"/>
        <w:gridCol w:w="80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611,224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632,804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342,163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173,790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47,543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27,937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1,000,930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800" w:type="dxa"/>
            <w:tcBorders>
              <w:bottom w:val="single" w:sz="12" w:space="0" w:color="000000"/>
            </w:tcBorders>
            <w:shd w:fill="CCEEFF" w:val="clear"/>
            <w:vAlign w:val="center"/>
          </w:tcPr>
          <w:p>
            <w:pPr>
              <w:pStyle w:val="TableContents"/>
              <w:bidi w:val="0"/>
              <w:spacing w:before="0" w:after="283"/>
              <w:jc w:val="right"/>
              <w:rPr/>
            </w:pPr>
            <w:r>
              <w:rPr/>
              <w:t>834,531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4460"/>
        <w:gridCol w:w="60"/>
        <w:gridCol w:w="60"/>
        <w:gridCol w:w="440"/>
        <w:gridCol w:w="215"/>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4.23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2.34</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3.69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4.51</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4.25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Finance leaess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4.13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080" w:type="dxa"/>
        <w:jc w:val="left"/>
        <w:tblInd w:w="0" w:type="dxa"/>
        <w:tblLayout w:type="fixed"/>
        <w:tblCellMar>
          <w:top w:w="0" w:type="dxa"/>
          <w:left w:w="0" w:type="dxa"/>
          <w:bottom w:w="28" w:type="dxa"/>
          <w:right w:w="0" w:type="dxa"/>
        </w:tblCellMar>
      </w:tblPr>
      <w:tblGrid>
        <w:gridCol w:w="3515"/>
        <w:gridCol w:w="60"/>
        <w:gridCol w:w="140"/>
        <w:gridCol w:w="980"/>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187,097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114,134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570,490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364,512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689,483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759,660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399,923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741,734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232,443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312,086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3,260,550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1,485,195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(492,202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(190,552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2,768,348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1,294,643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90"/>
        <w:gridCol w:w="446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89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53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I_002"/>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3995" w:type="dxa"/>
        <w:jc w:val="left"/>
        <w:tblInd w:w="0" w:type="dxa"/>
        <w:tblLayout w:type="fixed"/>
        <w:tblCellMar>
          <w:top w:w="0" w:type="dxa"/>
          <w:left w:w="0" w:type="dxa"/>
          <w:bottom w:w="0" w:type="dxa"/>
          <w:right w:w="0" w:type="dxa"/>
        </w:tblCellMar>
      </w:tblPr>
      <w:tblGrid>
        <w:gridCol w:w="1355"/>
        <w:gridCol w:w="60"/>
        <w:gridCol w:w="140"/>
        <w:gridCol w:w="1100"/>
        <w:gridCol w:w="95"/>
        <w:gridCol w:w="60"/>
        <w:gridCol w:w="164"/>
        <w:gridCol w:w="801"/>
        <w:gridCol w:w="95"/>
        <w:gridCol w:w="60"/>
        <w:gridCol w:w="140"/>
        <w:gridCol w:w="980"/>
        <w:gridCol w:w="320"/>
        <w:gridCol w:w="60"/>
        <w:gridCol w:w="140"/>
        <w:gridCol w:w="980"/>
        <w:gridCol w:w="95"/>
        <w:gridCol w:w="60"/>
        <w:gridCol w:w="164"/>
        <w:gridCol w:w="801"/>
        <w:gridCol w:w="95"/>
        <w:gridCol w:w="60"/>
        <w:gridCol w:w="244"/>
        <w:gridCol w:w="1111"/>
        <w:gridCol w:w="350"/>
        <w:gridCol w:w="60"/>
        <w:gridCol w:w="140"/>
        <w:gridCol w:w="1100"/>
        <w:gridCol w:w="275"/>
        <w:gridCol w:w="60"/>
        <w:gridCol w:w="140"/>
        <w:gridCol w:w="1100"/>
        <w:gridCol w:w="95"/>
        <w:gridCol w:w="60"/>
        <w:gridCol w:w="140"/>
        <w:gridCol w:w="1220"/>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SunPower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Sunder Energy LLC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Ambia Energy LLC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Combined</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br/>
              <w:t>Results of</w:t>
              <w:br/>
              <w:t>Operations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br/>
              <w:t>Results of</w:t>
              <w:br/>
              <w:t>Operations</w:t>
              <w:br/>
              <w:t>(Note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br/>
              <w:t>Adjustments</w:t>
              <w:br/>
              <w:t>(Note 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br/>
              <w:t>Results of</w:t>
              <w:br/>
              <w:t>Operations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br/>
              <w:t>Results of</w:t>
              <w:br/>
              <w:t>Operations</w:t>
              <w:br/>
              <w:t>(Note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Reclassification</w:t>
              <w:br/>
              <w:t>Adjustments</w:t>
              <w:br/>
              <w:t>(Note 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br/>
              <w:t>Adjustments</w:t>
              <w:br/>
              <w:t>(Note 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br/>
              <w:t>Results of</w:t>
              <w:br/>
              <w:t>Operations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 Results of</w:t>
              <w:br/>
              <w:t>Operations</w:t>
            </w:r>
          </w:p>
        </w:tc>
        <w:tc>
          <w:tcPr>
            <w:tcW w:w="75"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56,084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56,084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73,604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73,604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429,688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300</w:t>
            </w:r>
          </w:p>
        </w:tc>
        <w:tc>
          <w:tcPr>
            <w:tcW w:w="320" w:type="dxa"/>
            <w:tcBorders/>
            <w:shd w:fill="FFFFFF" w:val="clear"/>
            <w:vAlign w:val="center"/>
          </w:tcPr>
          <w:p>
            <w:pPr>
              <w:pStyle w:val="TableContents"/>
              <w:bidi w:val="0"/>
              <w:spacing w:before="0" w:after="283"/>
              <w:jc w:val="left"/>
              <w:rPr/>
            </w:pPr>
            <w:r>
              <w:rPr/>
              <w:t>(C)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38,881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209,969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56,084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219,719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45,615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101,437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30,409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15,916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2,753</w:t>
            </w:r>
          </w:p>
        </w:tc>
        <w:tc>
          <w:tcPr>
            <w:tcW w:w="320" w:type="dxa"/>
            <w:tcBorders/>
            <w:shd w:fill="CCEEFF" w:val="clear"/>
            <w:vAlign w:val="center"/>
          </w:tcPr>
          <w:p>
            <w:pPr>
              <w:pStyle w:val="TableContents"/>
              <w:bidi w:val="0"/>
              <w:spacing w:before="0" w:after="283"/>
              <w:jc w:val="left"/>
              <w:rPr/>
            </w:pPr>
            <w:r>
              <w:rPr/>
              <w:t>(C)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13,979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1,975</w:t>
            </w:r>
          </w:p>
        </w:tc>
        <w:tc>
          <w:tcPr>
            <w:tcW w:w="350" w:type="dxa"/>
            <w:tcBorders/>
            <w:shd w:fill="CCEEFF" w:val="clear"/>
            <w:vAlign w:val="center"/>
          </w:tcPr>
          <w:p>
            <w:pPr>
              <w:pStyle w:val="TableContents"/>
              <w:bidi w:val="0"/>
              <w:spacing w:before="0" w:after="283"/>
              <w:jc w:val="left"/>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1,792</w:t>
            </w:r>
          </w:p>
        </w:tc>
        <w:tc>
          <w:tcPr>
            <w:tcW w:w="275" w:type="dxa"/>
            <w:tcBorders/>
            <w:shd w:fill="CCEEFF" w:val="clear"/>
            <w:vAlign w:val="center"/>
          </w:tcPr>
          <w:p>
            <w:pPr>
              <w:pStyle w:val="TableContents"/>
              <w:bidi w:val="0"/>
              <w:spacing w:before="0" w:after="283"/>
              <w:jc w:val="left"/>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126,519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(1,338</w:t>
            </w:r>
          </w:p>
        </w:tc>
        <w:tc>
          <w:tcPr>
            <w:tcW w:w="350" w:type="dxa"/>
            <w:tcBorders/>
            <w:shd w:fill="FFFFFF" w:val="clear"/>
            <w:vAlign w:val="center"/>
          </w:tcPr>
          <w:p>
            <w:pPr>
              <w:pStyle w:val="TableContents"/>
              <w:bidi w:val="0"/>
              <w:spacing w:before="0" w:after="283"/>
              <w:jc w:val="left"/>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350" w:type="dxa"/>
            <w:tcBorders/>
            <w:shd w:fill="CCEEFF" w:val="clear"/>
            <w:vAlign w:val="center"/>
          </w:tcPr>
          <w:p>
            <w:pPr>
              <w:pStyle w:val="TableContents"/>
              <w:bidi w:val="0"/>
              <w:spacing w:before="0" w:after="283"/>
              <w:jc w:val="left"/>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62,782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2,753</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65,535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34,895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(1,792</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36,687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258,365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(3,053</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(38,646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(2,658</w:t>
            </w:r>
          </w:p>
        </w:tc>
        <w:tc>
          <w:tcPr>
            <w:tcW w:w="320" w:type="dxa"/>
            <w:tcBorders/>
            <w:shd w:fill="FFFFFF" w:val="clear"/>
            <w:vAlign w:val="center"/>
          </w:tcPr>
          <w:p>
            <w:pPr>
              <w:pStyle w:val="TableContents"/>
              <w:bidi w:val="0"/>
              <w:spacing w:before="0" w:after="283"/>
              <w:jc w:val="left"/>
              <w:rPr/>
            </w:pPr>
            <w:r>
              <w:rPr/>
              <w: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1,286</w:t>
            </w:r>
          </w:p>
        </w:tc>
        <w:tc>
          <w:tcPr>
            <w:tcW w:w="275"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(27,999</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9,684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(2,658</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shd w:fill="FFFFFF" w:val="clear"/>
            <w:vAlign w:val="center"/>
          </w:tcPr>
          <w:p>
            <w:pPr>
              <w:pStyle w:val="TableContents"/>
              <w:bidi w:val="0"/>
              <w:spacing w:before="0" w:after="283"/>
              <w:jc w:val="left"/>
              <w:rPr/>
            </w:pPr>
            <w:r>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(42,676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(6,588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(5,711</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(1,441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(506</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(56,922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(1,578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(44,254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pPr>
            <w:r>
              <w:rPr/>
              <w:t>(6,588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(5,711</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pPr>
            <w:r>
              <w:rPr/>
              <w:t>(1,441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(506</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(58,500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Net loss from continuing operations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(0.56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pPr>
            <w:r>
              <w:rPr/>
              <w:t>Weighted average shares used to compute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87,108,928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2,472,528</w:t>
            </w:r>
          </w:p>
        </w:tc>
        <w:tc>
          <w:tcPr>
            <w:tcW w:w="320"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2,472,528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15,150,086</w:t>
            </w:r>
          </w:p>
        </w:tc>
        <w:tc>
          <w:tcPr>
            <w:tcW w:w="275" w:type="dxa"/>
            <w:tcBorders/>
            <w:shd w:fill="CCEEFF" w:val="clear"/>
            <w:vAlign w:val="center"/>
          </w:tcPr>
          <w:p>
            <w:pPr>
              <w:pStyle w:val="TableContents"/>
              <w:bidi w:val="0"/>
              <w:spacing w:before="0" w:after="283"/>
              <w:jc w:val="left"/>
              <w:rPr/>
            </w:pPr>
            <w:r>
              <w:rPr/>
              <w:t>(I)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15,150,086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104,731,542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I_003"/>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0"/>
        <w:gridCol w:w="60"/>
        <w:gridCol w:w="140"/>
        <w:gridCol w:w="680"/>
        <w:gridCol w:w="75"/>
      </w:tblGrid>
      <w:tr>
        <w:trPr/>
        <w:tc>
          <w:tcPr>
            <w:tcW w:w="9250" w:type="dxa"/>
            <w:tcBorders/>
            <w:vAlign w:val="center"/>
          </w:tcPr>
          <w:p>
            <w:pPr>
              <w:pStyle w:val="TableContents"/>
              <w:bidi w:val="0"/>
              <w:spacing w:before="0" w:after="283"/>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2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20,689</w:t>
            </w:r>
          </w:p>
        </w:tc>
        <w:tc>
          <w:tcPr>
            <w:tcW w:w="75" w:type="dxa"/>
            <w:tcBorders/>
            <w:shd w:fill="CCEEFF" w:val="clear"/>
            <w:vAlign w:val="center"/>
          </w:tcPr>
          <w:p>
            <w:pPr>
              <w:pStyle w:val="TableContents"/>
              <w:bidi w:val="0"/>
              <w:spacing w:before="0" w:after="283"/>
              <w:jc w:val="left"/>
              <w:rPr/>
            </w:pPr>
            <w:r>
              <w:rPr/>
              <w:t> </w:t>
            </w:r>
          </w:p>
        </w:tc>
      </w:tr>
      <w:tr>
        <w:trPr/>
        <w:tc>
          <w:tcPr>
            <w:tcW w:w="9250" w:type="dxa"/>
            <w:tcBorders/>
            <w:shd w:fill="FFFFFF" w:val="clear"/>
            <w:vAlign w:val="center"/>
          </w:tcPr>
          <w:p>
            <w:pPr>
              <w:pStyle w:val="TableContents"/>
              <w:bidi w:val="0"/>
              <w:spacing w:before="0" w:after="283"/>
              <w:jc w:val="left"/>
              <w:rPr/>
            </w:pPr>
            <w:r>
              <w:rPr/>
              <w:t>Seller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9250" w:type="dxa"/>
            <w:tcBorders/>
            <w:shd w:fill="CCEEFF" w:val="clear"/>
            <w:vAlign w:val="center"/>
          </w:tcPr>
          <w:p>
            <w:pPr>
              <w:pStyle w:val="TableContents"/>
              <w:bidi w:val="0"/>
              <w:spacing w:before="0" w:after="283"/>
              <w:jc w:val="left"/>
              <w:rPr/>
            </w:pPr>
            <w:r>
              <w:rPr/>
              <w:t>3,333,334 shares of the Company’s common stock issued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Contingent consideration arrangement – up to 6,666,666 shares of the Company’s common stock to be issued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11,400</w:t>
            </w:r>
          </w:p>
        </w:tc>
        <w:tc>
          <w:tcPr>
            <w:tcW w:w="75" w:type="dxa"/>
            <w:tcBorders/>
            <w:shd w:fill="FFFFFF" w:val="clear"/>
            <w:vAlign w:val="center"/>
          </w:tcPr>
          <w:p>
            <w:pPr>
              <w:pStyle w:val="TableContents"/>
              <w:bidi w:val="0"/>
              <w:spacing w:before="0" w:after="283"/>
              <w:jc w:val="left"/>
              <w:rPr/>
            </w:pPr>
            <w:r>
              <w:rPr/>
              <w:t> </w:t>
            </w:r>
          </w:p>
        </w:tc>
      </w:tr>
      <w:tr>
        <w:trPr/>
        <w:tc>
          <w:tcPr>
            <w:tcW w:w="9250" w:type="dxa"/>
            <w:tcBorders/>
            <w:shd w:fill="CCEEFF" w:val="clear"/>
            <w:vAlign w:val="center"/>
          </w:tcPr>
          <w:p>
            <w:pPr>
              <w:pStyle w:val="TableContents"/>
              <w:bidi w:val="0"/>
              <w:spacing w:before="0" w:after="283"/>
              <w:jc w:val="left"/>
              <w:rPr/>
            </w:pPr>
            <w:r>
              <w:rPr/>
              <w:t>Fair value of total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4325"/>
        <w:gridCol w:w="60"/>
        <w:gridCol w:w="140"/>
        <w:gridCol w:w="755"/>
        <w:gridCol w:w="110"/>
      </w:tblGrid>
      <w:tr>
        <w:trPr/>
        <w:tc>
          <w:tcPr>
            <w:tcW w:w="4325"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Fair value of net tangible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31,822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7325"/>
        <w:gridCol w:w="60"/>
        <w:gridCol w:w="140"/>
        <w:gridCol w:w="680"/>
        <w:gridCol w:w="75"/>
      </w:tblGrid>
      <w:tr>
        <w:trPr/>
        <w:tc>
          <w:tcPr>
            <w:tcW w:w="7325" w:type="dxa"/>
            <w:tcBorders/>
            <w:vAlign w:val="center"/>
          </w:tcPr>
          <w:p>
            <w:pPr>
              <w:pStyle w:val="TableContents"/>
              <w:bidi w:val="0"/>
              <w:spacing w:before="0" w:after="283"/>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10,243,924 shares of the Company’s common stock issued at Ambia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16,493</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4910"/>
        <w:gridCol w:w="60"/>
        <w:gridCol w:w="140"/>
        <w:gridCol w:w="680"/>
        <w:gridCol w:w="110"/>
      </w:tblGrid>
      <w:tr>
        <w:trPr/>
        <w:tc>
          <w:tcPr>
            <w:tcW w:w="4910" w:type="dxa"/>
            <w:tcBorders/>
            <w:vAlign w:val="center"/>
          </w:tcPr>
          <w:p>
            <w:pPr>
              <w:pStyle w:val="TableContents"/>
              <w:bidi w:val="0"/>
              <w:spacing w:before="0" w:after="283"/>
              <w:jc w:val="left"/>
              <w:rPr>
                <w:b/>
              </w:rPr>
            </w:pPr>
            <w:r>
              <w:rPr>
                <w:b/>
              </w:rPr>
              <w:t>Provisional fair value of net assets acquired:</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1,350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Contract assets - unbilled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1,143</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797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2,563</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(1,675</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(2,806</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(2,917</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(2,702</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Fair value of net tangible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2,564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16,493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Fair value of Deferred Ambia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Goodwill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Consideration transferred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33,372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04" w:type="dxa"/>
        <w:jc w:val="left"/>
        <w:tblInd w:w="0" w:type="dxa"/>
        <w:tblLayout w:type="fixed"/>
        <w:tblCellMar>
          <w:top w:w="0" w:type="dxa"/>
          <w:left w:w="0" w:type="dxa"/>
          <w:bottom w:w="0" w:type="dxa"/>
          <w:right w:w="0" w:type="dxa"/>
        </w:tblCellMar>
      </w:tblPr>
      <w:tblGrid>
        <w:gridCol w:w="3200"/>
        <w:gridCol w:w="60"/>
        <w:gridCol w:w="200"/>
        <w:gridCol w:w="974"/>
        <w:gridCol w:w="95"/>
        <w:gridCol w:w="60"/>
        <w:gridCol w:w="251"/>
        <w:gridCol w:w="1224"/>
        <w:gridCol w:w="95"/>
        <w:gridCol w:w="60"/>
        <w:gridCol w:w="251"/>
        <w:gridCol w:w="1224"/>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40,012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56,084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45,615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1,251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62,782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3200"/>
        <w:gridCol w:w="60"/>
        <w:gridCol w:w="251"/>
        <w:gridCol w:w="1223"/>
        <w:gridCol w:w="95"/>
        <w:gridCol w:w="60"/>
        <w:gridCol w:w="246"/>
        <w:gridCol w:w="1199"/>
        <w:gridCol w:w="95"/>
        <w:gridCol w:w="60"/>
        <w:gridCol w:w="246"/>
        <w:gridCol w:w="1199"/>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73,604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6,259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38,881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16,003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18,813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13,979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1,338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28,381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34,895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85"/>
        <w:gridCol w:w="59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46"/>
        <w:gridCol w:w="714"/>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10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30,600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6,100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 years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985"/>
        <w:gridCol w:w="60"/>
        <w:gridCol w:w="295"/>
        <w:gridCol w:w="1180"/>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2,295</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458</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Total pro forma amortization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3,052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Classified within cost of revenues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Classified within general and administrative expense</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2,752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spacing w:before="0" w:after="283"/>
        <w:jc w:val="left"/>
        <w:rPr/>
      </w:pPr>
      <w:r>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72"/>
        <w:gridCol w:w="688"/>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 year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4,300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575"/>
        <w:gridCol w:w="60"/>
        <w:gridCol w:w="289"/>
        <w:gridCol w:w="1156"/>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20,</w:t>
              <w:br/>
              <w:t>2025</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pro forma amortization expense</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80"/>
        <w:gridCol w:w="60"/>
        <w:gridCol w:w="307"/>
        <w:gridCol w:w="1228"/>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1,019</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Seller Note</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Total pro forma interest expense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transaction adjustment to eliminate the historical interest expense, as Ambia was acquired in a debt free transaction.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166589</Words>
  <Characters>903267</Characters>
  <CharactersWithSpaces>1079270</CharactersWithSpaces>
  <Paragraphs>35116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