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474289d8k.htm"/>
      <w:bookmarkStart w:id="1" w:name="ksd474289d8k"/>
      <w:bookmarkEnd w:id="0"/>
      <w:bookmarkEnd w:id="1"/>
      <w:r>
        <w:rPr>
          <w:bdr w:val="single" w:sz="2" w:space="1" w:color="000000"/>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160" w:after="0"/>
        <w:jc w:val="center"/>
        <w:rPr>
          <w:rFonts w:ascii="Times New Roman" w:hAnsi="Times New Roman"/>
          <w:b/>
          <w:sz w:val="36"/>
          <w:shd w:fill="FFFFFF" w:val="clear"/>
        </w:rPr>
      </w:pPr>
      <w:r>
        <w:rPr>
          <w:rFonts w:ascii="Times New Roman" w:hAnsi="Times New Roman"/>
          <w:b/>
          <w:sz w:val="36"/>
          <w:shd w:fill="FFFFFF" w:val="clear"/>
        </w:rPr>
        <w:t xml:space="preserve">FORM </w:t>
      </w:r>
    </w:p>
    <w:p>
      <w:pPr>
        <w:pStyle w:val="TextBody"/>
        <w:bidi w:val="0"/>
        <w:spacing w:before="160" w:after="0"/>
        <w:jc w:val="center"/>
        <w:rPr>
          <w:rFonts w:ascii="Times New Roman" w:hAnsi="Times New Roman"/>
          <w:b/>
          <w:spacing w:val="0"/>
          <w:sz w:val="36"/>
          <w:shd w:fill="FFFFFF" w:val="clear"/>
        </w:rPr>
      </w:pPr>
      <w:r>
        <w:rPr>
          <w:rFonts w:ascii="Times New Roman" w:hAnsi="Times New Roman"/>
          <w:b/>
          <w:spacing w:val="0"/>
          <w:sz w:val="36"/>
          <w:shd w:fill="FFFFFF" w:val="clear"/>
        </w:rPr>
        <w:t>8-K</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160" w:after="0"/>
        <w:jc w:val="center"/>
        <w:rPr>
          <w:rFonts w:ascii="Times New Roman" w:hAnsi="Times New Roman"/>
          <w:b/>
          <w:sz w:val="24"/>
          <w:shd w:fill="FFFFFF" w:val="clear"/>
        </w:rPr>
      </w:pPr>
      <w:r>
        <w:rPr>
          <w:rFonts w:ascii="Times New Roman" w:hAnsi="Times New Roman"/>
          <w:b/>
          <w:sz w:val="24"/>
          <w:shd w:fill="FFFFFF" w:val="clear"/>
        </w:rPr>
        <w:t xml:space="preserve">CURRENT REPORT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Pursuant to Section 13 or 15(d)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of the Securities Exchange Act of 1934 </w:t>
      </w:r>
    </w:p>
    <w:p>
      <w:pPr>
        <w:pStyle w:val="TextBody"/>
        <w:bidi w:val="0"/>
        <w:spacing w:before="160" w:after="0"/>
        <w:jc w:val="center"/>
        <w:rPr>
          <w:rFonts w:ascii="Times New Roman" w:hAnsi="Times New Roman"/>
          <w:b/>
          <w:sz w:val="24"/>
          <w:shd w:fill="FFFFFF" w:val="clear"/>
        </w:rPr>
      </w:pPr>
      <w:r>
        <w:rPr>
          <w:rFonts w:ascii="Times New Roman" w:hAnsi="Times New Roman"/>
          <w:b/>
          <w:sz w:val="24"/>
          <w:shd w:fill="FFFFFF" w:val="clear"/>
        </w:rPr>
        <w:t xml:space="preserve">Date of Report (Date of earliest event reported): January 4, 2024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160" w:after="0"/>
        <w:jc w:val="center"/>
        <w:rPr>
          <w:rFonts w:ascii="Times New Roman" w:hAnsi="Times New Roman"/>
          <w:b/>
          <w:sz w:val="48"/>
          <w:shd w:fill="FFFFFF" w:val="clear"/>
        </w:rPr>
      </w:pPr>
      <w:r>
        <w:rPr>
          <w:rFonts w:ascii="Times New Roman" w:hAnsi="Times New Roman"/>
          <w:b/>
          <w:sz w:val="48"/>
          <w:shd w:fill="FFFFFF" w:val="clear"/>
        </w:rPr>
        <w:t xml:space="preserve">Complete Solaria,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(Exact name of registrant as specified in its charter)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5265" w:type="dxa"/>
        <w:jc w:val="left"/>
        <w:tblInd w:w="0" w:type="dxa"/>
        <w:tblLayout w:type="fixed"/>
        <w:tblCellMar>
          <w:top w:w="0" w:type="dxa"/>
          <w:left w:w="0" w:type="dxa"/>
          <w:bottom w:w="0" w:type="dxa"/>
          <w:right w:w="0" w:type="dxa"/>
        </w:tblCellMar>
      </w:tblPr>
      <w:tblGrid>
        <w:gridCol w:w="2720"/>
        <w:gridCol w:w="60"/>
        <w:gridCol w:w="1055"/>
        <w:gridCol w:w="60"/>
        <w:gridCol w:w="137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001-40117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93-2279786</w:t>
            </w:r>
          </w:p>
        </w:tc>
      </w:tr>
      <w:tr>
        <w:trPr/>
        <w:tc>
          <w:tcPr>
            <w:tcW w:w="2720" w:type="dxa"/>
            <w:tcBorders/>
            <w:vAlign w:val="center"/>
          </w:tcPr>
          <w:p>
            <w:pPr>
              <w:pStyle w:val="TableContents"/>
              <w:bidi w:val="0"/>
              <w:spacing w:before="0" w:after="0"/>
              <w:jc w:val="center"/>
              <w:rPr>
                <w:b/>
                <w:spacing w:val="0"/>
              </w:rPr>
            </w:pPr>
            <w:r>
              <w:rPr>
                <w:b/>
                <w:spacing w:val="0"/>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shd w:fill="FFFFFF" w:val="clear"/>
        </w:rPr>
      </w:pPr>
      <w:r>
        <w:rPr>
          <w:shd w:fill="FFFFFF" w:val="clear"/>
        </w:rPr>
        <w:t> </w:t>
      </w:r>
    </w:p>
    <w:tbl>
      <w:tblPr>
        <w:tblW w:w="5545" w:type="dxa"/>
        <w:jc w:val="left"/>
        <w:tblInd w:w="0" w:type="dxa"/>
        <w:tblLayout w:type="fixed"/>
        <w:tblCellMar>
          <w:top w:w="0" w:type="dxa"/>
          <w:left w:w="0" w:type="dxa"/>
          <w:bottom w:w="0" w:type="dxa"/>
          <w:right w:w="0" w:type="dxa"/>
        </w:tblCellMar>
      </w:tblPr>
      <w:tblGrid>
        <w:gridCol w:w="4340"/>
        <w:gridCol w:w="60"/>
        <w:gridCol w:w="1145"/>
      </w:tblGrid>
      <w:tr>
        <w:trPr/>
        <w:tc>
          <w:tcPr>
            <w:tcW w:w="4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340" w:type="dxa"/>
            <w:tcBorders/>
            <w:vAlign w:val="center"/>
          </w:tcPr>
          <w:p>
            <w:pPr>
              <w:pStyle w:val="TableContents"/>
              <w:bidi w:val="0"/>
              <w:spacing w:before="0" w:after="0"/>
              <w:jc w:val="center"/>
              <w:rPr>
                <w:b/>
                <w:spacing w:val="0"/>
              </w:rPr>
            </w:pPr>
            <w:r>
              <w:rPr>
                <w:b/>
                <w:spacing w:val="0"/>
              </w:rPr>
              <w:t>45700 Northport Loop East, Fremont,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94538</w:t>
            </w:r>
          </w:p>
        </w:tc>
      </w:tr>
      <w:tr>
        <w:trPr/>
        <w:tc>
          <w:tcPr>
            <w:tcW w:w="4340"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160" w:after="0"/>
        <w:jc w:val="center"/>
        <w:rPr>
          <w:rFonts w:ascii="Times New Roman" w:hAnsi="Times New Roman"/>
          <w:b/>
          <w:sz w:val="20"/>
          <w:shd w:fill="FFFFFF" w:val="clear"/>
        </w:rPr>
      </w:pPr>
      <w:r>
        <w:rPr>
          <w:rFonts w:ascii="Times New Roman" w:hAnsi="Times New Roman"/>
          <w:b/>
          <w:sz w:val="20"/>
          <w:shd w:fill="FFFFFF" w:val="clear"/>
        </w:rPr>
        <w:t xml:space="preserve">Registrant’s telephone number, including area code: (510) </w:t>
      </w:r>
    </w:p>
    <w:p>
      <w:pPr>
        <w:pStyle w:val="TextBody"/>
        <w:bidi w:val="0"/>
        <w:spacing w:before="160" w:after="0"/>
        <w:jc w:val="center"/>
        <w:rPr>
          <w:rFonts w:ascii="Times New Roman" w:hAnsi="Times New Roman"/>
          <w:b/>
          <w:spacing w:val="0"/>
          <w:sz w:val="20"/>
          <w:shd w:fill="FFFFFF" w:val="clear"/>
        </w:rPr>
      </w:pPr>
      <w:r>
        <w:rPr>
          <w:rFonts w:ascii="Times New Roman" w:hAnsi="Times New Roman"/>
          <w:b/>
          <w:spacing w:val="0"/>
          <w:sz w:val="20"/>
          <w:shd w:fill="FFFFFF" w:val="clear"/>
        </w:rPr>
        <w:t>270-2507</w:t>
      </w:r>
    </w:p>
    <w:p>
      <w:pPr>
        <w:pStyle w:val="TextBody"/>
        <w:bidi w:val="0"/>
        <w:spacing w:before="160" w:after="0"/>
        <w:jc w:val="center"/>
        <w:rPr>
          <w:rFonts w:ascii="Times New Roman" w:hAnsi="Times New Roman"/>
          <w:b/>
          <w:sz w:val="20"/>
          <w:shd w:fill="FFFFFF" w:val="clear"/>
        </w:rPr>
      </w:pPr>
      <w:r>
        <w:rPr>
          <w:rFonts w:ascii="Times New Roman" w:hAnsi="Times New Roman"/>
          <w:b/>
          <w:sz w:val="20"/>
          <w:shd w:fill="FFFFFF" w:val="clear"/>
        </w:rPr>
        <w:t xml:space="preserve">Not Applicable </w:t>
      </w:r>
    </w:p>
    <w:p>
      <w:pPr>
        <w:pStyle w:val="TextBody"/>
        <w:bidi w:val="0"/>
        <w:spacing w:before="0" w:after="0"/>
        <w:jc w:val="center"/>
        <w:rPr>
          <w:rFonts w:ascii="Times New Roman" w:hAnsi="Times New Roman"/>
          <w:b/>
          <w:sz w:val="16"/>
          <w:shd w:fill="FFFFFF" w:val="clear"/>
        </w:rPr>
      </w:pPr>
      <w:r>
        <w:rPr>
          <w:rFonts w:ascii="Times New Roman" w:hAnsi="Times New Roman"/>
          <w:b/>
          <w:sz w:val="16"/>
          <w:shd w:fill="FFFFFF" w:val="clear"/>
        </w:rPr>
        <w:t xml:space="preserve">(Former Name or Former Address, if Changed Since Last Report)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160" w:after="0"/>
        <w:jc w:val="left"/>
        <w:rPr>
          <w:rFonts w:ascii="Times New Roman" w:hAnsi="Times New Roman"/>
          <w:sz w:val="20"/>
          <w:shd w:fill="FFFFFF" w:val="clear"/>
        </w:rPr>
      </w:pPr>
      <w:r>
        <w:rPr>
          <w:rFonts w:ascii="Times New Roman" w:hAnsi="Times New Roman"/>
          <w:sz w:val="20"/>
          <w:shd w:fill="FFFFFF" w:val="clear"/>
        </w:rPr>
        <w:t xml:space="preserve">Check the appropriate box below if the Form </w:t>
      </w:r>
    </w:p>
    <w:p>
      <w:pPr>
        <w:pStyle w:val="TextBody"/>
        <w:bidi w:val="0"/>
        <w:spacing w:before="160" w:after="0"/>
        <w:jc w:val="left"/>
        <w:rPr>
          <w:rFonts w:ascii="Times New Roman" w:hAnsi="Times New Roman"/>
          <w:spacing w:val="0"/>
          <w:sz w:val="20"/>
          <w:shd w:fill="FFFFFF" w:val="clear"/>
        </w:rPr>
      </w:pPr>
      <w:r>
        <w:rPr>
          <w:rFonts w:ascii="Times New Roman" w:hAnsi="Times New Roman"/>
          <w:spacing w:val="0"/>
          <w:sz w:val="20"/>
          <w:shd w:fill="FFFFFF" w:val="clear"/>
        </w:rPr>
        <w:t>8-K</w:t>
      </w:r>
    </w:p>
    <w:p>
      <w:pPr>
        <w:pStyle w:val="TextBody"/>
        <w:bidi w:val="0"/>
        <w:spacing w:before="160" w:after="0"/>
        <w:jc w:val="left"/>
        <w:rPr>
          <w:rFonts w:ascii="Times New Roman" w:hAnsi="Times New Roman"/>
          <w:sz w:val="20"/>
          <w:shd w:fill="FFFFFF" w:val="clear"/>
        </w:rPr>
      </w:pPr>
      <w:r>
        <w:rPr>
          <w:rFonts w:ascii="Times New Roman" w:hAnsi="Times New Roman"/>
          <w:sz w:val="20"/>
          <w:shd w:fill="FFFFFF" w:val="clear"/>
        </w:rPr>
        <w:t xml:space="preserve">filing is intended to simultaneously satisfy the filing obligations of the registrant under any of the following provisions: </w:t>
      </w:r>
    </w:p>
    <w:p>
      <w:pPr>
        <w:pStyle w:val="TextBody"/>
        <w:bidi w:val="0"/>
        <w:spacing w:before="0" w:after="0"/>
        <w:jc w:val="left"/>
        <w:rPr>
          <w:shd w:fill="FFFFFF" w:val="clear"/>
        </w:rPr>
      </w:pPr>
      <w:r>
        <w:rPr>
          <w:shd w:fill="FFFFFF" w:val="clea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shd w:fill="FFFFFF" w:val="clear"/>
        </w:rPr>
      </w:pPr>
      <w:r>
        <w:rPr>
          <w:shd w:fill="FFFFFF" w:val="clea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shd w:fill="FFFFFF" w:val="clear"/>
        </w:rPr>
      </w:pPr>
      <w:r>
        <w:rPr>
          <w:shd w:fill="FFFFFF" w:val="clea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shd w:fill="FFFFFF" w:val="clear"/>
        </w:rPr>
      </w:pPr>
      <w:r>
        <w:rPr>
          <w:shd w:fill="FFFFFF" w:val="clea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160" w:after="0"/>
        <w:jc w:val="left"/>
        <w:rPr>
          <w:rFonts w:ascii="Times New Roman" w:hAnsi="Times New Roman"/>
          <w:sz w:val="20"/>
          <w:shd w:fill="FFFFFF" w:val="clear"/>
        </w:rPr>
      </w:pPr>
      <w:r>
        <w:rPr>
          <w:rFonts w:ascii="Times New Roman" w:hAnsi="Times New Roman"/>
          <w:sz w:val="20"/>
          <w:shd w:fill="FFFFFF" w:val="clear"/>
        </w:rPr>
        <w:t xml:space="preserve">Securities registered pursuant to Section 12(b) of the Act: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261"/>
        <w:gridCol w:w="60"/>
        <w:gridCol w:w="860"/>
        <w:gridCol w:w="60"/>
        <w:gridCol w:w="1964"/>
      </w:tblGrid>
      <w:tr>
        <w:trPr/>
        <w:tc>
          <w:tcPr>
            <w:tcW w:w="7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726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964"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7261"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CSLR</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center"/>
              <w:rPr/>
            </w:pPr>
            <w:r>
              <w:rPr/>
              <w:t>The Nasdaq Global Market</w:t>
            </w:r>
          </w:p>
        </w:tc>
      </w:tr>
      <w:tr>
        <w:trPr/>
        <w:tc>
          <w:tcPr>
            <w:tcW w:w="7261" w:type="dxa"/>
            <w:tcBorders/>
            <w:vAlign w:val="center"/>
          </w:tcPr>
          <w:p>
            <w:pPr>
              <w:pStyle w:val="TableContents"/>
              <w:bidi w:val="0"/>
              <w:spacing w:before="0" w:after="283"/>
              <w:jc w:val="center"/>
              <w:rPr/>
            </w:pPr>
            <w:r>
              <w:rPr/>
              <w:t>Warrants, each whole warrant exercisable for one share of Common Stock at an exercise price of $11.50 per share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CSLRW</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center"/>
              <w:rPr/>
            </w:pPr>
            <w:r>
              <w:rPr/>
              <w:t>The Nasdaq Capital Market</w:t>
            </w:r>
          </w:p>
        </w:tc>
      </w:tr>
    </w:tbl>
    <w:p>
      <w:pPr>
        <w:pStyle w:val="TextBody"/>
        <w:bidi w:val="0"/>
        <w:spacing w:before="16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an emerging growth company as defined in Rule 405 of the Securities Act of 1933 (§230.405 of this chapter) or Rule </w:t>
      </w:r>
    </w:p>
    <w:p>
      <w:pPr>
        <w:pStyle w:val="TextBody"/>
        <w:bidi w:val="0"/>
        <w:spacing w:before="16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160" w:after="0"/>
        <w:jc w:val="left"/>
        <w:rPr>
          <w:rFonts w:ascii="Times New Roman" w:hAnsi="Times New Roman"/>
          <w:sz w:val="20"/>
          <w:shd w:fill="FFFFFF" w:val="clear"/>
        </w:rPr>
      </w:pPr>
      <w:r>
        <w:rPr>
          <w:rFonts w:ascii="Times New Roman" w:hAnsi="Times New Roman"/>
          <w:sz w:val="20"/>
          <w:shd w:fill="FFFFFF" w:val="clear"/>
        </w:rPr>
        <w:t xml:space="preserve">of the Securities Exchange Act of 1934 </w:t>
      </w:r>
    </w:p>
    <w:p>
      <w:pPr>
        <w:pStyle w:val="TextBody"/>
        <w:bidi w:val="0"/>
        <w:spacing w:before="160" w:after="0"/>
        <w:jc w:val="left"/>
        <w:rPr>
          <w:rFonts w:ascii="Times New Roman" w:hAnsi="Times New Roman"/>
          <w:spacing w:val="0"/>
          <w:sz w:val="20"/>
          <w:shd w:fill="FFFFFF" w:val="clear"/>
        </w:rPr>
      </w:pPr>
      <w:r>
        <w:rPr>
          <w:rFonts w:ascii="Times New Roman" w:hAnsi="Times New Roman"/>
          <w:spacing w:val="0"/>
          <w:sz w:val="20"/>
          <w:shd w:fill="FFFFFF" w:val="clear"/>
        </w:rPr>
        <w:t>(§240.12b-2</w:t>
      </w:r>
    </w:p>
    <w:p>
      <w:pPr>
        <w:pStyle w:val="TextBody"/>
        <w:bidi w:val="0"/>
        <w:spacing w:before="160" w:after="0"/>
        <w:jc w:val="left"/>
        <w:rPr>
          <w:rFonts w:ascii="Times New Roman" w:hAnsi="Times New Roman"/>
          <w:sz w:val="20"/>
          <w:shd w:fill="FFFFFF" w:val="clear"/>
        </w:rPr>
      </w:pPr>
      <w:r>
        <w:rPr>
          <w:rFonts w:ascii="Times New Roman" w:hAnsi="Times New Roman"/>
          <w:sz w:val="20"/>
          <w:shd w:fill="FFFFFF" w:val="clear"/>
        </w:rPr>
        <w:t xml:space="preserve">of this chapter). </w:t>
      </w:r>
    </w:p>
    <w:p>
      <w:pPr>
        <w:pStyle w:val="TextBody"/>
        <w:bidi w:val="0"/>
        <w:spacing w:before="160" w:after="0"/>
        <w:jc w:val="left"/>
        <w:rPr>
          <w:rFonts w:ascii="Times New Roman" w:hAnsi="Times New Roman"/>
          <w:sz w:val="20"/>
          <w:shd w:fill="FFFFFF" w:val="clear"/>
        </w:rPr>
      </w:pPr>
      <w:r>
        <w:rPr>
          <w:rFonts w:ascii="Times New Roman" w:hAnsi="Times New Roman"/>
          <w:sz w:val="20"/>
          <w:shd w:fill="FFFFFF" w:val="clear"/>
        </w:rPr>
        <w:t xml:space="preserve">Emerging growth company  ☒ </w:t>
      </w:r>
    </w:p>
    <w:p>
      <w:pPr>
        <w:pStyle w:val="TextBody"/>
        <w:bidi w:val="0"/>
        <w:spacing w:before="160" w:after="0"/>
        <w:jc w:val="left"/>
        <w:rPr>
          <w:rFonts w:ascii="Times New Roman" w:hAnsi="Times New Roman"/>
          <w:sz w:val="20"/>
          <w:shd w:fill="FFFFFF" w:val="clear"/>
        </w:rPr>
      </w:pPr>
      <w:r>
        <w:rPr>
          <w:rFonts w:ascii="Times New Roman" w:hAnsi="Times New Roman"/>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2215" w:type="dxa"/>
        <w:jc w:val="left"/>
        <w:tblInd w:w="0" w:type="dxa"/>
        <w:tblLayout w:type="fixed"/>
        <w:tblCellMar>
          <w:top w:w="0" w:type="dxa"/>
          <w:left w:w="0" w:type="dxa"/>
          <w:bottom w:w="0" w:type="dxa"/>
          <w:right w:w="0" w:type="dxa"/>
        </w:tblCellMar>
      </w:tblPr>
      <w:tblGrid>
        <w:gridCol w:w="980"/>
        <w:gridCol w:w="1235"/>
      </w:tblGrid>
      <w:tr>
        <w:trPr/>
        <w:tc>
          <w:tcPr>
            <w:tcW w:w="980" w:type="dxa"/>
            <w:tcBorders/>
            <w:vAlign w:val="center"/>
          </w:tcPr>
          <w:p>
            <w:pPr>
              <w:pStyle w:val="TableContents"/>
              <w:bidi w:val="0"/>
              <w:spacing w:before="0" w:after="0"/>
              <w:jc w:val="left"/>
              <w:rPr>
                <w:b/>
                <w:spacing w:val="0"/>
              </w:rPr>
            </w:pPr>
            <w:r>
              <w:rPr>
                <w:b/>
                <w:spacing w:val="0"/>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previously disclosed on a Current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8-K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filed with the Securities and Exchange Commission (the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SEC</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on July 24, 2023, Complete Solaria, Inc. (f/k/a Complete Solar Holding Corporation), a Delaware corporation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Legacy Complete Solaria</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FACT Acquisition I Corp., a Cayman Islands exempted company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FACT</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Jupiter Merger Sub I Corp., a Delaware corporation and wholly-owned subsidiary of FACT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First Merger Sub</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Jupiter Merger Sub II LLC, a Delaware limited liability company and a wholly-owned subsidiary of FACT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Second Merger Sub</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and The Solaria Corporation, a Delaware corporation and a wholly-owned indirect subsidiary of Complete Solaria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Solaria</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consummated the closing of the transactions contemplated by that certain Amended and Restated Business Combination Agreement, dated as of May 26, 2023 (the transactions contemplated therein, the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Business Combination Agreement</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and the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Business Combination</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Pursuant to the terms and subject to the conditions of the Business Combination, on July 18, 2023, (i) First Merger Sub merged with and into Legacy Complete Solaria with Legacy Complete Solaria surviving as a wholly-owned subsidiary of FACT (the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First Merger</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(ii) immediately thereafter and as part of the same overall transaction, Legacy Complete Solaria merged with and into Second Merger Sub, with Second Merger Sub surviving as a wholly-owned subsidiary of FACT (the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Second Merger</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and FACT changed its name to “Complete Solaria, Inc.” (the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Company</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“SolarCA LLC”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Third Merger Sub</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with Third Merger Sub (now renamed “SolarCA LLC”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SolarCA</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 surviving as a wholly-owned subsidiary of the Company.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Pursuant to the Business Combination Agreement, the Business Combination was accounted for as a reverse recapitalization (the “</w:t>
      </w:r>
    </w:p>
    <w:p>
      <w:pPr>
        <w:pStyle w:val="TextBody"/>
        <w:bidi w:val="0"/>
        <w:spacing w:before="240" w:after="0"/>
        <w:jc w:val="left"/>
        <w:rPr>
          <w:rFonts w:ascii="Times New Roman" w:hAnsi="Times New Roman"/>
          <w:b/>
          <w:i/>
          <w:spacing w:val="0"/>
          <w:sz w:val="20"/>
          <w:shd w:fill="FFFFFF" w:val="clear"/>
        </w:rPr>
      </w:pPr>
      <w:r>
        <w:rPr>
          <w:rFonts w:ascii="Times New Roman" w:hAnsi="Times New Roman"/>
          <w:b/>
          <w:i/>
          <w:spacing w:val="0"/>
          <w:sz w:val="20"/>
          <w:shd w:fill="FFFFFF" w:val="clear"/>
        </w:rPr>
        <w:t>Reverse Recapitalization</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 in accordance with U.S. generally accepted accounting principles. Under this method of accounting, FACT was treated as the “acquired” company and Legacy Complete Solaria was treated as the acquirer for financial reporting purposes. The Reverse Recapitalization was treated as the equivalent of Legacy Complete Solaria issuing stock for the net assets of FACT, accompanied by a recapitalization.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Within the recast financial statements, the assets, liabilities and results of operations are those of Legacy Complete Solaria for all periods presented. Additionally, the equity structure has been retroactively restated for all prior periods to reflect the exchange ratio used to determine the number of shares of common stock, $0.0001 par value per share, issued to Legacy Complete Solaria stockholders in connection with the Business Combination. As such, the shares and corresponding capital amounts and earnings per share related to Legacy Complete Solaria common stock prior to Business Combination have been retroactively restated as shares reflecting the exchange ratio established in the Business Combination. All exercise prices for stock options and warrants have similarly been retroactively restated to reflect the exchange ratio established in the Business Combination.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previously disclosed on a Current Report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8-K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filed with the SEC on September 21, 2023, we and SolarCA LLC, on September 19, 2023, entered into an asset purchase agreement (the “</w:t>
      </w:r>
    </w:p>
    <w:p>
      <w:pPr>
        <w:pStyle w:val="TextBody"/>
        <w:bidi w:val="0"/>
        <w:spacing w:before="240" w:after="0"/>
        <w:jc w:val="left"/>
        <w:rPr>
          <w:rFonts w:ascii="Times New Roman" w:hAnsi="Times New Roman"/>
          <w:b/>
          <w:i/>
          <w:spacing w:val="0"/>
          <w:sz w:val="20"/>
          <w:shd w:fill="FFFFFF" w:val="clear"/>
        </w:rPr>
      </w:pPr>
      <w:r>
        <w:rPr>
          <w:rFonts w:ascii="Times New Roman" w:hAnsi="Times New Roman"/>
          <w:b/>
          <w:i/>
          <w:spacing w:val="0"/>
          <w:sz w:val="20"/>
          <w:shd w:fill="FFFFFF" w:val="clear"/>
        </w:rPr>
        <w:t>Agreement</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with Maxeon Solar Technologies, Ltd., a Singapore public limited company (“</w:t>
      </w:r>
    </w:p>
    <w:p>
      <w:pPr>
        <w:pStyle w:val="TextBody"/>
        <w:bidi w:val="0"/>
        <w:spacing w:before="240" w:after="0"/>
        <w:jc w:val="left"/>
        <w:rPr>
          <w:rFonts w:ascii="Times New Roman" w:hAnsi="Times New Roman"/>
          <w:b/>
          <w:i/>
          <w:spacing w:val="0"/>
          <w:sz w:val="20"/>
          <w:shd w:fill="FFFFFF" w:val="clear"/>
        </w:rPr>
      </w:pPr>
      <w:r>
        <w:rPr>
          <w:rFonts w:ascii="Times New Roman" w:hAnsi="Times New Roman"/>
          <w:b/>
          <w:i/>
          <w:spacing w:val="0"/>
          <w:sz w:val="20"/>
          <w:shd w:fill="FFFFFF" w:val="clear"/>
        </w:rPr>
        <w:t>Maxeon</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Pursuant to the Agreement, SolarCA sold, assigned and transferred its rights, title and interest in certain of the assets and contractual rights associated with the sale of photovoltaic cells and solar modules (the “</w:t>
      </w:r>
    </w:p>
    <w:p>
      <w:pPr>
        <w:pStyle w:val="TextBody"/>
        <w:bidi w:val="0"/>
        <w:spacing w:before="240" w:after="0"/>
        <w:jc w:val="left"/>
        <w:rPr>
          <w:rFonts w:ascii="Times New Roman" w:hAnsi="Times New Roman"/>
          <w:b/>
          <w:i/>
          <w:spacing w:val="0"/>
          <w:sz w:val="20"/>
          <w:shd w:fill="FFFFFF" w:val="clear"/>
        </w:rPr>
      </w:pPr>
      <w:r>
        <w:rPr>
          <w:rFonts w:ascii="Times New Roman" w:hAnsi="Times New Roman"/>
          <w:b/>
          <w:i/>
          <w:spacing w:val="0"/>
          <w:sz w:val="20"/>
          <w:shd w:fill="FFFFFF" w:val="clear"/>
        </w:rPr>
        <w:t>Business</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and certain of SolarCA’s intellectual property including the patents, patent applications, trademarks, and domain names used in the Business (collectively, the “</w:t>
      </w:r>
    </w:p>
    <w:p>
      <w:pPr>
        <w:pStyle w:val="TextBody"/>
        <w:bidi w:val="0"/>
        <w:spacing w:before="240" w:after="0"/>
        <w:jc w:val="left"/>
        <w:rPr>
          <w:rFonts w:ascii="Times New Roman" w:hAnsi="Times New Roman"/>
          <w:b/>
          <w:i/>
          <w:spacing w:val="0"/>
          <w:sz w:val="20"/>
          <w:shd w:fill="FFFFFF" w:val="clear"/>
        </w:rPr>
      </w:pPr>
      <w:r>
        <w:rPr>
          <w:rFonts w:ascii="Times New Roman" w:hAnsi="Times New Roman"/>
          <w:b/>
          <w:i/>
          <w:spacing w:val="0"/>
          <w:sz w:val="20"/>
          <w:shd w:fill="FFFFFF" w:val="clear"/>
        </w:rPr>
        <w:t>Purchased Assets</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 to Maxeon, subject to the terms and conditions therein. On October 6, 2023, pursuant to the Agreement, the parties consummated the sale, thereby completing the disposition of the Purchased Assets. As consideration for the Purchased Assets, we received 1,100,000 Maxeon ordinary shares.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are filing this Current Report on Form 8-K to recast our consolidated financial statements for the years ended December 31, 2021 and 2022 as previously incorporated by reference in our Current Report on Form 8-K filed with the Securities and Exchange Commission on July 24, 2023 to reflect the effects of the Reverse Recapitalization. In addition, the disposition of the Purchased Assets met the definition of a discontinued operation as of October 1, 2023. Accordingly, the assets and liabilities associated with these operations were classified as assets and liabilities of discontinued operations as of and for the year ended December 31, 2022 as set forth in our historical consolidated financial statements. Accordingly, we have recast our historical consolidated financial statements and accompanying management’s discussion and analysis of results of operations to reflect the disposition of the Purchased Assets as a discontinued operation. Attached to this Form 8-K are the following exhibits: </w:t>
      </w:r>
    </w:p>
    <w:p>
      <w:pPr>
        <w:pStyle w:val="TextBody"/>
        <w:bidi w:val="0"/>
        <w:spacing w:before="0" w:after="0"/>
        <w:jc w:val="left"/>
        <w:rPr>
          <w:spacing w:val="0"/>
          <w:shd w:fill="FFFFFF" w:val="clear"/>
        </w:rPr>
      </w:pPr>
      <w:r>
        <w:rPr>
          <w:spacing w:val="0"/>
          <w:shd w:fill="FFFFFF" w:val="clear"/>
        </w:rPr>
        <w:t> </w:t>
      </w:r>
    </w:p>
    <w:tbl>
      <w:tblPr>
        <w:tblW w:w="6925" w:type="dxa"/>
        <w:jc w:val="left"/>
        <w:tblInd w:w="0" w:type="dxa"/>
        <w:tblLayout w:type="fixed"/>
        <w:tblCellMar>
          <w:top w:w="0" w:type="dxa"/>
          <w:left w:w="0" w:type="dxa"/>
          <w:bottom w:w="0" w:type="dxa"/>
          <w:right w:w="0" w:type="dxa"/>
        </w:tblCellMar>
      </w:tblPr>
      <w:tblGrid>
        <w:gridCol w:w="75"/>
        <w:gridCol w:w="110"/>
        <w:gridCol w:w="60"/>
        <w:gridCol w:w="668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 99.1: Recast Consolidated Financial Statements of Complete Solaria, Inc. </w:t>
            </w:r>
          </w:p>
        </w:tc>
      </w:tr>
    </w:tbl>
    <w:p>
      <w:pPr>
        <w:pStyle w:val="TextBody"/>
        <w:bidi w:val="0"/>
        <w:spacing w:before="0" w:after="0"/>
        <w:jc w:val="left"/>
        <w:rPr>
          <w:spacing w:val="0"/>
          <w:shd w:fill="FFFFFF" w:val="clear"/>
        </w:rPr>
      </w:pPr>
      <w:r>
        <w:rPr>
          <w:spacing w:val="0"/>
          <w:shd w:fill="FFFFFF" w:val="clea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6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Exhibit 99.2: Management’s Discussion and Analysis of Results of Operations </w:t>
            </w:r>
          </w:p>
        </w:tc>
      </w:tr>
    </w:tbl>
    <w:p>
      <w:pPr>
        <w:pStyle w:val="TextBody"/>
        <w:bidi w:val="0"/>
        <w:spacing w:before="0" w:after="0"/>
        <w:jc w:val="left"/>
        <w:rPr>
          <w:spacing w:val="0"/>
          <w:shd w:fill="FFFFFF" w:val="clear"/>
        </w:rPr>
      </w:pPr>
      <w:r>
        <w:rPr>
          <w:spacing w:val="0"/>
          <w:shd w:fill="FFFFFF" w:val="clea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Exhibit 99.3: Unaudited Pro Forma Condensed Combined Financial Information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information included in Exhibits 99.1, 99.2 and 99.3 to this Current Report is presented in connection with the reporting changes described above. Except for the matter noted above, Exhibits 99.1, 99.2 and 99.3 to this Current Report do not reflect events occurring after we filed our Quarterly Report on Form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10-Q</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for the period ended October 1, 2023 (the “</w:t>
      </w:r>
    </w:p>
    <w:p>
      <w:pPr>
        <w:pStyle w:val="TextBody"/>
        <w:bidi w:val="0"/>
        <w:spacing w:before="240" w:after="0"/>
        <w:jc w:val="left"/>
        <w:rPr>
          <w:rFonts w:ascii="Times New Roman" w:hAnsi="Times New Roman"/>
          <w:b/>
          <w:i/>
          <w:sz w:val="20"/>
          <w:shd w:fill="FFFFFF" w:val="clear"/>
        </w:rPr>
      </w:pPr>
      <w:r>
        <w:rPr>
          <w:rFonts w:ascii="Times New Roman" w:hAnsi="Times New Roman"/>
          <w:b/>
          <w:i/>
          <w:sz w:val="20"/>
          <w:shd w:fill="FFFFFF" w:val="clear"/>
        </w:rPr>
        <w:t>Third Quarter Form 10-Q</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 Information contained in Exhibits 99.1, 99.2 and 99.3 should be read in conjunction with and as a supplement to information contained in the Third Quarter Form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10-Q.</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Exhibit 99.2 also contains information related to our quarter ended October 1, 2023 but does not amend or restate any portion of the Third Quarter Form 10-Q. For information on events occurring since the filing of the Third Quarter Form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10-Q,</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please refer to our subsequent filings with the SEC.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addition, attached as Exhibit 99.4 are the consolidated financial statements of The Solaria Corporation. There are no changes to such financial statements from those previously included in the final prospectus filed pursuant to Rule 424(b)(3) to that certain Registration Statement on Form S-4 (File No. 333-269674) by FACT on July 10, 2023.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Forward-Looking Statements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This Current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8-K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contains forward-looking statements that involve risks and uncertainties. All statements, other than statements of present or historical fact included in or incorporated by reference in this Current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8-K,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regarding the Company’s future financial performance, as well as the Company’s strategy, future operations, financial position, estimated revenues, and losses, projected costs, prospects, plans and objectives of management are forward-looking statements. When used herein, the words “potential,” “believe,” “expect,” “expects,” “expected,” “anticipate,” “may,” “will,” “enable,” “should,” “seek,” “approximately,” “intends,” “intended,” “plans,” “planned,” “planning,” “estimates,” “benefits,” or the negative of these words or other comparable terminology and similar expressions, as they relate to the Company or its management, are intended to identify such forward-looking statements. These forward-looking statements are based on information available to the Company as of the date of this Current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8-K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are subject to a number of risks, uncertainties, and other factors that could cause the Company’s performance to differ materially from those expressed in, or implied by, these forward-looking statements. These risks and uncertainties include, among other things, risks related to the Company’s product development activities and ongoing commercial business operations; risks related to the Company’s ability and that of its business partners to implement development plans, launch plans, forecasts and other business expectations; risks related to unexpected variations in market growth and demand for the Company’s commercial and developmental products and technologies; risks related to the Company’s liquidity and its ability to maintain capital resources sufficient to conduct required clinical studies; the Company’s ability to retain its listing on the Nasdaq exchange; and risks relating to the Company’s ability to obtain regulatory approvals for its developmental product candidates. These forward-looking statements should be considered together with the risks and uncertainties that may affect the Company’s business and future results included in the Company’s filings with the SEC at www.sec.gov. These forward-looking statements are based on information currently available to the Company, and the Company assumes no obligation to update any forward-looking statements except as required by applicable law.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Item 9.01 – Financial Statements and Exhibits </w:t>
      </w:r>
    </w:p>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(b) Pro Forma financial information.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information set forth in Item 8.01 of this Current Report is incorporated herein by reference in its entirety.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(d) Exhibits. </w:t>
      </w:r>
    </w:p>
    <w:p>
      <w:pPr>
        <w:pStyle w:val="TextBody"/>
        <w:bidi w:val="0"/>
        <w:spacing w:before="0" w:after="0"/>
        <w:jc w:val="left"/>
        <w:rPr>
          <w:shd w:fill="FFFFFF" w:val="clear"/>
        </w:rPr>
      </w:pPr>
      <w:r>
        <w:rPr>
          <w:shd w:fill="FFFFFF" w:val="clea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bdr w:val="single" w:sz="8" w:space="1" w:color="000000"/>
              </w:rPr>
            </w:pPr>
            <w:r>
              <w:rPr>
                <w:rFonts w:ascii="Times New Roman" w:hAnsi="Times New Roman"/>
                <w:b/>
                <w:sz w:val="16"/>
                <w:bdr w:val="single" w:sz="8" w:space="1" w:color="000000"/>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74289dex991.htm">
              <w:r>
                <w:rPr>
                  <w:rStyle w:val="InternetLink"/>
                </w:rPr>
                <w:t xml:space="preserve">Recast Consolidated Financial Statements of Complete Solaria, Inc.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74289dex992.htm">
              <w:r>
                <w:rPr>
                  <w:rStyle w:val="InternetLink"/>
                </w:rPr>
                <w:t xml:space="preserve">Management’s Discussion and Analysis of Results of Operations.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74289dex993.htm">
              <w:r>
                <w:rPr>
                  <w:rStyle w:val="InternetLink"/>
                </w:rPr>
                <w:t xml:space="preserve">Unaudited Pro Forma Condensed Combined Financial Information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74289dex994.htm">
              <w:r>
                <w:rPr>
                  <w:rStyle w:val="InternetLink"/>
                </w:rPr>
                <w:t xml:space="preserve">Consolidated Financial Statements of The Solaria Corporation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SIGNATURES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shd w:fill="FFFFFF" w:val="clear"/>
        </w:rPr>
      </w:pPr>
      <w:r>
        <w:rPr>
          <w:shd w:fill="FFFFFF" w:val="clear"/>
        </w:rPr>
        <w:t> </w:t>
      </w:r>
    </w:p>
    <w:tbl>
      <w:tblPr>
        <w:tblW w:w="5024" w:type="dxa"/>
        <w:jc w:val="left"/>
        <w:tblInd w:w="0" w:type="dxa"/>
        <w:tblLayout w:type="fixed"/>
        <w:tblCellMar>
          <w:top w:w="0" w:type="dxa"/>
          <w:left w:w="0" w:type="dxa"/>
          <w:bottom w:w="0" w:type="dxa"/>
          <w:right w:w="0" w:type="dxa"/>
        </w:tblCellMar>
      </w:tblPr>
      <w:tblGrid>
        <w:gridCol w:w="700"/>
        <w:gridCol w:w="1108"/>
        <w:gridCol w:w="431"/>
        <w:gridCol w:w="60"/>
        <w:gridCol w:w="365"/>
        <w:gridCol w:w="60"/>
        <w:gridCol w:w="2300"/>
      </w:tblGrid>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0"/>
              <w:jc w:val="left"/>
              <w:rPr>
                <w:b/>
              </w:rPr>
            </w:pPr>
            <w:r>
              <w:rPr>
                <w:b/>
              </w:rPr>
              <w:t>C</w:t>
            </w:r>
          </w:p>
          <w:p>
            <w:pPr>
              <w:pStyle w:val="TableContents"/>
              <w:bidi w:val="0"/>
              <w:spacing w:before="0" w:after="0"/>
              <w:jc w:val="left"/>
              <w:rPr>
                <w:b/>
                <w:sz w:val="17"/>
              </w:rPr>
            </w:pPr>
            <w:r>
              <w:rPr>
                <w:b/>
                <w:sz w:val="17"/>
              </w:rPr>
              <w:t>OMPLETE</w:t>
            </w:r>
          </w:p>
          <w:p>
            <w:pPr>
              <w:pStyle w:val="TableContents"/>
              <w:bidi w:val="0"/>
              <w:spacing w:before="0" w:after="0"/>
              <w:jc w:val="left"/>
              <w:rPr>
                <w:b/>
              </w:rPr>
            </w:pPr>
            <w:r>
              <w:rPr>
                <w:b/>
              </w:rPr>
              <w:t>S</w:t>
            </w:r>
          </w:p>
          <w:p>
            <w:pPr>
              <w:pStyle w:val="TableContents"/>
              <w:bidi w:val="0"/>
              <w:spacing w:before="0" w:after="0"/>
              <w:jc w:val="left"/>
              <w:rPr>
                <w:b/>
                <w:sz w:val="17"/>
              </w:rPr>
            </w:pPr>
            <w:r>
              <w:rPr>
                <w:b/>
                <w:sz w:val="17"/>
              </w:rPr>
              <w:t>OLARIA</w:t>
            </w:r>
          </w:p>
          <w:p>
            <w:pPr>
              <w:pStyle w:val="TableContents"/>
              <w:bidi w:val="0"/>
              <w:spacing w:before="0" w:after="0"/>
              <w:jc w:val="left"/>
              <w:rPr>
                <w:b/>
              </w:rPr>
            </w:pPr>
            <w:r>
              <w:rPr>
                <w:b/>
              </w:rPr>
              <w:t>, I</w:t>
            </w:r>
          </w:p>
          <w:p>
            <w:pPr>
              <w:pStyle w:val="TableContents"/>
              <w:bidi w:val="0"/>
              <w:spacing w:before="0" w:after="0"/>
              <w:jc w:val="left"/>
              <w:rPr>
                <w:b/>
                <w:sz w:val="17"/>
              </w:rPr>
            </w:pPr>
            <w:r>
              <w:rPr>
                <w:b/>
                <w:sz w:val="17"/>
              </w:rPr>
              <w:t>NC</w:t>
            </w:r>
          </w:p>
          <w:p>
            <w:pPr>
              <w:pStyle w:val="TableContents"/>
              <w:bidi w:val="0"/>
              <w:spacing w:before="0" w:after="0"/>
              <w:jc w:val="left"/>
              <w:rPr>
                <w:b/>
              </w:rPr>
            </w:pPr>
            <w:r>
              <w:rPr>
                <w:b/>
              </w:rPr>
              <w:t>.</w:t>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2785" w:type="dxa"/>
            <w:gridSpan w:val="4"/>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pPr>
            <w:r>
              <w:rPr/>
              <w:t>Dated: January 4, 2024</w:t>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sz w:val="4"/>
                <w:szCs w:val="4"/>
              </w:rPr>
            </w:pPr>
            <w:r>
              <w:rPr>
                <w:sz w:val="4"/>
                <w:szCs w:val="4"/>
              </w:rPr>
            </w:r>
          </w:p>
        </w:tc>
      </w:tr>
      <w:tr>
        <w:trPr/>
        <w:tc>
          <w:tcPr>
            <w:tcW w:w="700" w:type="dxa"/>
            <w:tcBorders/>
            <w:vAlign w:val="center"/>
          </w:tcPr>
          <w:p>
            <w:pPr>
              <w:pStyle w:val="TableContents"/>
              <w:bidi w:val="0"/>
              <w:spacing w:before="0" w:after="283"/>
              <w:jc w:val="left"/>
              <w:rPr>
                <w:sz w:val="4"/>
                <w:szCs w:val="4"/>
              </w:rPr>
            </w:pPr>
            <w:r>
              <w:rPr>
                <w:sz w:val="4"/>
                <w:szCs w:val="4"/>
              </w:rPr>
            </w:r>
          </w:p>
        </w:tc>
        <w:tc>
          <w:tcPr>
            <w:tcW w:w="1539"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Chris Lundell</w:t>
            </w:r>
          </w:p>
        </w:tc>
      </w:tr>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Chris Lundell</w:t>
            </w:r>
          </w:p>
        </w:tc>
      </w:tr>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shd w:fill="FFFFFF" w:val="clear"/>
        </w:rPr>
      </w:pPr>
      <w:bookmarkStart w:id="2" w:name="d474289dex991.htm"/>
      <w:bookmarkStart w:id="3" w:name="ksd474289dex991"/>
      <w:bookmarkEnd w:id="2"/>
      <w:bookmarkEnd w:id="3"/>
      <w:r>
        <w:rPr>
          <w:rFonts w:ascii="Times New Roman" w:hAnsi="Times New Roman"/>
          <w:b/>
          <w:sz w:val="20"/>
          <w:shd w:fill="FFFFFF" w:val="clear"/>
        </w:rPr>
        <w:t xml:space="preserve">Exhibit 99.1 </w:t>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center"/>
        <w:rPr>
          <w:rFonts w:ascii="Times New Roman" w:hAnsi="Times New Roman"/>
          <w:b/>
          <w:sz w:val="20"/>
        </w:rPr>
      </w:pPr>
      <w:r>
        <w:rPr>
          <w:rFonts w:ascii="Times New Roman" w:hAnsi="Times New Roman"/>
          <w:b/>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To the Shareholders and the Board of Directors of Complete Solaria, Inc.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Opinion on the Financial Statements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We have audited the accompanying consolidated balance sheets of Complete Solaria, Inc. (formerly Complete Solar, Inc.) and subsidiaries (the “Company”) as of December 31, 2022 and 2021, the related consolidated statements of operations and comprehensive loss, redeemable convertible preferred stock and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Going Concern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financial statements have been prepared assuming that the Company will continue as a going concern. As discussed in Note 1(c) to the financial statements, the Company has been incurring net losses, accumulated deficit, and cash outflows from operations that raise substantial doubt about its ability to continue as a going concern. Management’s plans in regard to these matters are also described in Note 1(c). The financial statements do not include any adjustments that might result from the outcome of this uncertainty.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Basis for Opinion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 Deloitte &amp; Touche LLP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San Francisco, California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April 7, 2023 (December 22, 2023, as to the effects of the reverse recapitalization described in Note 3 and the divestiture described in Note 5)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have served as the Company’s auditor since 2022.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COMPLETE SOLARIA, INC.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Balance Sheets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number of shares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865"/>
        <w:gridCol w:w="120"/>
        <w:gridCol w:w="140"/>
        <w:gridCol w:w="800"/>
        <w:gridCol w:w="155"/>
        <w:gridCol w:w="60"/>
        <w:gridCol w:w="140"/>
        <w:gridCol w:w="755"/>
        <w:gridCol w:w="170"/>
      </w:tblGrid>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125" w:type="dxa"/>
            <w:gridSpan w:val="4"/>
            <w:tcBorders/>
            <w:vAlign w:val="center"/>
          </w:tcPr>
          <w:p>
            <w:pPr>
              <w:pStyle w:val="TableContents"/>
              <w:bidi w:val="0"/>
              <w:spacing w:before="0" w:after="283"/>
              <w:jc w:val="left"/>
              <w:rPr>
                <w:sz w:val="4"/>
                <w:szCs w:val="4"/>
              </w:rPr>
            </w:pPr>
            <w:r>
              <w:rPr>
                <w:sz w:val="4"/>
                <w:szCs w:val="4"/>
              </w:rPr>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4,409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5,276</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Accounts receivable,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27,717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9,037</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Inventories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4,409</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4,955</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55,256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23,677</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Long-term deposits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1,758</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Operating lease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right-of-use</w:t>
            </w:r>
          </w:p>
          <w:p>
            <w:pPr>
              <w:pStyle w:val="TableContents"/>
              <w:bidi w:val="0"/>
              <w:spacing w:before="0" w:after="0"/>
              <w:jc w:val="left"/>
              <w:rPr>
                <w:rFonts w:ascii="Times New Roman" w:hAnsi="Times New Roman"/>
                <w:sz w:val="18"/>
              </w:rPr>
            </w:pPr>
            <w:r>
              <w:rPr>
                <w:rFonts w:ascii="Times New Roman" w:hAnsi="Times New Roman"/>
                <w:sz w:val="18"/>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826</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Intangible assets,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Long-term assets held for sale - discontinued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162,032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228,183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26,403</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Liabilities, redeemable convertible preferred stock and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14,474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5,190</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19,830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9,347</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SAFE agreements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6,397</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Convertible notes,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1,890</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Convertible notes, net due to related parties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6,820</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Notes payable,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20,403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9,507</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Deferred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5,407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3,852</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60,114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43,003</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Warranty provision, 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1,681</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Warrant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1,129</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Derivative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1,481</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Long-term debt with CS Solis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25,204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Convertible notes, net, 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Convertible notes, net due to related parties, noncurrent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Operating lease liabilities, net of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499</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122,902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47,793</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Commitments and contingencies (Note 17)</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Stockholders’ equity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Common stock, $0.0001 par value. Authorized 28,978,185 and 13,547,943 shares as of</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December 31, 2022 and 2</w:t>
            </w:r>
          </w:p>
          <w:p>
            <w:pPr>
              <w:pStyle w:val="TableContents"/>
              <w:bidi w:val="0"/>
              <w:spacing w:before="0" w:after="0"/>
              <w:jc w:val="left"/>
              <w:rPr>
                <w:rFonts w:ascii="Times New Roman" w:hAnsi="Times New Roman"/>
                <w:sz w:val="18"/>
              </w:rPr>
            </w:pPr>
            <w:r>
              <w:rPr>
                <w:rFonts w:ascii="Times New Roman" w:hAnsi="Times New Roman"/>
                <w:sz w:val="18"/>
              </w:rPr>
              <w:t>0</w:t>
            </w:r>
          </w:p>
          <w:p>
            <w:pPr>
              <w:pStyle w:val="TableContents"/>
              <w:bidi w:val="0"/>
              <w:spacing w:before="0" w:after="0"/>
              <w:jc w:val="left"/>
              <w:rPr>
                <w:rFonts w:ascii="Times New Roman" w:hAnsi="Times New Roman"/>
                <w:sz w:val="18"/>
              </w:rPr>
            </w:pPr>
            <w:r>
              <w:rPr>
                <w:rFonts w:ascii="Times New Roman" w:hAnsi="Times New Roman"/>
                <w:sz w:val="18"/>
              </w:rPr>
              <w:t>21, respectively; issued and outstanding 19,932,429 and 9,806,143 shares as of December 31, 2022 and 2021, respectively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Additional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paid-in</w:t>
            </w:r>
          </w:p>
          <w:p>
            <w:pPr>
              <w:pStyle w:val="TableContents"/>
              <w:bidi w:val="0"/>
              <w:spacing w:before="0" w:after="0"/>
              <w:jc w:val="left"/>
              <w:rPr>
                <w:rFonts w:ascii="Times New Roman" w:hAnsi="Times New Roman"/>
                <w:sz w:val="18"/>
              </w:rPr>
            </w:pPr>
            <w:r>
              <w:rPr>
                <w:rFonts w:ascii="Times New Roman" w:hAnsi="Times New Roman"/>
                <w:sz w:val="18"/>
              </w:rPr>
              <w:t>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190,624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34,504</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(85,373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(55,896</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stockholders’ equity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105,281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(21,390</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 and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228,183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26,403</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center"/>
        <w:rPr>
          <w:rFonts w:ascii="Times New Roman" w:hAnsi="Times New Roman"/>
          <w:sz w:val="18"/>
          <w:shd w:fill="FFFFFF" w:val="clear"/>
        </w:rPr>
      </w:pPr>
      <w:r>
        <w:rPr>
          <w:rFonts w:ascii="Times New Roman" w:hAnsi="Times New Roman"/>
          <w:sz w:val="18"/>
          <w:shd w:fill="FFFFFF" w:val="clear"/>
        </w:rPr>
        <w:t xml:space="preserve">The accompanying notes are an integral part of these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COMPLETE SOLARIA, INC.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Operations and Comprehensive Loss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number of shares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5885"/>
        <w:gridCol w:w="120"/>
        <w:gridCol w:w="140"/>
        <w:gridCol w:w="1100"/>
        <w:gridCol w:w="155"/>
        <w:gridCol w:w="60"/>
        <w:gridCol w:w="140"/>
        <w:gridCol w:w="1100"/>
        <w:gridCol w:w="155"/>
        <w:gridCol w:w="60"/>
        <w:gridCol w:w="140"/>
        <w:gridCol w:w="980"/>
        <w:gridCol w:w="170"/>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66,475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68,816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29,378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46,647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40,123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17,097</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28,693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12,281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commissions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21,195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10,410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3,185</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13,634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40,985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17,396</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(21,157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(5,115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(523</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p>
            <w:pPr>
              <w:pStyle w:val="TableContents"/>
              <w:bidi w:val="0"/>
              <w:spacing w:before="0" w:after="0"/>
              <w:jc w:val="left"/>
              <w:rPr>
                <w:rFonts w:ascii="Times New Roman" w:hAnsi="Times New Roman"/>
                <w:sz w:val="12"/>
              </w:rPr>
            </w:pPr>
            <w:r>
              <w:rPr>
                <w:rFonts w:ascii="Times New Roman" w:hAnsi="Times New Roman"/>
                <w:sz w:val="12"/>
              </w:rPr>
              <w:t>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 before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(27,996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(5,679</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(28,023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(5,682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discontinued operations, net of tax</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(5,682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loss (net of tax)</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(29,450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(9,282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(5,682</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(0.58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from discontinued operations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(0.58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used to compute 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22,524,400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11,990,015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9,760,018</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shd w:fill="FFFFFF" w:val="clear"/>
        </w:rPr>
      </w:pPr>
      <w:r>
        <w:rPr>
          <w:bdr w:val="single" w:sz="2"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1.</w:t>
            </w:r>
          </w:p>
        </w:tc>
        <w:tc>
          <w:tcPr>
            <w:tcW w:w="100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interest expense to related parties of $0.3 million, $0.7 million and $0.2 million during the years ended December 31, 2022, 2021 and 2020, respectively.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income (expense), net includes other income from related parties of $1.4 million, zero and zero during the years ended December 31, 2022, 2021 and 2020, respectively. </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COMPLETE SOLARIA, INC.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Redeemable Convertible Preferred Stock and Stockholders’ Equity (Deficit)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number of shares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12685" w:type="dxa"/>
        <w:jc w:val="left"/>
        <w:tblInd w:w="0" w:type="dxa"/>
        <w:tblLayout w:type="fixed"/>
        <w:tblCellMar>
          <w:top w:w="0" w:type="dxa"/>
          <w:left w:w="0" w:type="dxa"/>
          <w:bottom w:w="0" w:type="dxa"/>
          <w:right w:w="0" w:type="dxa"/>
        </w:tblCellMar>
      </w:tblPr>
      <w:tblGrid>
        <w:gridCol w:w="935"/>
        <w:gridCol w:w="60"/>
        <w:gridCol w:w="61"/>
        <w:gridCol w:w="1203"/>
        <w:gridCol w:w="158"/>
        <w:gridCol w:w="61"/>
        <w:gridCol w:w="143"/>
        <w:gridCol w:w="899"/>
        <w:gridCol w:w="155"/>
        <w:gridCol w:w="60"/>
        <w:gridCol w:w="60"/>
        <w:gridCol w:w="1100"/>
        <w:gridCol w:w="60"/>
        <w:gridCol w:w="60"/>
        <w:gridCol w:w="231"/>
        <w:gridCol w:w="629"/>
        <w:gridCol w:w="60"/>
        <w:gridCol w:w="60"/>
        <w:gridCol w:w="235"/>
        <w:gridCol w:w="1345"/>
        <w:gridCol w:w="60"/>
        <w:gridCol w:w="60"/>
        <w:gridCol w:w="214"/>
        <w:gridCol w:w="1156"/>
        <w:gridCol w:w="155"/>
        <w:gridCol w:w="60"/>
        <w:gridCol w:w="388"/>
        <w:gridCol w:w="1222"/>
        <w:gridCol w:w="60"/>
        <w:gridCol w:w="60"/>
        <w:gridCol w:w="224"/>
        <w:gridCol w:w="1281"/>
        <w:gridCol w:w="17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 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8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br/>
              <w:t>Comprehensive</w:t>
              <w:br/>
              <w:t>Income</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0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 (Deficit)</w:t>
            </w:r>
          </w:p>
        </w:tc>
        <w:tc>
          <w:tcPr>
            <w:tcW w:w="170" w:type="dxa"/>
            <w:vMerge w:val="restart"/>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58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50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935" w:type="dxa"/>
            <w:tcBorders/>
            <w:shd w:fill="CCEEFF" w:val="clear"/>
            <w:vAlign w:val="center"/>
          </w:tcPr>
          <w:p>
            <w:pPr>
              <w:pStyle w:val="TableContents"/>
              <w:bidi w:val="0"/>
              <w:spacing w:before="0" w:after="0"/>
              <w:jc w:val="left"/>
              <w:rPr>
                <w:rFonts w:ascii="Times New Roman" w:hAnsi="Times New Roman"/>
                <w:b/>
                <w:spacing w:val="0"/>
                <w:sz w:val="14"/>
              </w:rPr>
            </w:pPr>
            <w:r>
              <w:rPr>
                <w:rFonts w:ascii="Times New Roman" w:hAnsi="Times New Roman"/>
                <w:b/>
                <w:spacing w:val="0"/>
                <w:sz w:val="14"/>
              </w:rPr>
              <w:t>Balance at January</w:t>
            </w:r>
          </w:p>
          <w:p>
            <w:pPr>
              <w:pStyle w:val="TableContents"/>
              <w:bidi w:val="0"/>
              <w:spacing w:before="0" w:after="0"/>
              <w:jc w:val="left"/>
              <w:rPr>
                <w:spacing w:val="0"/>
              </w:rPr>
            </w:pPr>
            <w:r>
              <w:rPr>
                <w:spacing w:val="0"/>
              </w:rPr>
              <w:t> </w:t>
            </w:r>
            <w:r>
              <w:rPr>
                <w:rFonts w:ascii="Times New Roman" w:hAnsi="Times New Roman"/>
                <w:b/>
                <w:spacing w:val="0"/>
                <w:sz w:val="14"/>
              </w:rPr>
              <w:t>1, 2020</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13,090,720</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jc w:val="right"/>
              <w:rPr/>
            </w:pPr>
            <w:r>
              <w:rPr/>
              <w:t>22,788</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1,103,289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345" w:type="dxa"/>
            <w:tcBorders/>
            <w:shd w:fill="CCEEFF" w:val="clear"/>
            <w:vAlign w:val="center"/>
          </w:tcPr>
          <w:p>
            <w:pPr>
              <w:pStyle w:val="TableContents"/>
              <w:bidi w:val="0"/>
              <w:spacing w:before="0" w:after="283"/>
              <w:jc w:val="right"/>
              <w:rPr/>
            </w:pPr>
            <w:r>
              <w:rPr/>
              <w:t>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(40,932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(40,752</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Retroactive application of recapitalization (Note 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(13,090,720</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(22,788</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5,751,955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22,786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22,788</w:t>
            </w:r>
          </w:p>
        </w:tc>
        <w:tc>
          <w:tcPr>
            <w:tcW w:w="1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34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bdr w:val="single" w:sz="2" w:space="1" w:color="000000"/>
              </w:rPr>
            </w:pPr>
            <w:r>
              <w:rPr>
                <w:bdr w:val="single" w:sz="2" w:space="1" w:color="000000"/>
              </w:rPr>
              <w:t> </w:t>
            </w:r>
          </w:p>
        </w:tc>
        <w:tc>
          <w:tcPr>
            <w:tcW w:w="12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Balance at January 1, 2020, as adjusted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6,855,244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(40,932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(17,964</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Issuances of Series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C-1</w:t>
            </w:r>
          </w:p>
          <w:p>
            <w:pPr>
              <w:pStyle w:val="TableContents"/>
              <w:bidi w:val="0"/>
              <w:spacing w:before="0" w:after="0"/>
              <w:jc w:val="left"/>
              <w:rPr>
                <w:rFonts w:ascii="Times New Roman" w:hAnsi="Times New Roman"/>
                <w:sz w:val="14"/>
              </w:rPr>
            </w:pPr>
            <w:r>
              <w:rPr>
                <w:rFonts w:ascii="Times New Roman" w:hAnsi="Times New Roman"/>
                <w:sz w:val="14"/>
              </w:rPr>
              <w:t xml:space="preserve">redeemable convertible preferred Stock upon conversion of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2017-A</w:t>
            </w:r>
          </w:p>
          <w:p>
            <w:pPr>
              <w:pStyle w:val="TableContents"/>
              <w:bidi w:val="0"/>
              <w:spacing w:before="0" w:after="0"/>
              <w:jc w:val="left"/>
              <w:rPr>
                <w:rFonts w:ascii="Times New Roman" w:hAnsi="Times New Roman"/>
                <w:sz w:val="14"/>
              </w:rPr>
            </w:pPr>
            <w:r>
              <w:rPr>
                <w:rFonts w:ascii="Times New Roman" w:hAnsi="Times New Roman"/>
                <w:sz w:val="14"/>
              </w:rPr>
              <w:t>convertible note and 2019 SAFE</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2,800,283</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7,419</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Series C redeemable convertible preferred stock upon conversion of convertible notes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2,322,150</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3,661</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Conversion of redeemable convertible preferred stock to common stock</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(1,648,783</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(2,330</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1,648,783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2,330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2,330</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warrant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(137</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137</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Exercise of common stock options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84</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109</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(5,682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(5,682</w:t>
            </w:r>
          </w:p>
        </w:tc>
        <w:tc>
          <w:tcPr>
            <w:tcW w:w="1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34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bdr w:val="single" w:sz="2" w:space="1" w:color="000000"/>
              </w:rPr>
            </w:pPr>
            <w:r>
              <w:rPr>
                <w:bdr w:val="single" w:sz="2" w:space="1" w:color="000000"/>
              </w:rPr>
              <w:t> </w:t>
            </w:r>
          </w:p>
        </w:tc>
        <w:tc>
          <w:tcPr>
            <w:tcW w:w="12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Balance as of December 31, 2020, as previously reported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3,473,650</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8,613</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2,591,893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(5,682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(3,022</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Retroactive application of recapitalization (Note 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(3,473,650</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(8,613</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2,929,165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8,613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8,613</w:t>
            </w:r>
          </w:p>
        </w:tc>
        <w:tc>
          <w:tcPr>
            <w:tcW w:w="1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34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bdr w:val="single" w:sz="2" w:space="1" w:color="000000"/>
              </w:rPr>
            </w:pPr>
            <w:r>
              <w:rPr>
                <w:bdr w:val="single" w:sz="2" w:space="1" w:color="000000"/>
              </w:rPr>
              <w:t> </w:t>
            </w:r>
          </w:p>
        </w:tc>
        <w:tc>
          <w:tcPr>
            <w:tcW w:w="12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as of December 31, 2020</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203" w:type="dxa"/>
            <w:tcBorders/>
            <w:shd w:fill="CCEEFF" w:val="clear"/>
            <w:vAlign w:val="center"/>
          </w:tcPr>
          <w:p>
            <w:pPr>
              <w:pStyle w:val="TableContents"/>
              <w:bidi w:val="0"/>
              <w:spacing w:before="0" w:after="0"/>
              <w:jc w:val="right"/>
              <w:rPr>
                <w:spacing w:val="0"/>
              </w:rPr>
            </w:pPr>
            <w:r>
              <w:rPr>
                <w:spacing w:val="0"/>
              </w:rPr>
              <w:t>—  </w:t>
            </w:r>
          </w:p>
        </w:tc>
        <w:tc>
          <w:tcPr>
            <w:tcW w:w="158"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0"/>
              <w:jc w:val="left"/>
              <w:rPr>
                <w:b/>
                <w:spacing w:val="0"/>
              </w:rPr>
            </w:pPr>
            <w:r>
              <w:rPr>
                <w:b/>
                <w:spacing w:val="0"/>
              </w:rPr>
              <w:t>$</w:t>
            </w:r>
          </w:p>
        </w:tc>
        <w:tc>
          <w:tcPr>
            <w:tcW w:w="899" w:type="dxa"/>
            <w:tcBorders/>
            <w:shd w:fill="CCEEFF" w:val="clear"/>
            <w:vAlign w:val="center"/>
          </w:tcPr>
          <w:p>
            <w:pPr>
              <w:pStyle w:val="TableContents"/>
              <w:bidi w:val="0"/>
              <w:spacing w:before="0" w:after="0"/>
              <w:jc w:val="right"/>
              <w:rPr>
                <w:spacing w:val="0"/>
              </w:rPr>
            </w:pPr>
            <w:r>
              <w:rPr>
                <w:spacing w:val="0"/>
              </w:rPr>
              <w:t>—  </w:t>
            </w:r>
          </w:p>
        </w:tc>
        <w:tc>
          <w:tcPr>
            <w:tcW w:w="155" w:type="dxa"/>
            <w:tcBorders>
              <w:right w:val="single" w:sz="6" w:space="0" w:color="000000"/>
            </w:tcBorders>
            <w:shd w:fill="CCEEFF" w:val="clear"/>
            <w:tcMar>
              <w:right w:w="28" w:type="dxa"/>
            </w:tcM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9,784,409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spacing w:val="0"/>
              </w:rPr>
            </w:pPr>
            <w:r>
              <w:rPr>
                <w:b/>
                <w:spacing w:val="0"/>
              </w:rPr>
              <w:t>$</w:t>
            </w:r>
          </w:p>
        </w:tc>
        <w:tc>
          <w:tcPr>
            <w:tcW w:w="629" w:type="dxa"/>
            <w:tcBorders/>
            <w:shd w:fill="CCEEFF" w:val="clear"/>
            <w:vAlign w:val="center"/>
          </w:tcPr>
          <w:p>
            <w:pPr>
              <w:pStyle w:val="TableContents"/>
              <w:bidi w:val="0"/>
              <w:spacing w:before="0" w:after="0"/>
              <w:jc w:val="right"/>
              <w:rPr>
                <w:b/>
                <w:spacing w:val="0"/>
              </w:rPr>
            </w:pPr>
            <w:r>
              <w:rPr>
                <w:b/>
                <w:spacing w:val="0"/>
              </w:rPr>
              <w:t>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0"/>
              <w:jc w:val="left"/>
              <w:rPr>
                <w:b/>
                <w:spacing w:val="0"/>
              </w:rPr>
            </w:pPr>
            <w:r>
              <w:rPr>
                <w:b/>
                <w:spacing w:val="0"/>
              </w:rPr>
              <w:t>$</w:t>
            </w:r>
          </w:p>
        </w:tc>
        <w:tc>
          <w:tcPr>
            <w:tcW w:w="1345" w:type="dxa"/>
            <w:tcBorders/>
            <w:shd w:fill="CCEEFF" w:val="clear"/>
            <w:vAlign w:val="center"/>
          </w:tcPr>
          <w:p>
            <w:pPr>
              <w:pStyle w:val="TableContents"/>
              <w:bidi w:val="0"/>
              <w:spacing w:before="0" w:after="0"/>
              <w:jc w:val="right"/>
              <w:rPr>
                <w:b/>
                <w:spacing w:val="0"/>
              </w:rPr>
            </w:pPr>
            <w:r>
              <w:rPr>
                <w:b/>
                <w:spacing w:val="0"/>
              </w:rPr>
              <w:t>34,239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0"/>
              <w:jc w:val="left"/>
              <w:rPr>
                <w:b/>
                <w:spacing w:val="0"/>
              </w:rPr>
            </w:pPr>
            <w:r>
              <w:rPr>
                <w:b/>
                <w:spacing w:val="0"/>
              </w:rPr>
              <w:t>$</w:t>
            </w:r>
          </w:p>
        </w:tc>
        <w:tc>
          <w:tcPr>
            <w:tcW w:w="1156" w:type="dxa"/>
            <w:tcBorders/>
            <w:shd w:fill="CCEEFF" w:val="clear"/>
            <w:vAlign w:val="center"/>
          </w:tcPr>
          <w:p>
            <w:pPr>
              <w:pStyle w:val="TableContents"/>
              <w:bidi w:val="0"/>
              <w:spacing w:before="0" w:after="0"/>
              <w:jc w:val="right"/>
              <w:rPr>
                <w:b/>
                <w:spacing w:val="0"/>
              </w:rPr>
            </w:pPr>
            <w:r>
              <w:rPr>
                <w:b/>
                <w:spacing w:val="0"/>
              </w:rPr>
              <w:t>(46,614</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0"/>
              <w:jc w:val="left"/>
              <w:rPr>
                <w:b/>
                <w:spacing w:val="0"/>
              </w:rPr>
            </w:pPr>
            <w:r>
              <w:rPr>
                <w:b/>
                <w:spacing w:val="0"/>
              </w:rPr>
              <w:t>$</w:t>
            </w:r>
          </w:p>
        </w:tc>
        <w:tc>
          <w:tcPr>
            <w:tcW w:w="1222"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0"/>
              <w:jc w:val="left"/>
              <w:rPr>
                <w:b/>
                <w:spacing w:val="0"/>
              </w:rPr>
            </w:pPr>
            <w:r>
              <w:rPr>
                <w:b/>
                <w:spacing w:val="0"/>
              </w:rPr>
              <w:t>$</w:t>
            </w:r>
          </w:p>
        </w:tc>
        <w:tc>
          <w:tcPr>
            <w:tcW w:w="1281" w:type="dxa"/>
            <w:tcBorders/>
            <w:shd w:fill="CCEEFF" w:val="clear"/>
            <w:vAlign w:val="center"/>
          </w:tcPr>
          <w:p>
            <w:pPr>
              <w:pStyle w:val="TableContents"/>
              <w:bidi w:val="0"/>
              <w:spacing w:before="0" w:after="0"/>
              <w:jc w:val="right"/>
              <w:rPr>
                <w:b/>
                <w:spacing w:val="0"/>
              </w:rPr>
            </w:pPr>
            <w:r>
              <w:rPr>
                <w:b/>
                <w:spacing w:val="0"/>
              </w:rPr>
              <w:t>(12,373</w:t>
            </w:r>
          </w:p>
        </w:tc>
        <w:tc>
          <w:tcPr>
            <w:tcW w:w="170" w:type="dxa"/>
            <w:tcBorders/>
            <w:shd w:fill="CCEEFF" w:val="clear"/>
            <w:vAlign w:val="center"/>
          </w:tcPr>
          <w:p>
            <w:pPr>
              <w:pStyle w:val="TableContents"/>
              <w:bidi w:val="0"/>
              <w:spacing w:before="0" w:after="0"/>
              <w:jc w:val="left"/>
              <w:rPr>
                <w:b/>
                <w:spacing w:val="0"/>
              </w:rPr>
            </w:pPr>
            <w:r>
              <w:rPr>
                <w:b/>
                <w:spacing w:val="0"/>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upon asset acquisition of assembled workforce</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warrant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42</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Exercise of common stock options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200</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(9,282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(9,282</w:t>
            </w:r>
          </w:p>
        </w:tc>
        <w:tc>
          <w:tcPr>
            <w:tcW w:w="1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34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bdr w:val="single" w:sz="2" w:space="1" w:color="000000"/>
              </w:rPr>
            </w:pPr>
            <w:r>
              <w:rPr>
                <w:bdr w:val="single" w:sz="2" w:space="1" w:color="000000"/>
              </w:rPr>
              <w:t> </w:t>
            </w:r>
          </w:p>
        </w:tc>
        <w:tc>
          <w:tcPr>
            <w:tcW w:w="12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Balance as of December 31, 2021, as previously reported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(9,282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(9,017</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Retroactive application of recapitalization (Note 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21,734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34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bdr w:val="single" w:sz="2" w:space="1" w:color="000000"/>
              </w:rPr>
            </w:pPr>
            <w:r>
              <w:rPr>
                <w:bdr w:val="single" w:sz="2" w:space="1" w:color="000000"/>
              </w:rPr>
              <w:t> </w:t>
            </w:r>
          </w:p>
        </w:tc>
        <w:tc>
          <w:tcPr>
            <w:tcW w:w="12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as of December 31, 2021</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203" w:type="dxa"/>
            <w:tcBorders/>
            <w:shd w:fill="CCEEFF" w:val="clear"/>
            <w:vAlign w:val="center"/>
          </w:tcPr>
          <w:p>
            <w:pPr>
              <w:pStyle w:val="TableContents"/>
              <w:bidi w:val="0"/>
              <w:spacing w:before="0" w:after="0"/>
              <w:jc w:val="right"/>
              <w:rPr>
                <w:spacing w:val="0"/>
              </w:rPr>
            </w:pPr>
            <w:r>
              <w:rPr>
                <w:spacing w:val="0"/>
              </w:rPr>
              <w:t>—  </w:t>
            </w:r>
          </w:p>
        </w:tc>
        <w:tc>
          <w:tcPr>
            <w:tcW w:w="158"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0"/>
              <w:jc w:val="left"/>
              <w:rPr>
                <w:b/>
                <w:spacing w:val="0"/>
              </w:rPr>
            </w:pPr>
            <w:r>
              <w:rPr>
                <w:b/>
                <w:spacing w:val="0"/>
              </w:rPr>
              <w:t>$</w:t>
            </w:r>
          </w:p>
        </w:tc>
        <w:tc>
          <w:tcPr>
            <w:tcW w:w="899" w:type="dxa"/>
            <w:tcBorders/>
            <w:shd w:fill="CCEEFF" w:val="clear"/>
            <w:vAlign w:val="center"/>
          </w:tcPr>
          <w:p>
            <w:pPr>
              <w:pStyle w:val="TableContents"/>
              <w:bidi w:val="0"/>
              <w:spacing w:before="0" w:after="0"/>
              <w:jc w:val="right"/>
              <w:rPr>
                <w:spacing w:val="0"/>
              </w:rPr>
            </w:pPr>
            <w:r>
              <w:rPr>
                <w:spacing w:val="0"/>
              </w:rPr>
              <w:t>—  </w:t>
            </w:r>
          </w:p>
        </w:tc>
        <w:tc>
          <w:tcPr>
            <w:tcW w:w="155" w:type="dxa"/>
            <w:tcBorders>
              <w:right w:val="single" w:sz="6" w:space="0" w:color="000000"/>
            </w:tcBorders>
            <w:shd w:fill="CCEEFF" w:val="clear"/>
            <w:tcMar>
              <w:right w:w="28" w:type="dxa"/>
            </w:tcM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9,806,143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spacing w:val="0"/>
              </w:rPr>
            </w:pPr>
            <w:r>
              <w:rPr>
                <w:b/>
                <w:spacing w:val="0"/>
              </w:rPr>
              <w:t>$</w:t>
            </w:r>
          </w:p>
        </w:tc>
        <w:tc>
          <w:tcPr>
            <w:tcW w:w="629" w:type="dxa"/>
            <w:tcBorders/>
            <w:shd w:fill="CCEEFF" w:val="clear"/>
            <w:vAlign w:val="center"/>
          </w:tcPr>
          <w:p>
            <w:pPr>
              <w:pStyle w:val="TableContents"/>
              <w:bidi w:val="0"/>
              <w:spacing w:before="0" w:after="0"/>
              <w:jc w:val="right"/>
              <w:rPr>
                <w:b/>
                <w:spacing w:val="0"/>
              </w:rPr>
            </w:pPr>
            <w:r>
              <w:rPr>
                <w:b/>
                <w:spacing w:val="0"/>
              </w:rPr>
              <w:t>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0"/>
              <w:jc w:val="left"/>
              <w:rPr>
                <w:b/>
                <w:spacing w:val="0"/>
              </w:rPr>
            </w:pPr>
            <w:r>
              <w:rPr>
                <w:b/>
                <w:spacing w:val="0"/>
              </w:rPr>
              <w:t>$</w:t>
            </w:r>
          </w:p>
        </w:tc>
        <w:tc>
          <w:tcPr>
            <w:tcW w:w="1345" w:type="dxa"/>
            <w:tcBorders/>
            <w:shd w:fill="CCEEFF" w:val="clear"/>
            <w:vAlign w:val="center"/>
          </w:tcPr>
          <w:p>
            <w:pPr>
              <w:pStyle w:val="TableContents"/>
              <w:bidi w:val="0"/>
              <w:spacing w:before="0" w:after="0"/>
              <w:jc w:val="right"/>
              <w:rPr>
                <w:b/>
                <w:spacing w:val="0"/>
              </w:rPr>
            </w:pPr>
            <w:r>
              <w:rPr>
                <w:b/>
                <w:spacing w:val="0"/>
              </w:rPr>
              <w:t>34,504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0"/>
              <w:jc w:val="left"/>
              <w:rPr>
                <w:b/>
                <w:spacing w:val="0"/>
              </w:rPr>
            </w:pPr>
            <w:r>
              <w:rPr>
                <w:b/>
                <w:spacing w:val="0"/>
              </w:rPr>
              <w:t>$</w:t>
            </w:r>
          </w:p>
        </w:tc>
        <w:tc>
          <w:tcPr>
            <w:tcW w:w="1156" w:type="dxa"/>
            <w:tcBorders/>
            <w:shd w:fill="CCEEFF" w:val="clear"/>
            <w:vAlign w:val="center"/>
          </w:tcPr>
          <w:p>
            <w:pPr>
              <w:pStyle w:val="TableContents"/>
              <w:bidi w:val="0"/>
              <w:spacing w:before="0" w:after="0"/>
              <w:jc w:val="right"/>
              <w:rPr>
                <w:b/>
                <w:spacing w:val="0"/>
              </w:rPr>
            </w:pPr>
            <w:r>
              <w:rPr>
                <w:b/>
                <w:spacing w:val="0"/>
              </w:rPr>
              <w:t>(55,896</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0"/>
              <w:jc w:val="left"/>
              <w:rPr>
                <w:b/>
                <w:spacing w:val="0"/>
              </w:rPr>
            </w:pPr>
            <w:r>
              <w:rPr>
                <w:b/>
                <w:spacing w:val="0"/>
              </w:rPr>
              <w:t>$</w:t>
            </w:r>
          </w:p>
        </w:tc>
        <w:tc>
          <w:tcPr>
            <w:tcW w:w="1222" w:type="dxa"/>
            <w:tcBorders/>
            <w:shd w:fill="CCEEFF" w:val="clear"/>
            <w:vAlign w:val="center"/>
          </w:tcPr>
          <w:p>
            <w:pPr>
              <w:pStyle w:val="TableContents"/>
              <w:bidi w:val="0"/>
              <w:spacing w:before="0" w:after="0"/>
              <w:jc w:val="right"/>
              <w:rPr>
                <w:spacing w:val="0"/>
              </w:rPr>
            </w:pPr>
            <w:r>
              <w:rPr>
                <w:spacing w:val="0"/>
              </w:rPr>
              <w:t> —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0"/>
              <w:jc w:val="left"/>
              <w:rPr>
                <w:b/>
                <w:spacing w:val="0"/>
              </w:rPr>
            </w:pPr>
            <w:r>
              <w:rPr>
                <w:b/>
                <w:spacing w:val="0"/>
              </w:rPr>
              <w:t>$</w:t>
            </w:r>
          </w:p>
        </w:tc>
        <w:tc>
          <w:tcPr>
            <w:tcW w:w="1281" w:type="dxa"/>
            <w:tcBorders/>
            <w:shd w:fill="CCEEFF" w:val="clear"/>
            <w:vAlign w:val="center"/>
          </w:tcPr>
          <w:p>
            <w:pPr>
              <w:pStyle w:val="TableContents"/>
              <w:bidi w:val="0"/>
              <w:spacing w:before="0" w:after="0"/>
              <w:jc w:val="right"/>
              <w:rPr>
                <w:b/>
                <w:spacing w:val="0"/>
              </w:rPr>
            </w:pPr>
            <w:r>
              <w:rPr>
                <w:b/>
                <w:spacing w:val="0"/>
              </w:rPr>
              <w:t>(21,390</w:t>
            </w:r>
          </w:p>
        </w:tc>
        <w:tc>
          <w:tcPr>
            <w:tcW w:w="170" w:type="dxa"/>
            <w:tcBorders/>
            <w:shd w:fill="CCEEFF" w:val="clear"/>
            <w:vAlign w:val="center"/>
          </w:tcPr>
          <w:p>
            <w:pPr>
              <w:pStyle w:val="TableContents"/>
              <w:bidi w:val="0"/>
              <w:spacing w:before="0" w:after="0"/>
              <w:jc w:val="left"/>
              <w:rPr>
                <w:b/>
                <w:spacing w:val="0"/>
              </w:rPr>
            </w:pPr>
            <w:r>
              <w:rPr>
                <w:b/>
                <w:spacing w:val="0"/>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Issuance of Series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D-1,</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D-2,</w:t>
            </w:r>
          </w:p>
          <w:p>
            <w:pPr>
              <w:pStyle w:val="TableContents"/>
              <w:bidi w:val="0"/>
              <w:spacing w:before="0" w:after="0"/>
              <w:jc w:val="left"/>
              <w:rPr>
                <w:rFonts w:ascii="Times New Roman" w:hAnsi="Times New Roman"/>
                <w:sz w:val="14"/>
              </w:rPr>
            </w:pPr>
            <w:r>
              <w:rPr>
                <w:rFonts w:ascii="Times New Roman" w:hAnsi="Times New Roman"/>
                <w:sz w:val="14"/>
              </w:rPr>
              <w:t xml:space="preserve">and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D-3</w:t>
            </w:r>
          </w:p>
          <w:p>
            <w:pPr>
              <w:pStyle w:val="TableContents"/>
              <w:bidi w:val="0"/>
              <w:spacing w:before="0" w:after="0"/>
              <w:jc w:val="left"/>
              <w:rPr>
                <w:rFonts w:ascii="Times New Roman" w:hAnsi="Times New Roman"/>
                <w:sz w:val="14"/>
              </w:rPr>
            </w:pPr>
            <w:r>
              <w:rPr>
                <w:rFonts w:ascii="Times New Roman" w:hAnsi="Times New Roman"/>
                <w:sz w:val="14"/>
              </w:rPr>
              <w:t>redeemable convertible preferred stock upon conversion of convertible notes and SAFEs</w:t>
            </w:r>
          </w:p>
          <w:p>
            <w:pPr>
              <w:pStyle w:val="TableContents"/>
              <w:bidi w:val="0"/>
              <w:spacing w:before="0" w:after="0"/>
              <w:jc w:val="left"/>
              <w:rPr>
                <w:rFonts w:ascii="Times New Roman" w:hAnsi="Times New Roman"/>
                <w:sz w:val="8"/>
              </w:rPr>
            </w:pPr>
            <w:r>
              <w:rPr>
                <w:rFonts w:ascii="Times New Roman" w:hAnsi="Times New Roman"/>
                <w:sz w:val="8"/>
              </w:rPr>
              <w:t>1</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2,771,551</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11,558</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Issuance of Series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D-4,</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D-5,</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D-6</w:t>
            </w:r>
          </w:p>
          <w:p>
            <w:pPr>
              <w:pStyle w:val="TableContents"/>
              <w:bidi w:val="0"/>
              <w:spacing w:before="0" w:after="0"/>
              <w:jc w:val="left"/>
              <w:rPr>
                <w:rFonts w:ascii="Times New Roman" w:hAnsi="Times New Roman"/>
                <w:sz w:val="14"/>
              </w:rPr>
            </w:pPr>
            <w:r>
              <w:rPr>
                <w:rFonts w:ascii="Times New Roman" w:hAnsi="Times New Roman"/>
                <w:sz w:val="14"/>
              </w:rPr>
              <w:t xml:space="preserve">and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D-7</w:t>
            </w:r>
          </w:p>
          <w:p>
            <w:pPr>
              <w:pStyle w:val="TableContents"/>
              <w:bidi w:val="0"/>
              <w:spacing w:before="0" w:after="0"/>
              <w:jc w:val="left"/>
              <w:rPr>
                <w:rFonts w:ascii="Times New Roman" w:hAnsi="Times New Roman"/>
                <w:sz w:val="14"/>
              </w:rPr>
            </w:pPr>
            <w:r>
              <w:rPr>
                <w:rFonts w:ascii="Times New Roman" w:hAnsi="Times New Roman"/>
                <w:sz w:val="14"/>
              </w:rPr>
              <w:t>redeemable convertible preferred stock upon acquisition</w:t>
            </w:r>
          </w:p>
          <w:p>
            <w:pPr>
              <w:pStyle w:val="TableContents"/>
              <w:bidi w:val="0"/>
              <w:spacing w:before="0" w:after="0"/>
              <w:jc w:val="left"/>
              <w:rPr>
                <w:rFonts w:ascii="Times New Roman" w:hAnsi="Times New Roman"/>
                <w:sz w:val="8"/>
              </w:rPr>
            </w:pPr>
            <w:r>
              <w:rPr>
                <w:rFonts w:ascii="Times New Roman" w:hAnsi="Times New Roman"/>
                <w:sz w:val="8"/>
              </w:rPr>
              <w:t>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6,803,550</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52,201</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Issuance of Series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D-8</w:t>
            </w:r>
          </w:p>
          <w:p>
            <w:pPr>
              <w:pStyle w:val="TableContents"/>
              <w:bidi w:val="0"/>
              <w:spacing w:before="0" w:after="0"/>
              <w:jc w:val="left"/>
              <w:rPr>
                <w:rFonts w:ascii="Times New Roman" w:hAnsi="Times New Roman"/>
                <w:sz w:val="14"/>
              </w:rPr>
            </w:pPr>
            <w:r>
              <w:rPr>
                <w:rFonts w:ascii="Times New Roman" w:hAnsi="Times New Roman"/>
                <w:sz w:val="14"/>
              </w:rPr>
              <w:t>redeemable convertible preferred stock upon conversion of SAFE</w:t>
            </w:r>
          </w:p>
          <w:p>
            <w:pPr>
              <w:pStyle w:val="TableContents"/>
              <w:bidi w:val="0"/>
              <w:spacing w:before="0" w:after="0"/>
              <w:jc w:val="left"/>
              <w:rPr>
                <w:rFonts w:ascii="Times New Roman" w:hAnsi="Times New Roman"/>
                <w:sz w:val="8"/>
              </w:rPr>
            </w:pPr>
            <w:r>
              <w:rPr>
                <w:rFonts w:ascii="Times New Roman" w:hAnsi="Times New Roman"/>
                <w:sz w:val="8"/>
              </w:rPr>
              <w:t>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8,171,662</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60,470</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in connection with business combination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2,884,550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27,295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27,295</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warrants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3,589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3,589</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Exercise of common stock options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335,496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105</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Stock-based compensation</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903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903</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(29,477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(29,477</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Foreign currency translation adjustment</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34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bdr w:val="single" w:sz="2" w:space="1" w:color="000000"/>
              </w:rPr>
            </w:pPr>
            <w:r>
              <w:rPr>
                <w:bdr w:val="single" w:sz="2" w:space="1" w:color="000000"/>
              </w:rPr>
              <w:t> </w:t>
            </w:r>
          </w:p>
        </w:tc>
        <w:tc>
          <w:tcPr>
            <w:tcW w:w="12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Balance as of December 31, 2022, as previously reported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17,746,763</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124,229</w:t>
            </w:r>
          </w:p>
        </w:tc>
        <w:tc>
          <w:tcPr>
            <w:tcW w:w="15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3,220,046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31,892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(29,477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27</w:t>
            </w:r>
          </w:p>
        </w:tc>
        <w:tc>
          <w:tcPr>
            <w:tcW w:w="17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Retroactive application of recapitalization (Note 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(17,746,763</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(124,299</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10,126,286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124,228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34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bdr w:val="single" w:sz="2" w:space="1" w:color="000000"/>
              </w:rPr>
            </w:pPr>
            <w:r>
              <w:rPr>
                <w:bdr w:val="single" w:sz="2" w:space="1" w:color="000000"/>
              </w:rPr>
              <w:t> </w:t>
            </w:r>
          </w:p>
        </w:tc>
        <w:tc>
          <w:tcPr>
            <w:tcW w:w="12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203" w:type="dxa"/>
            <w:tcBorders/>
            <w:shd w:fill="CCEEFF" w:val="clear"/>
            <w:vAlign w:val="center"/>
          </w:tcPr>
          <w:p>
            <w:pPr>
              <w:pStyle w:val="TableContents"/>
              <w:bidi w:val="0"/>
              <w:spacing w:before="0" w:after="0"/>
              <w:jc w:val="right"/>
              <w:rPr>
                <w:spacing w:val="0"/>
              </w:rPr>
            </w:pPr>
            <w:r>
              <w:rPr>
                <w:spacing w:val="0"/>
              </w:rPr>
              <w:t>—  </w:t>
            </w:r>
          </w:p>
        </w:tc>
        <w:tc>
          <w:tcPr>
            <w:tcW w:w="158"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0"/>
              <w:jc w:val="left"/>
              <w:rPr>
                <w:b/>
                <w:spacing w:val="0"/>
              </w:rPr>
            </w:pPr>
            <w:r>
              <w:rPr>
                <w:b/>
                <w:spacing w:val="0"/>
              </w:rPr>
              <w:t>$</w:t>
            </w:r>
          </w:p>
        </w:tc>
        <w:tc>
          <w:tcPr>
            <w:tcW w:w="899" w:type="dxa"/>
            <w:tcBorders/>
            <w:shd w:fill="CCEEFF" w:val="clear"/>
            <w:vAlign w:val="center"/>
          </w:tcPr>
          <w:p>
            <w:pPr>
              <w:pStyle w:val="TableContents"/>
              <w:bidi w:val="0"/>
              <w:spacing w:before="0" w:after="0"/>
              <w:jc w:val="right"/>
              <w:rPr>
                <w:spacing w:val="0"/>
              </w:rPr>
            </w:pPr>
            <w:r>
              <w:rPr>
                <w:spacing w:val="0"/>
              </w:rPr>
              <w:t>—  </w:t>
            </w:r>
          </w:p>
        </w:tc>
        <w:tc>
          <w:tcPr>
            <w:tcW w:w="155" w:type="dxa"/>
            <w:tcBorders>
              <w:right w:val="single" w:sz="6" w:space="0" w:color="000000"/>
            </w:tcBorders>
            <w:shd w:fill="CCEEFF" w:val="clear"/>
            <w:tcMar>
              <w:right w:w="28" w:type="dxa"/>
            </w:tcM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19,932,429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spacing w:val="0"/>
              </w:rPr>
            </w:pPr>
            <w:r>
              <w:rPr>
                <w:b/>
                <w:spacing w:val="0"/>
              </w:rPr>
              <w:t>$</w:t>
            </w:r>
          </w:p>
        </w:tc>
        <w:tc>
          <w:tcPr>
            <w:tcW w:w="629" w:type="dxa"/>
            <w:tcBorders/>
            <w:shd w:fill="CCEEFF" w:val="clear"/>
            <w:vAlign w:val="center"/>
          </w:tcPr>
          <w:p>
            <w:pPr>
              <w:pStyle w:val="TableContents"/>
              <w:bidi w:val="0"/>
              <w:spacing w:before="0" w:after="0"/>
              <w:jc w:val="right"/>
              <w:rPr>
                <w:b/>
                <w:spacing w:val="0"/>
              </w:rPr>
            </w:pPr>
            <w:r>
              <w:rPr>
                <w:b/>
                <w:spacing w:val="0"/>
              </w:rPr>
              <w:t>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0"/>
              <w:jc w:val="left"/>
              <w:rPr>
                <w:b/>
                <w:spacing w:val="0"/>
              </w:rPr>
            </w:pPr>
            <w:r>
              <w:rPr>
                <w:b/>
                <w:spacing w:val="0"/>
              </w:rPr>
              <w:t>$</w:t>
            </w:r>
          </w:p>
        </w:tc>
        <w:tc>
          <w:tcPr>
            <w:tcW w:w="1345" w:type="dxa"/>
            <w:tcBorders/>
            <w:shd w:fill="CCEEFF" w:val="clear"/>
            <w:vAlign w:val="center"/>
          </w:tcPr>
          <w:p>
            <w:pPr>
              <w:pStyle w:val="TableContents"/>
              <w:bidi w:val="0"/>
              <w:spacing w:before="0" w:after="0"/>
              <w:jc w:val="right"/>
              <w:rPr>
                <w:b/>
                <w:spacing w:val="0"/>
              </w:rPr>
            </w:pPr>
            <w:r>
              <w:rPr>
                <w:b/>
                <w:spacing w:val="0"/>
              </w:rPr>
              <w:t>190,624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0"/>
              <w:jc w:val="left"/>
              <w:rPr>
                <w:b/>
                <w:spacing w:val="0"/>
              </w:rPr>
            </w:pPr>
            <w:r>
              <w:rPr>
                <w:b/>
                <w:spacing w:val="0"/>
              </w:rPr>
              <w:t>$</w:t>
            </w:r>
          </w:p>
        </w:tc>
        <w:tc>
          <w:tcPr>
            <w:tcW w:w="1156" w:type="dxa"/>
            <w:tcBorders/>
            <w:shd w:fill="CCEEFF" w:val="clear"/>
            <w:vAlign w:val="center"/>
          </w:tcPr>
          <w:p>
            <w:pPr>
              <w:pStyle w:val="TableContents"/>
              <w:bidi w:val="0"/>
              <w:spacing w:before="0" w:after="0"/>
              <w:jc w:val="right"/>
              <w:rPr>
                <w:b/>
                <w:spacing w:val="0"/>
              </w:rPr>
            </w:pPr>
            <w:r>
              <w:rPr>
                <w:b/>
                <w:spacing w:val="0"/>
              </w:rPr>
              <w:t>(85,373</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0"/>
              <w:jc w:val="left"/>
              <w:rPr>
                <w:b/>
                <w:spacing w:val="0"/>
              </w:rPr>
            </w:pPr>
            <w:r>
              <w:rPr>
                <w:b/>
                <w:spacing w:val="0"/>
              </w:rPr>
              <w:t>$</w:t>
            </w:r>
          </w:p>
        </w:tc>
        <w:tc>
          <w:tcPr>
            <w:tcW w:w="1222" w:type="dxa"/>
            <w:tcBorders/>
            <w:shd w:fill="CCEEFF" w:val="clear"/>
            <w:vAlign w:val="center"/>
          </w:tcPr>
          <w:p>
            <w:pPr>
              <w:pStyle w:val="TableContents"/>
              <w:bidi w:val="0"/>
              <w:spacing w:before="0" w:after="0"/>
              <w:jc w:val="right"/>
              <w:rPr>
                <w:b/>
                <w:spacing w:val="0"/>
              </w:rPr>
            </w:pPr>
            <w:r>
              <w:rPr>
                <w:b/>
                <w:spacing w:val="0"/>
              </w:rPr>
              <w:t>27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0"/>
              <w:jc w:val="left"/>
              <w:rPr>
                <w:b/>
                <w:spacing w:val="0"/>
              </w:rPr>
            </w:pPr>
            <w:r>
              <w:rPr>
                <w:b/>
                <w:spacing w:val="0"/>
              </w:rPr>
              <w:t>$</w:t>
            </w:r>
          </w:p>
        </w:tc>
        <w:tc>
          <w:tcPr>
            <w:tcW w:w="1281" w:type="dxa"/>
            <w:tcBorders/>
            <w:shd w:fill="CCEEFF" w:val="clear"/>
            <w:vAlign w:val="center"/>
          </w:tcPr>
          <w:p>
            <w:pPr>
              <w:pStyle w:val="TableContents"/>
              <w:bidi w:val="0"/>
              <w:spacing w:before="0" w:after="0"/>
              <w:jc w:val="right"/>
              <w:rPr>
                <w:b/>
                <w:spacing w:val="0"/>
              </w:rPr>
            </w:pPr>
            <w:r>
              <w:rPr>
                <w:b/>
                <w:spacing w:val="0"/>
              </w:rPr>
              <w:t>105,281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03" w:type="dxa"/>
            <w:tcBorders/>
            <w:vAlign w:val="center"/>
          </w:tcPr>
          <w:p>
            <w:pPr>
              <w:pStyle w:val="TableContents"/>
              <w:bidi w:val="0"/>
              <w:spacing w:before="0" w:after="0"/>
              <w:jc w:val="left"/>
              <w:rPr>
                <w:bdr w:val="double" w:sz="6" w:space="1" w:color="000000"/>
              </w:rPr>
            </w:pPr>
            <w:r>
              <w:rPr>
                <w:bdr w:val="double" w:sz="6"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89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double" w:sz="6" w:space="1" w:color="000000"/>
              </w:rPr>
            </w:pPr>
            <w:r>
              <w:rPr>
                <w:bdr w:val="double" w:sz="6" w:space="1" w:color="000000"/>
              </w:rPr>
              <w:t> </w:t>
            </w:r>
          </w:p>
        </w:tc>
        <w:tc>
          <w:tcPr>
            <w:tcW w:w="134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11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bdr w:val="double" w:sz="6" w:space="1" w:color="000000"/>
              </w:rPr>
            </w:pPr>
            <w:r>
              <w:rPr>
                <w:bdr w:val="double" w:sz="6" w:space="1" w:color="000000"/>
              </w:rPr>
              <w:t> </w:t>
            </w:r>
          </w:p>
        </w:tc>
        <w:tc>
          <w:tcPr>
            <w:tcW w:w="122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2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7450" w:type="dxa"/>
        <w:jc w:val="left"/>
        <w:tblInd w:w="0" w:type="dxa"/>
        <w:tblLayout w:type="fixed"/>
        <w:tblCellMar>
          <w:top w:w="0" w:type="dxa"/>
          <w:left w:w="0" w:type="dxa"/>
          <w:bottom w:w="0" w:type="dxa"/>
          <w:right w:w="0" w:type="dxa"/>
        </w:tblCellMar>
      </w:tblPr>
      <w:tblGrid>
        <w:gridCol w:w="305"/>
        <w:gridCol w:w="7145"/>
      </w:tblGrid>
      <w:tr>
        <w:trPr/>
        <w:tc>
          <w:tcPr>
            <w:tcW w:w="305" w:type="dxa"/>
            <w:tcBorders/>
            <w:vAlign w:val="center"/>
          </w:tcPr>
          <w:p>
            <w:pPr>
              <w:pStyle w:val="TableContents"/>
              <w:bidi w:val="0"/>
              <w:spacing w:before="0" w:after="283"/>
              <w:jc w:val="left"/>
              <w:rPr/>
            </w:pPr>
            <w:r>
              <w:rPr/>
              <w:t>(1)</w:t>
            </w:r>
          </w:p>
        </w:tc>
        <w:tc>
          <w:tcPr>
            <w:tcW w:w="71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1,315,287 shares of Series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D-1</w:t>
            </w:r>
          </w:p>
          <w:p>
            <w:pPr>
              <w:pStyle w:val="TableContents"/>
              <w:bidi w:val="0"/>
              <w:spacing w:before="0" w:after="0"/>
              <w:jc w:val="left"/>
              <w:rPr>
                <w:rFonts w:ascii="Times New Roman" w:hAnsi="Times New Roman"/>
                <w:sz w:val="16"/>
              </w:rPr>
            </w:pPr>
            <w:r>
              <w:rPr>
                <w:rFonts w:ascii="Times New Roman" w:hAnsi="Times New Roman"/>
                <w:sz w:val="16"/>
              </w:rPr>
              <w:t xml:space="preserve">redeemable convertible preferred stock with a carrying value of $6.3 million, issued to related parties. </w:t>
            </w:r>
          </w:p>
        </w:tc>
      </w:tr>
    </w:tbl>
    <w:tbl>
      <w:tblPr>
        <w:tblW w:w="8455" w:type="dxa"/>
        <w:jc w:val="left"/>
        <w:tblInd w:w="0" w:type="dxa"/>
        <w:tblLayout w:type="fixed"/>
        <w:tblCellMar>
          <w:top w:w="0" w:type="dxa"/>
          <w:left w:w="0" w:type="dxa"/>
          <w:bottom w:w="0" w:type="dxa"/>
          <w:right w:w="0" w:type="dxa"/>
        </w:tblCellMar>
      </w:tblPr>
      <w:tblGrid>
        <w:gridCol w:w="305"/>
        <w:gridCol w:w="8150"/>
      </w:tblGrid>
      <w:tr>
        <w:trPr/>
        <w:tc>
          <w:tcPr>
            <w:tcW w:w="305" w:type="dxa"/>
            <w:tcBorders/>
            <w:vAlign w:val="center"/>
          </w:tcPr>
          <w:p>
            <w:pPr>
              <w:pStyle w:val="TableContents"/>
              <w:bidi w:val="0"/>
              <w:spacing w:before="0" w:after="283"/>
              <w:jc w:val="left"/>
              <w:rPr/>
            </w:pPr>
            <w:r>
              <w:rPr/>
              <w:t>(2)</w:t>
            </w:r>
          </w:p>
        </w:tc>
        <w:tc>
          <w:tcPr>
            <w:tcW w:w="81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2,007,556 shares of Series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D-4</w:t>
            </w:r>
          </w:p>
          <w:p>
            <w:pPr>
              <w:pStyle w:val="TableContents"/>
              <w:bidi w:val="0"/>
              <w:spacing w:before="0" w:after="0"/>
              <w:jc w:val="left"/>
              <w:rPr>
                <w:rFonts w:ascii="Times New Roman" w:hAnsi="Times New Roman"/>
                <w:sz w:val="16"/>
              </w:rPr>
            </w:pPr>
            <w:r>
              <w:rPr>
                <w:rFonts w:ascii="Times New Roman" w:hAnsi="Times New Roman"/>
                <w:sz w:val="16"/>
              </w:rPr>
              <w:t xml:space="preserve">redeemable convertible preferred stock with a carrying value of $14.3 million, 127,472 shares of Series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D-5</w:t>
            </w:r>
          </w:p>
          <w:p>
            <w:pPr>
              <w:pStyle w:val="TableContents"/>
              <w:bidi w:val="0"/>
              <w:spacing w:before="0" w:after="0"/>
              <w:jc w:val="left"/>
              <w:rPr>
                <w:rFonts w:ascii="Times New Roman" w:hAnsi="Times New Roman"/>
                <w:sz w:val="16"/>
              </w:rPr>
            </w:pPr>
            <w:r>
              <w:rPr>
                <w:rFonts w:ascii="Times New Roman" w:hAnsi="Times New Roman"/>
                <w:sz w:val="16"/>
              </w:rPr>
              <w:t xml:space="preserve">redeemable convertible preferred stock with a carrying value of $1.0 million, and 3,105,837 shares of Series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D-7</w:t>
            </w:r>
          </w:p>
          <w:p>
            <w:pPr>
              <w:pStyle w:val="TableContents"/>
              <w:bidi w:val="0"/>
              <w:spacing w:before="0" w:after="0"/>
              <w:jc w:val="left"/>
              <w:rPr>
                <w:rFonts w:ascii="Times New Roman" w:hAnsi="Times New Roman"/>
                <w:sz w:val="16"/>
              </w:rPr>
            </w:pPr>
            <w:r>
              <w:rPr>
                <w:rFonts w:ascii="Times New Roman" w:hAnsi="Times New Roman"/>
                <w:sz w:val="16"/>
              </w:rPr>
              <w:t xml:space="preserve">redeemable convertible preferred stock with a carrying value of $24.9 million, respectively, issued to related parties. </w:t>
            </w:r>
          </w:p>
        </w:tc>
      </w:tr>
    </w:tbl>
    <w:tbl>
      <w:tblPr>
        <w:tblW w:w="7495" w:type="dxa"/>
        <w:jc w:val="left"/>
        <w:tblInd w:w="0" w:type="dxa"/>
        <w:tblLayout w:type="fixed"/>
        <w:tblCellMar>
          <w:top w:w="0" w:type="dxa"/>
          <w:left w:w="0" w:type="dxa"/>
          <w:bottom w:w="0" w:type="dxa"/>
          <w:right w:w="0" w:type="dxa"/>
        </w:tblCellMar>
      </w:tblPr>
      <w:tblGrid>
        <w:gridCol w:w="305"/>
        <w:gridCol w:w="7190"/>
      </w:tblGrid>
      <w:tr>
        <w:trPr/>
        <w:tc>
          <w:tcPr>
            <w:tcW w:w="305" w:type="dxa"/>
            <w:tcBorders/>
            <w:vAlign w:val="center"/>
          </w:tcPr>
          <w:p>
            <w:pPr>
              <w:pStyle w:val="TableContents"/>
              <w:bidi w:val="0"/>
              <w:spacing w:before="0" w:after="283"/>
              <w:jc w:val="left"/>
              <w:rPr/>
            </w:pPr>
            <w:r>
              <w:rPr/>
              <w:t>(3)</w:t>
            </w:r>
          </w:p>
        </w:tc>
        <w:tc>
          <w:tcPr>
            <w:tcW w:w="7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4,426,320 shares of Series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D-8</w:t>
            </w:r>
          </w:p>
          <w:p>
            <w:pPr>
              <w:pStyle w:val="TableContents"/>
              <w:bidi w:val="0"/>
              <w:spacing w:before="0" w:after="0"/>
              <w:jc w:val="left"/>
              <w:rPr>
                <w:rFonts w:ascii="Times New Roman" w:hAnsi="Times New Roman"/>
                <w:sz w:val="16"/>
              </w:rPr>
            </w:pPr>
            <w:r>
              <w:rPr>
                <w:rFonts w:ascii="Times New Roman" w:hAnsi="Times New Roman"/>
                <w:sz w:val="16"/>
              </w:rPr>
              <w:t xml:space="preserve">redeemable convertible preferred stock with a carrying value of $32.8 million issued to related parties. </w:t>
            </w:r>
          </w:p>
        </w:tc>
      </w:tr>
    </w:tbl>
    <w:p>
      <w:pPr>
        <w:pStyle w:val="TextBody"/>
        <w:bidi w:val="0"/>
        <w:spacing w:before="200" w:after="0"/>
        <w:jc w:val="center"/>
        <w:rPr>
          <w:rFonts w:ascii="Times New Roman" w:hAnsi="Times New Roman"/>
          <w:sz w:val="16"/>
          <w:shd w:fill="FFFFFF" w:val="clear"/>
        </w:rPr>
      </w:pPr>
      <w:r>
        <w:rPr>
          <w:rFonts w:ascii="Times New Roman" w:hAnsi="Times New Roman"/>
          <w:sz w:val="16"/>
          <w:shd w:fill="FFFFFF" w:val="clear"/>
        </w:rPr>
        <w:t xml:space="preserve">The accompanying notes are an integral part of these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COMPLETE SOLARIA, INC.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Cash Flows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number of shares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8735" w:type="dxa"/>
        <w:jc w:val="left"/>
        <w:tblInd w:w="0" w:type="dxa"/>
        <w:tblLayout w:type="fixed"/>
        <w:tblCellMar>
          <w:top w:w="0" w:type="dxa"/>
          <w:left w:w="0" w:type="dxa"/>
          <w:bottom w:w="0" w:type="dxa"/>
          <w:right w:w="0" w:type="dxa"/>
        </w:tblCellMar>
      </w:tblPr>
      <w:tblGrid>
        <w:gridCol w:w="5450"/>
        <w:gridCol w:w="120"/>
        <w:gridCol w:w="140"/>
        <w:gridCol w:w="755"/>
        <w:gridCol w:w="155"/>
        <w:gridCol w:w="60"/>
        <w:gridCol w:w="140"/>
        <w:gridCol w:w="755"/>
        <w:gridCol w:w="155"/>
        <w:gridCol w:w="60"/>
        <w:gridCol w:w="140"/>
        <w:gridCol w:w="635"/>
        <w:gridCol w:w="170"/>
      </w:tblGrid>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(29,477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(9,282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(5,682</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Less: Net 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Net loss from continuing operations, net of tax</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(28,023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(9,282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(5,682</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rFonts w:ascii="Times New Roman" w:hAnsi="Times New Roman"/>
                <w:spacing w:val="0"/>
                <w:sz w:val="17"/>
              </w:rPr>
            </w:pPr>
            <w:r>
              <w:rPr>
                <w:rFonts w:ascii="Times New Roman" w:hAnsi="Times New Roman"/>
                <w:spacing w:val="0"/>
                <w:sz w:val="17"/>
              </w:rPr>
              <w:t>Non-cash</w:t>
            </w:r>
          </w:p>
          <w:p>
            <w:pPr>
              <w:pStyle w:val="TableContents"/>
              <w:bidi w:val="0"/>
              <w:spacing w:before="0" w:after="0"/>
              <w:jc w:val="left"/>
              <w:rPr>
                <w:rFonts w:ascii="Times New Roman" w:hAnsi="Times New Roman"/>
                <w:sz w:val="17"/>
              </w:rPr>
            </w:pPr>
            <w:r>
              <w:rPr>
                <w:rFonts w:ascii="Times New Roman" w:hAnsi="Times New Roman"/>
                <w:sz w:val="17"/>
              </w:rPr>
              <w:t>interest expense</w:t>
            </w:r>
          </w:p>
          <w:p>
            <w:pPr>
              <w:pStyle w:val="TableContents"/>
              <w:bidi w:val="0"/>
              <w:spacing w:before="0" w:after="0"/>
              <w:jc w:val="left"/>
              <w:rPr>
                <w:rFonts w:ascii="Times New Roman" w:hAnsi="Times New Roman"/>
                <w:sz w:val="11"/>
              </w:rPr>
            </w:pPr>
            <w:r>
              <w:rPr>
                <w:rFonts w:ascii="Times New Roman" w:hAnsi="Times New Roman"/>
                <w:sz w:val="11"/>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462</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Gain on extinguishment of convertible notes and SAFEs</w:t>
            </w:r>
          </w:p>
          <w:p>
            <w:pPr>
              <w:pStyle w:val="TableContents"/>
              <w:bidi w:val="0"/>
              <w:spacing w:before="0" w:after="0"/>
              <w:jc w:val="left"/>
              <w:rPr>
                <w:rFonts w:ascii="Times New Roman" w:hAnsi="Times New Roman"/>
                <w:sz w:val="11"/>
              </w:rPr>
            </w:pPr>
            <w:r>
              <w:rPr>
                <w:rFonts w:ascii="Times New Roman" w:hAnsi="Times New Roman"/>
                <w:sz w:val="11"/>
              </w:rPr>
              <w:t>(2)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Stock-based compensation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109</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Provision for doubtful accounts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337</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Change in reserve for excess and obsolete inventory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100</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298</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Change in fair value of warrant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5,211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Change in fair value of derivative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50</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Change in fair value of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15</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Forgiveness of Paycheck Protection Plan loans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pacing w:val="0"/>
                <w:sz w:val="17"/>
              </w:rPr>
            </w:pPr>
            <w:r>
              <w:rPr>
                <w:rFonts w:ascii="Times New Roman" w:hAnsi="Times New Roman"/>
                <w:spacing w:val="0"/>
                <w:sz w:val="17"/>
              </w:rPr>
              <w:t>Non-cash</w:t>
            </w:r>
          </w:p>
          <w:p>
            <w:pPr>
              <w:pStyle w:val="TableContents"/>
              <w:bidi w:val="0"/>
              <w:spacing w:before="0" w:after="0"/>
              <w:jc w:val="left"/>
              <w:rPr>
                <w:rFonts w:ascii="Times New Roman" w:hAnsi="Times New Roman"/>
                <w:sz w:val="17"/>
              </w:rPr>
            </w:pPr>
            <w:r>
              <w:rPr>
                <w:rFonts w:ascii="Times New Roman" w:hAnsi="Times New Roman"/>
                <w:sz w:val="17"/>
              </w:rPr>
              <w:t>lease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Accounts receivable,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(9,683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(4,789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(2,044</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Inventories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(1,315</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(930</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Long-term deposits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Other noncurrent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(1,062</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2,946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2,472</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 xml:space="preserve">Operating lease </w:t>
            </w:r>
          </w:p>
          <w:p>
            <w:pPr>
              <w:pStyle w:val="TableContents"/>
              <w:bidi w:val="0"/>
              <w:spacing w:before="0" w:after="0"/>
              <w:jc w:val="left"/>
              <w:rPr>
                <w:rFonts w:ascii="Times New Roman" w:hAnsi="Times New Roman"/>
                <w:spacing w:val="0"/>
                <w:sz w:val="17"/>
              </w:rPr>
            </w:pPr>
            <w:r>
              <w:rPr>
                <w:rFonts w:ascii="Times New Roman" w:hAnsi="Times New Roman"/>
                <w:spacing w:val="0"/>
                <w:sz w:val="17"/>
              </w:rPr>
              <w:t>right-of-use</w:t>
            </w:r>
          </w:p>
          <w:p>
            <w:pPr>
              <w:pStyle w:val="TableContents"/>
              <w:bidi w:val="0"/>
              <w:spacing w:before="0" w:after="0"/>
              <w:jc w:val="left"/>
              <w:rPr>
                <w:rFonts w:ascii="Times New Roman" w:hAnsi="Times New Roman"/>
                <w:sz w:val="17"/>
              </w:rPr>
            </w:pPr>
            <w:r>
              <w:rPr>
                <w:rFonts w:ascii="Times New Roman" w:hAnsi="Times New Roman"/>
                <w:sz w:val="17"/>
              </w:rPr>
              <w:t>assets and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Warranty provision, 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(484</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Deferred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1,521</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Deferred 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cash used in operating activities from continuing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(25,217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(6,189</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Net cash used in operating activities from discontinued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(6,296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(31,513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(6,189</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Cash flows from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Purchase of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 xml:space="preserve">Capitalization of </w:t>
            </w:r>
          </w:p>
          <w:p>
            <w:pPr>
              <w:pStyle w:val="TableContents"/>
              <w:bidi w:val="0"/>
              <w:spacing w:before="0" w:after="0"/>
              <w:jc w:val="left"/>
              <w:rPr>
                <w:rFonts w:ascii="Times New Roman" w:hAnsi="Times New Roman"/>
                <w:spacing w:val="0"/>
                <w:sz w:val="17"/>
              </w:rPr>
            </w:pPr>
            <w:r>
              <w:rPr>
                <w:rFonts w:ascii="Times New Roman" w:hAnsi="Times New Roman"/>
                <w:spacing w:val="0"/>
                <w:sz w:val="17"/>
              </w:rPr>
              <w:t>internal-use</w:t>
            </w:r>
          </w:p>
          <w:p>
            <w:pPr>
              <w:pStyle w:val="TableContents"/>
              <w:bidi w:val="0"/>
              <w:spacing w:before="0" w:after="0"/>
              <w:jc w:val="left"/>
              <w:rPr>
                <w:rFonts w:ascii="Times New Roman" w:hAnsi="Times New Roman"/>
                <w:sz w:val="17"/>
              </w:rPr>
            </w:pPr>
            <w:r>
              <w:rPr>
                <w:rFonts w:ascii="Times New Roman" w:hAnsi="Times New Roman"/>
                <w:sz w:val="17"/>
              </w:rPr>
              <w:t>software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(523</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Payments for acquisition of business, net of cash acquired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Net cash provided by (used in) investing activities from continuing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(584</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b/>
                <w:sz w:val="17"/>
              </w:rPr>
            </w:pPr>
            <w:r>
              <w:rPr>
                <w:rFonts w:ascii="Times New Roman" w:hAnsi="Times New Roman"/>
                <w:b/>
                <w:sz w:val="17"/>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Proceeds from exercise of common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84</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Proceeds from issuance of convertible notes, net, noncurrent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510</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Proceeds from issuance of convertible notes to related parties, net, 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8,600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3,274</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Proceeds from issuance of SAFE agreements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Proceeds from issuance of notes payable,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5,501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3,987</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 xml:space="preserve">Payments for issuance costs of Series </w:t>
            </w:r>
          </w:p>
          <w:p>
            <w:pPr>
              <w:pStyle w:val="TableContents"/>
              <w:bidi w:val="0"/>
              <w:spacing w:before="0" w:after="0"/>
              <w:jc w:val="left"/>
              <w:rPr>
                <w:rFonts w:ascii="Times New Roman" w:hAnsi="Times New Roman"/>
                <w:spacing w:val="0"/>
                <w:sz w:val="17"/>
              </w:rPr>
            </w:pPr>
            <w:r>
              <w:rPr>
                <w:rFonts w:ascii="Times New Roman" w:hAnsi="Times New Roman"/>
                <w:spacing w:val="0"/>
                <w:sz w:val="17"/>
              </w:rPr>
              <w:t>D-1,</w:t>
            </w:r>
          </w:p>
          <w:p>
            <w:pPr>
              <w:pStyle w:val="TableContents"/>
              <w:bidi w:val="0"/>
              <w:spacing w:before="0" w:after="0"/>
              <w:jc w:val="left"/>
              <w:rPr>
                <w:rFonts w:ascii="Times New Roman" w:hAnsi="Times New Roman"/>
                <w:spacing w:val="0"/>
                <w:sz w:val="17"/>
              </w:rPr>
            </w:pPr>
            <w:r>
              <w:rPr>
                <w:rFonts w:ascii="Times New Roman" w:hAnsi="Times New Roman"/>
                <w:spacing w:val="0"/>
                <w:sz w:val="17"/>
              </w:rPr>
              <w:t>D-2</w:t>
            </w:r>
          </w:p>
          <w:p>
            <w:pPr>
              <w:pStyle w:val="TableContents"/>
              <w:bidi w:val="0"/>
              <w:spacing w:before="0" w:after="0"/>
              <w:jc w:val="left"/>
              <w:rPr>
                <w:rFonts w:ascii="Times New Roman" w:hAnsi="Times New Roman"/>
                <w:sz w:val="17"/>
              </w:rPr>
            </w:pPr>
            <w:r>
              <w:rPr>
                <w:rFonts w:ascii="Times New Roman" w:hAnsi="Times New Roman"/>
                <w:sz w:val="17"/>
              </w:rPr>
              <w:t xml:space="preserve">and </w:t>
            </w:r>
          </w:p>
          <w:p>
            <w:pPr>
              <w:pStyle w:val="TableContents"/>
              <w:bidi w:val="0"/>
              <w:spacing w:before="0" w:after="0"/>
              <w:jc w:val="left"/>
              <w:rPr>
                <w:rFonts w:ascii="Times New Roman" w:hAnsi="Times New Roman"/>
                <w:spacing w:val="0"/>
                <w:sz w:val="17"/>
              </w:rPr>
            </w:pPr>
            <w:r>
              <w:rPr>
                <w:rFonts w:ascii="Times New Roman" w:hAnsi="Times New Roman"/>
                <w:spacing w:val="0"/>
                <w:sz w:val="17"/>
              </w:rPr>
              <w:t>D-3</w:t>
            </w:r>
          </w:p>
          <w:p>
            <w:pPr>
              <w:pStyle w:val="TableContents"/>
              <w:bidi w:val="0"/>
              <w:spacing w:before="0" w:after="0"/>
              <w:jc w:val="left"/>
              <w:rPr>
                <w:rFonts w:ascii="Times New Roman" w:hAnsi="Times New Roman"/>
                <w:sz w:val="17"/>
              </w:rPr>
            </w:pPr>
            <w:r>
              <w:rPr>
                <w:rFonts w:ascii="Times New Roman" w:hAnsi="Times New Roman"/>
                <w:sz w:val="17"/>
              </w:rPr>
              <w:t>redeemable convertible preferred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Proceeds from issuance of long-term debt with CS Solis, net of issuance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Principal repayment of notes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Principal repayment of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(1,500</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Repayment of convertible notes to related parties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Net cash provided by financing activities from continuing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31,191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16,895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6,355</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335"/>
        <w:gridCol w:w="120"/>
        <w:gridCol w:w="140"/>
        <w:gridCol w:w="680"/>
        <w:gridCol w:w="60"/>
        <w:gridCol w:w="120"/>
        <w:gridCol w:w="140"/>
        <w:gridCol w:w="560"/>
        <w:gridCol w:w="60"/>
        <w:gridCol w:w="120"/>
        <w:gridCol w:w="140"/>
        <w:gridCol w:w="560"/>
        <w:gridCol w:w="170"/>
      </w:tblGrid>
      <w:tr>
        <w:trPr/>
        <w:tc>
          <w:tcPr>
            <w:tcW w:w="7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170" w:type="dxa"/>
            <w:tcBorders/>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Effect of exchange rate changes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Net increase (decrease) in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4,837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(418</w:t>
            </w:r>
          </w:p>
        </w:tc>
        <w:tc>
          <w:tcPr>
            <w:tcW w:w="170" w:type="dxa"/>
            <w:tcBorders/>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Cash, cash equivalents and restricted cash at beginning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5,276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857</w:t>
            </w:r>
          </w:p>
        </w:tc>
        <w:tc>
          <w:tcPr>
            <w:tcW w:w="170" w:type="dxa"/>
            <w:tcBorders/>
            <w:shd w:fill="CCEEFF" w:val="clear"/>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Cash, cash equivalents and restricted cash at end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5,276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439</w:t>
            </w:r>
          </w:p>
        </w:tc>
        <w:tc>
          <w:tcPr>
            <w:tcW w:w="170" w:type="dxa"/>
            <w:tcBorders/>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Supplemental disclosures of cash flow information: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3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Cash paid during the year for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paid during the year for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150</w:t>
            </w:r>
          </w:p>
        </w:tc>
        <w:tc>
          <w:tcPr>
            <w:tcW w:w="170" w:type="dxa"/>
            <w:tcBorders/>
            <w:shd w:fill="CCEEFF" w:val="clear"/>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Supplemental schedule of noncash investing and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warrants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137</w:t>
            </w:r>
          </w:p>
        </w:tc>
        <w:tc>
          <w:tcPr>
            <w:tcW w:w="170" w:type="dxa"/>
            <w:tcBorders/>
            <w:shd w:fill="CCEEFF" w:val="clear"/>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Issuance of Series C redeemable convertible preferred stock upon conversion of convertible</w:t>
              <w:br/>
              <w:t>debt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1,330</w:t>
            </w:r>
          </w:p>
        </w:tc>
        <w:tc>
          <w:tcPr>
            <w:tcW w:w="170" w:type="dxa"/>
            <w:tcBorders/>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Issuance of Series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C-1</w:t>
            </w:r>
          </w:p>
          <w:p>
            <w:pPr>
              <w:pStyle w:val="TableContents"/>
              <w:bidi w:val="0"/>
              <w:spacing w:before="0" w:after="0"/>
              <w:jc w:val="left"/>
              <w:rPr>
                <w:rFonts w:ascii="Times New Roman" w:hAnsi="Times New Roman"/>
                <w:sz w:val="18"/>
              </w:rPr>
            </w:pPr>
            <w:r>
              <w:rPr>
                <w:rFonts w:ascii="Times New Roman" w:hAnsi="Times New Roman"/>
                <w:sz w:val="18"/>
              </w:rPr>
              <w:t>redeemable convertible preferred stock upon conversion of convertible debt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7,420</w:t>
            </w:r>
          </w:p>
        </w:tc>
        <w:tc>
          <w:tcPr>
            <w:tcW w:w="170" w:type="dxa"/>
            <w:tcBorders/>
            <w:shd w:fill="CCEEFF" w:val="clear"/>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Fair value of debt derivative liabilities related to issuance of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Common stock issued in asset purchase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Notes payable issued in asset purchase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Operating lease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right-of-use</w:t>
            </w:r>
          </w:p>
          <w:p>
            <w:pPr>
              <w:pStyle w:val="TableContents"/>
              <w:bidi w:val="0"/>
              <w:spacing w:before="0" w:after="0"/>
              <w:jc w:val="left"/>
              <w:rPr>
                <w:rFonts w:ascii="Times New Roman" w:hAnsi="Times New Roman"/>
                <w:sz w:val="18"/>
              </w:rPr>
            </w:pPr>
            <w:r>
              <w:rPr>
                <w:rFonts w:ascii="Times New Roman" w:hAnsi="Times New Roman"/>
                <w:sz w:val="18"/>
              </w:rPr>
              <w:t>assets obtained in exchange for new 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Issuance of Series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D-1,</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D-2</w:t>
            </w:r>
          </w:p>
          <w:p>
            <w:pPr>
              <w:pStyle w:val="TableContents"/>
              <w:bidi w:val="0"/>
              <w:spacing w:before="0" w:after="0"/>
              <w:jc w:val="left"/>
              <w:rPr>
                <w:rFonts w:ascii="Times New Roman" w:hAnsi="Times New Roman"/>
                <w:sz w:val="18"/>
              </w:rPr>
            </w:pPr>
            <w:r>
              <w:rPr>
                <w:rFonts w:ascii="Times New Roman" w:hAnsi="Times New Roman"/>
                <w:sz w:val="18"/>
              </w:rPr>
              <w:t xml:space="preserve">and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D-3</w:t>
            </w:r>
          </w:p>
          <w:p>
            <w:pPr>
              <w:pStyle w:val="TableContents"/>
              <w:bidi w:val="0"/>
              <w:spacing w:before="0" w:after="0"/>
              <w:jc w:val="left"/>
              <w:rPr>
                <w:rFonts w:ascii="Times New Roman" w:hAnsi="Times New Roman"/>
                <w:sz w:val="18"/>
              </w:rPr>
            </w:pPr>
            <w:r>
              <w:rPr>
                <w:rFonts w:ascii="Times New Roman" w:hAnsi="Times New Roman"/>
                <w:sz w:val="18"/>
              </w:rPr>
              <w:t>redeemable convertible preferred stock upon conversion of convertible debt, net of issuance costs of $1,431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Acquisition of business through issuance of common stock and stock options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27,295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Acquisition of business through issuance of Series D redeemable convertible preferred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52,201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Acquisition of business through issuance of Series D redeemable convertible preferred stock warrants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3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Issuance of Series D redeemable convertible preferred stock upon conversion of SAFE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60,470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shd w:fill="FFFFFF" w:val="clear"/>
        </w:rPr>
      </w:pPr>
      <w:r>
        <w:rPr>
          <w:bdr w:val="single" w:sz="2"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pPr>
            <w:r>
              <w:rPr/>
              <w:t>1.</w:t>
            </w:r>
          </w:p>
        </w:tc>
        <w:tc>
          <w:tcPr>
            <w:tcW w:w="9996"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Non-cash</w:t>
            </w:r>
          </w:p>
          <w:p>
            <w:pPr>
              <w:pStyle w:val="TableContents"/>
              <w:bidi w:val="0"/>
              <w:spacing w:before="0" w:after="0"/>
              <w:jc w:val="left"/>
              <w:rPr>
                <w:rFonts w:ascii="Times New Roman" w:hAnsi="Times New Roman"/>
                <w:sz w:val="18"/>
              </w:rPr>
            </w:pPr>
            <w:r>
              <w:rPr>
                <w:rFonts w:ascii="Times New Roman" w:hAnsi="Times New Roman"/>
                <w:sz w:val="18"/>
              </w:rPr>
              <w:t xml:space="preserve">interest expense to related parties of $0.3 million, $0.7 million and $0.2 million during the years ended December 31, 2022, 2021 and 2020, respectively.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Gain on extinguishment of convertible notes and SAFEs includes other income from related parties of $1.4 million, zero and zero during the years ended December 31, 2022, 2021 and 2020, respectively. </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COMPLETE SOLARIA, INC. AND SUBSIDIARIES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Notes to Financial Statements </w:t>
      </w:r>
    </w:p>
    <w:p>
      <w:pPr>
        <w:pStyle w:val="TextBody"/>
        <w:bidi w:val="0"/>
        <w:spacing w:before="0" w:after="0"/>
        <w:jc w:val="left"/>
        <w:rPr>
          <w:shd w:fill="FFFFFF" w:val="clear"/>
        </w:rPr>
      </w:pPr>
      <w:r>
        <w:rPr>
          <w:shd w:fill="FFFFFF" w:val="clear"/>
        </w:rPr>
        <w:t> </w:t>
      </w:r>
    </w:p>
    <w:tbl>
      <w:tblPr>
        <w:tblW w:w="1525" w:type="dxa"/>
        <w:jc w:val="left"/>
        <w:tblInd w:w="0" w:type="dxa"/>
        <w:tblLayout w:type="fixed"/>
        <w:tblCellMar>
          <w:top w:w="0" w:type="dxa"/>
          <w:left w:w="0" w:type="dxa"/>
          <w:bottom w:w="0" w:type="dxa"/>
          <w:right w:w="0" w:type="dxa"/>
        </w:tblCellMar>
      </w:tblPr>
      <w:tblGrid>
        <w:gridCol w:w="305"/>
        <w:gridCol w:w="1220"/>
      </w:tblGrid>
      <w:tr>
        <w:trPr/>
        <w:tc>
          <w:tcPr>
            <w:tcW w:w="305" w:type="dxa"/>
            <w:tcBorders/>
            <w:vAlign w:val="center"/>
          </w:tcPr>
          <w:p>
            <w:pPr>
              <w:pStyle w:val="TableContents"/>
              <w:bidi w:val="0"/>
              <w:spacing w:before="0" w:after="0"/>
              <w:jc w:val="left"/>
              <w:rPr>
                <w:b/>
                <w:spacing w:val="0"/>
              </w:rPr>
            </w:pPr>
            <w:bookmarkStart w:id="4" w:name="finb474289_6"/>
            <w:bookmarkEnd w:id="4"/>
            <w:r>
              <w:rPr>
                <w:b/>
                <w:spacing w:val="0"/>
              </w:rPr>
              <w:t>(1)</w:t>
            </w:r>
          </w:p>
        </w:tc>
        <w:tc>
          <w:tcPr>
            <w:tcW w:w="12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w:t>
            </w:r>
          </w:p>
        </w:tc>
      </w:tr>
    </w:tbl>
    <w:p>
      <w:pPr>
        <w:pStyle w:val="TextBody"/>
        <w:bidi w:val="0"/>
        <w:spacing w:before="0" w:after="0"/>
        <w:jc w:val="left"/>
        <w:rPr>
          <w:shd w:fill="FFFFFF" w:val="clear"/>
        </w:rPr>
      </w:pPr>
      <w:r>
        <w:rPr>
          <w:shd w:fill="FFFFFF" w:val="clear"/>
        </w:rPr>
        <w:t> </w:t>
      </w:r>
    </w:p>
    <w:tbl>
      <w:tblPr>
        <w:tblW w:w="2320" w:type="dxa"/>
        <w:jc w:val="left"/>
        <w:tblInd w:w="0" w:type="dxa"/>
        <w:tblLayout w:type="fixed"/>
        <w:tblCellMar>
          <w:top w:w="0" w:type="dxa"/>
          <w:left w:w="0" w:type="dxa"/>
          <w:bottom w:w="0" w:type="dxa"/>
          <w:right w:w="0" w:type="dxa"/>
        </w:tblCellMar>
      </w:tblPr>
      <w:tblGrid>
        <w:gridCol w:w="305"/>
        <w:gridCol w:w="2015"/>
      </w:tblGrid>
      <w:tr>
        <w:trPr/>
        <w:tc>
          <w:tcPr>
            <w:tcW w:w="305" w:type="dxa"/>
            <w:tcBorders/>
            <w:vAlign w:val="center"/>
          </w:tcPr>
          <w:p>
            <w:pPr>
              <w:pStyle w:val="TableContents"/>
              <w:bidi w:val="0"/>
              <w:spacing w:before="0" w:after="0"/>
              <w:jc w:val="left"/>
              <w:rPr>
                <w:b/>
                <w:i/>
                <w:spacing w:val="0"/>
              </w:rPr>
            </w:pPr>
            <w:r>
              <w:rPr>
                <w:b/>
                <w:i/>
                <w:spacing w:val="0"/>
              </w:rPr>
              <w:t>(a)</w:t>
            </w:r>
          </w:p>
        </w:tc>
        <w:tc>
          <w:tcPr>
            <w:tcW w:w="201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Description of Business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Complete Solaria, Inc. (the “Company” or “Complete Solaria”) is a residential solar installer headquartered in Fremont, California, which was formed through Complete Solar Holding Corporation’s acquisition of The Solaria Corporation (“Solaria).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Complete Solar, Inc. (“Complete Solar”) was incorporated in Delaware on February 22, 2010. Through February 2022, the Company operated as a single legal entity as Complete Solar, Inc.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The capitalization structure was not changed because of the Reorganization as all shares of Complete Solar, Inc common stock and preferred stock were exchanged on a one for one basis with shares of Complete Solar Holdings common stock and preferred stock. The Reorganization was accounted for as a change in reporting entity for entities under common control. The historical assets and liabilities of Complete Solar, Inc. are transferred to Complete Solar Holdings at their carrying value, and there is no change to net income, other comprehensive income, or any related per share amounts reported in the consolidated financial statements requiring retrospective application.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2022, the Company entered into a business combination agreement, as amended on December 26, 2022 and January 17, 2023 (“Original Business Combination Agreement”) and as amended on May 26, 2023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Complete Solar Holding Corporation, a Delaware corporation, and Solaria, a Delaware corporation.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transactions contemplated by the Amended and Restated Business Combination Agreement were consummated on July 18, 2023 (“Closing Date”). Following the consummation of the Merger on the Closing Date, FACT changed its name to “Complete Solaria, Inc.”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part of the transactions contemplated by the Amended and Restated Business Combination Agreement, FACT affected a deregistration under the Cayman Islands Companies Act and a domestication under Section 388 of the Delaware’s General Corporation Law (the “DGCL” or “Domestication”). On the Closing Date, following the Domestication, First Merger Sub merged with and into Complete Solaria, with Complete Solaria surviving such merger as a wholly owned subsidiary of FACT (the “First Merger”), and immediately following the First Merger, Complete Solaria merged with and into Second Merger Sub, with Second Merger Sub surviving as a wholly owned subsidiary of FACT (the “Second Merger”), and Second Merger Sub changed its name to CS, LLC, and immediately following the Second Merger, Solaria merged with and into a newly formed Delaware limited liability company and wholly-owned subsidiary of FACT and changed its name to The Solaria Corporation LLC (“Third Merger Sub”), with Third Merger Sub surviving as a wholly-owned subsidiary of FACT (the “Additional Merger”, and together with the First Merger and the Second Merger, the “Mergers”).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connection with the closing of the Mergers: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share of the Company’s capital stock, inclusive of shares converted from 2022 Convertible Notes, issued and outstanding immediately prior to the Closing (“Legacy Complete Solaria Capital Stock”) were cancelled and exchanged into an aggregate of 25,494,332 shares of Complete Solaria Common Stock.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July 2023, (i) Meteora Special Opportunity Fund I, LP (“MSOF”), Meteora Capital Partners, LP (“MCP”) and Meteora Select Trading Opportunities Master, LP (“MSTO”) (with MSOF, MCP, and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MSTO collectively as “Meteora”); (ii) Polar Multi-Strategy Master Fund (“Polar”), and (iii) Diametric True Alpha Market Neutral Master Fund, LP, Diametric True Alpha Enhanced Market Neutral Master Fund, LP, and Pinebridge Partners Master Fund, LP (collectively, “Sandia”) (together, the “FPA Funding PIPE Investors”) entered into separate subscription agreements (the “FPA Funding Amount PIPE Subscription Agreements”) pursuant to which, the FPA Funding PIPE Investors subscribed for on the Closing Date, an aggregate of 6,300,000 shares of FACT Class A Ordinary Shares, less, in the case of Meteora, 1,161,512 FACT Class A Ordinary Shares purchased by Meteora separately from third parties through a broker in the open market (“Recycled Shares”) in connection with the Forward Purchase Agreements (“FPAs”). Subsequent to the Closing Date, Complete Solaria entered into an additional FPA Funding PIPE Subscription Agreement with Meteora, to subscribe for and purchase, and Complete Solaria agreed to issue and sell, an aggregate of 420,000 shares of Complete Solaria Common Stock. The Company issued shares of Complete Solaria Common Stock underlying the FPAs as of the latter of the closing of the Mergers or execution of the FPAs.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certain investors (the “PIPE Investors”) purchased from the Company an aggregate of 1,570,000 shares of Complete Solaria Common Stock (the “PIPE Shares”) for a purchase price of $10.00 per share, for aggregate gross proceeds of $15.7 million (the “PIPE Financing”), including $3.5 million that was funded prior to the Closing Date, pursuant to subscription agreements (the “Subscription Agreements”). At the time of the PIPE Financing, Complete Solaria issued an additional 60,000 shares to certain investors as an incentive to participate in the PIPE Financing.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or around the Closing Date, pursuant to the New Money PIPE Subscription Agreements, certain investors affiliated with the New Money PIPE Subscription Agreements (“New Money PIPE Investors”) agreed to subscribe for and purchase, and Complete Solaria agreed to issue and sell to the New Money PIPE Investors an aggregate of 120,000 shares of Complete Solaria Common Stock for a purchase price of $5.00 per share, for aggregate gross proceeds of $0.6 million. Pursuant to its New Money PIPE Subscription Agreement, Complete Solaria issued an additional 60,000 shares of Complete Solaria Common Stock in consideration of certain services provided by it in the structuring of its FPA and the transactions described therein.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Subsequent to the Closing, Complete Solaria issued an additional 193,976 shares of Complete Solaria Common Stock to the sponsors for reimbursing sponsors’ transfer to certain counterparties and issued an additional 150,000 shares of Complete Solaria Common Stock to an FPA investor for services provided in connection with the Mergers.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March 2023, holders of 23,256,504 of the originally issued 34,500,000 FACT Class A Ordinary shares exercised their rights to redeem those shares for cash, and immediately prior to the Closing there were 11,243,496 FACT Class A Ordinary Shares that remained outstanding. At the Closing, holders of 7,784,739 shares of Class A common stock of FACT exercised their rights to redeem those shares for cash, for an aggregate of approximately $82.2 million which was paid to such holders at Closing. The remaining FACT Class A Ordinary Share converted, on a one-for-one basis, into one share of Complete Solaria Common Stock.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issued and outstanding FACT Class B Ordinary Share converted, on a one-for-one basis, into one share of Complete Solaria Common Stock.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2022, Complete Solar Holdings acquired Solaria (as described in Note 4 – Business Combination) and changed its name to Complete Solaria, Inc. On August 18, 2023, the Company entered into a Non-Binding Letter of Intent to sell certain of Complete Solaria’s North American solar panel assets to Maxeon, Inc. (“Maxeon”). In October 2023, the Company completed the sale of its solar panel business to Maxeon. The disposition met the criteria for held for sale and discontinued operations classification. Refer to Note 1(b) – Divestiture and Note 5 – Divestiture. </w:t>
      </w:r>
    </w:p>
    <w:p>
      <w:pPr>
        <w:pStyle w:val="TextBody"/>
        <w:bidi w:val="0"/>
        <w:spacing w:before="0" w:after="0"/>
        <w:jc w:val="left"/>
        <w:rPr>
          <w:shd w:fill="FFFFFF" w:val="clear"/>
        </w:rPr>
      </w:pPr>
      <w:r>
        <w:rPr>
          <w:shd w:fill="FFFFFF" w:val="clear"/>
        </w:rPr>
        <w:t> </w:t>
      </w:r>
    </w:p>
    <w:tbl>
      <w:tblPr>
        <w:tblW w:w="1285" w:type="dxa"/>
        <w:jc w:val="left"/>
        <w:tblInd w:w="0" w:type="dxa"/>
        <w:tblLayout w:type="fixed"/>
        <w:tblCellMar>
          <w:top w:w="0" w:type="dxa"/>
          <w:left w:w="0" w:type="dxa"/>
          <w:bottom w:w="0" w:type="dxa"/>
          <w:right w:w="0" w:type="dxa"/>
        </w:tblCellMar>
      </w:tblPr>
      <w:tblGrid>
        <w:gridCol w:w="305"/>
        <w:gridCol w:w="980"/>
      </w:tblGrid>
      <w:tr>
        <w:trPr/>
        <w:tc>
          <w:tcPr>
            <w:tcW w:w="305" w:type="dxa"/>
            <w:tcBorders/>
            <w:vAlign w:val="center"/>
          </w:tcPr>
          <w:p>
            <w:pPr>
              <w:pStyle w:val="TableContents"/>
              <w:bidi w:val="0"/>
              <w:spacing w:before="0" w:after="0"/>
              <w:jc w:val="left"/>
              <w:rPr>
                <w:b/>
                <w:i/>
                <w:spacing w:val="0"/>
              </w:rPr>
            </w:pPr>
            <w:r>
              <w:rPr>
                <w:b/>
                <w:i/>
                <w:spacing w:val="0"/>
              </w:rPr>
              <w:t>(b)</w:t>
            </w:r>
          </w:p>
        </w:tc>
        <w:tc>
          <w:tcPr>
            <w:tcW w:w="98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Divestiture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18, 2023, the Company entered into a Non-Binding Letter of Intent to sell certain of Complete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Solaria’s North American solar panel assets to Maxeon. Subsequent to the execution of the Non-Binding Letter of Intent, on September 20, 2023, the Company and Maxeon entered into an Asset Purchase Agreement (the “Disposal Agreement”) for the sale of certain assets, inclusive of certain intellectual property and customer contracts, to Maxeon. On October 6, 2023, the Company completed the sale of certain of Complete Solaria’s North American solar panel assets, inclusive of certain intellectual property and customer contracts, to Maxeon, pursuant to the terms of the Disposal Agreement. Under the terms of the Disposal Agreement, Maxeon agreed to acquire certain assets and employees of Complete Solaria, for an aggregate purchase price consisting of 1,100,000 shares of Maxeon common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This divestiture represents a strategic shift in Complete Solaria’s business and qualifies as held for sale and as a discontinued operation. As a result, the Company classified the results of its solar panel business in discontinued operations in its consolidated statements of operations and comprehensive income (loss) for all periods presented. The cash flows related to discontinued operations have been segregated and are included in the consolidated statements of cash flows for all periods presented. Unless otherwise noted, discussion within the notes to the consolidated financial statements relates to continuing operations only and excludes the historical activities of the North American panel business. See Note 5 – Divestiture for additional information. </w:t>
      </w:r>
    </w:p>
    <w:p>
      <w:pPr>
        <w:pStyle w:val="TextBody"/>
        <w:bidi w:val="0"/>
        <w:spacing w:before="0" w:after="0"/>
        <w:jc w:val="left"/>
        <w:rPr>
          <w:shd w:fill="FFFFFF" w:val="clear"/>
        </w:rPr>
      </w:pPr>
      <w:r>
        <w:rPr>
          <w:shd w:fill="FFFFFF" w:val="clear"/>
        </w:rPr>
        <w:t> </w:t>
      </w:r>
    </w:p>
    <w:tbl>
      <w:tblPr>
        <w:tblW w:w="2800" w:type="dxa"/>
        <w:jc w:val="left"/>
        <w:tblInd w:w="0" w:type="dxa"/>
        <w:tblLayout w:type="fixed"/>
        <w:tblCellMar>
          <w:top w:w="0" w:type="dxa"/>
          <w:left w:w="0" w:type="dxa"/>
          <w:bottom w:w="0" w:type="dxa"/>
          <w:right w:w="0" w:type="dxa"/>
        </w:tblCellMar>
      </w:tblPr>
      <w:tblGrid>
        <w:gridCol w:w="290"/>
        <w:gridCol w:w="2510"/>
      </w:tblGrid>
      <w:tr>
        <w:trPr/>
        <w:tc>
          <w:tcPr>
            <w:tcW w:w="290" w:type="dxa"/>
            <w:tcBorders/>
            <w:vAlign w:val="center"/>
          </w:tcPr>
          <w:p>
            <w:pPr>
              <w:pStyle w:val="TableContents"/>
              <w:bidi w:val="0"/>
              <w:spacing w:before="0" w:after="0"/>
              <w:jc w:val="left"/>
              <w:rPr>
                <w:b/>
                <w:i/>
                <w:spacing w:val="0"/>
              </w:rPr>
            </w:pPr>
            <w:r>
              <w:rPr>
                <w:b/>
                <w:i/>
                <w:spacing w:val="0"/>
              </w:rPr>
              <w:t>(c)</w:t>
            </w:r>
          </w:p>
        </w:tc>
        <w:tc>
          <w:tcPr>
            <w:tcW w:w="251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Liquidity and Going Concern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Since inception, the Company has incurred recurring losses and negative cash flows from operations. The Company incurred net losses of $29.5 million, $9.2 million and $5.6 million during the years ended December 31, 2022, 2021 and 2020, respectively, and had an accumulated deficit of $85.4 million as of December 31, 2022. The Company had cash and cash equivalents of $4.4 million as of December 31, 2022. Historically, the Company’s activities have been financed through private placements of equity securities and debt. The Company expects to incur significant operating expenses as it continues to grow its business. The Company believes that its operating losses and negative operating cash flows will continue into the foreseeable future. The Company’s history of recurring losses, negative operating cash flows since inception and the need to raise additional funding to meet its obligations and finance its operations raise substantial doubt about the Company’s ability to continue as a going concern. The Company’s ability to continue as a going concern requires that the Company obtains sufficient funding to meet its obligations and finance its operations.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Therefore, there is substantial doubt about the entity’s ability to continue as a going concern within one year after the date that the financial statements are issued. The accompanying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 </w:t>
      </w:r>
    </w:p>
    <w:p>
      <w:pPr>
        <w:pStyle w:val="TextBody"/>
        <w:bidi w:val="0"/>
        <w:spacing w:before="0" w:after="0"/>
        <w:jc w:val="left"/>
        <w:rPr>
          <w:shd w:fill="FFFFFF" w:val="clear"/>
        </w:rPr>
      </w:pPr>
      <w:r>
        <w:rPr>
          <w:shd w:fill="FFFFFF" w:val="clear"/>
        </w:rPr>
        <w:t> </w:t>
      </w:r>
    </w:p>
    <w:tbl>
      <w:tblPr>
        <w:tblW w:w="2140" w:type="dxa"/>
        <w:jc w:val="left"/>
        <w:tblInd w:w="0" w:type="dxa"/>
        <w:tblLayout w:type="fixed"/>
        <w:tblCellMar>
          <w:top w:w="0" w:type="dxa"/>
          <w:left w:w="0" w:type="dxa"/>
          <w:bottom w:w="0" w:type="dxa"/>
          <w:right w:w="0" w:type="dxa"/>
        </w:tblCellMar>
      </w:tblPr>
      <w:tblGrid>
        <w:gridCol w:w="305"/>
        <w:gridCol w:w="1835"/>
      </w:tblGrid>
      <w:tr>
        <w:trPr/>
        <w:tc>
          <w:tcPr>
            <w:tcW w:w="305" w:type="dxa"/>
            <w:tcBorders/>
            <w:vAlign w:val="center"/>
          </w:tcPr>
          <w:p>
            <w:pPr>
              <w:pStyle w:val="TableContents"/>
              <w:bidi w:val="0"/>
              <w:spacing w:before="0" w:after="0"/>
              <w:jc w:val="left"/>
              <w:rPr>
                <w:b/>
                <w:i/>
                <w:spacing w:val="0"/>
              </w:rPr>
            </w:pPr>
            <w:r>
              <w:rPr>
                <w:b/>
                <w:i/>
                <w:spacing w:val="0"/>
              </w:rPr>
              <w:t>(d)</w:t>
            </w:r>
          </w:p>
        </w:tc>
        <w:tc>
          <w:tcPr>
            <w:tcW w:w="183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Basis of Presentation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financial statements and accompanying notes have been prepared in accordance with generally accepted accounting principles in the United States of America (“U.S. GAAP”) and pursuant to the rules and regulations of the Securities and Exchange Commission (“SEC”). The consolidated financial statements include the accounts of the Company and its wholly-owned subsidiaries. All intercompany balances and transactions have been eliminated in consolidation.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4105" w:type="dxa"/>
        <w:jc w:val="left"/>
        <w:tblInd w:w="0" w:type="dxa"/>
        <w:tblLayout w:type="fixed"/>
        <w:tblCellMar>
          <w:top w:w="0" w:type="dxa"/>
          <w:left w:w="0" w:type="dxa"/>
          <w:bottom w:w="0" w:type="dxa"/>
          <w:right w:w="0" w:type="dxa"/>
        </w:tblCellMar>
      </w:tblPr>
      <w:tblGrid>
        <w:gridCol w:w="305"/>
        <w:gridCol w:w="3800"/>
      </w:tblGrid>
      <w:tr>
        <w:trPr/>
        <w:tc>
          <w:tcPr>
            <w:tcW w:w="30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0" w:after="0"/>
        <w:jc w:val="left"/>
        <w:rPr>
          <w:shd w:fill="FFFFFF" w:val="clear"/>
        </w:rPr>
      </w:pPr>
      <w:r>
        <w:rPr>
          <w:shd w:fill="FFFFFF" w:val="clear"/>
        </w:rPr>
        <w:t> </w:t>
      </w:r>
    </w:p>
    <w:tbl>
      <w:tblPr>
        <w:tblW w:w="1750" w:type="dxa"/>
        <w:jc w:val="left"/>
        <w:tblInd w:w="0" w:type="dxa"/>
        <w:tblLayout w:type="fixed"/>
        <w:tblCellMar>
          <w:top w:w="0" w:type="dxa"/>
          <w:left w:w="0" w:type="dxa"/>
          <w:bottom w:w="0" w:type="dxa"/>
          <w:right w:w="0" w:type="dxa"/>
        </w:tblCellMar>
      </w:tblPr>
      <w:tblGrid>
        <w:gridCol w:w="305"/>
        <w:gridCol w:w="1445"/>
      </w:tblGrid>
      <w:tr>
        <w:trPr/>
        <w:tc>
          <w:tcPr>
            <w:tcW w:w="305" w:type="dxa"/>
            <w:tcBorders/>
            <w:vAlign w:val="center"/>
          </w:tcPr>
          <w:p>
            <w:pPr>
              <w:pStyle w:val="TableContents"/>
              <w:bidi w:val="0"/>
              <w:spacing w:before="0" w:after="0"/>
              <w:jc w:val="left"/>
              <w:rPr>
                <w:b/>
                <w:i/>
                <w:spacing w:val="0"/>
              </w:rPr>
            </w:pPr>
            <w:r>
              <w:rPr>
                <w:b/>
                <w:i/>
                <w:spacing w:val="0"/>
              </w:rPr>
              <w:t>(a)</w:t>
            </w:r>
          </w:p>
        </w:tc>
        <w:tc>
          <w:tcPr>
            <w:tcW w:w="144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Use of Estimates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preparation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of the Company’s financial statements in conformity with U.S. GAAP requires management to make estimates and assumptions that affect the reported amounts of assets, liabilities, revenue, expenses, as well as related disclosure of contingent assets and liabilities. Significant estimates and assumptions made by management include, but are not limited to, the determination of: </w:t>
      </w:r>
    </w:p>
    <w:p>
      <w:pPr>
        <w:pStyle w:val="TextBody"/>
        <w:bidi w:val="0"/>
        <w:spacing w:before="0" w:after="0"/>
        <w:jc w:val="left"/>
        <w:rPr>
          <w:shd w:fill="FFFFFF" w:val="clear"/>
        </w:rPr>
      </w:pPr>
      <w:r>
        <w:rPr>
          <w:shd w:fill="FFFFFF" w:val="clea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allocation of the transaction price to identified performance obligations; </w:t>
            </w:r>
          </w:p>
        </w:tc>
      </w:tr>
    </w:tbl>
    <w:p>
      <w:pPr>
        <w:pStyle w:val="TextBody"/>
        <w:bidi w:val="0"/>
        <w:spacing w:before="0" w:after="0"/>
        <w:jc w:val="left"/>
        <w:rPr>
          <w:shd w:fill="FFFFFF" w:val="clear"/>
        </w:rPr>
      </w:pPr>
      <w:r>
        <w:rPr>
          <w:shd w:fill="FFFFFF" w:val="clear"/>
        </w:rPr>
        <w:t> </w:t>
      </w:r>
    </w:p>
    <w:tbl>
      <w:tblPr>
        <w:tblW w:w="2875" w:type="dxa"/>
        <w:jc w:val="left"/>
        <w:tblInd w:w="0" w:type="dxa"/>
        <w:tblLayout w:type="fixed"/>
        <w:tblCellMar>
          <w:top w:w="0" w:type="dxa"/>
          <w:left w:w="0" w:type="dxa"/>
          <w:bottom w:w="0" w:type="dxa"/>
          <w:right w:w="0" w:type="dxa"/>
        </w:tblCellMar>
      </w:tblPr>
      <w:tblGrid>
        <w:gridCol w:w="75"/>
        <w:gridCol w:w="110"/>
        <w:gridCol w:w="60"/>
        <w:gridCol w:w="2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 value of warrant liabilities; </w:t>
            </w:r>
          </w:p>
        </w:tc>
      </w:tr>
    </w:tbl>
    <w:p>
      <w:pPr>
        <w:pStyle w:val="TextBody"/>
        <w:bidi w:val="0"/>
        <w:spacing w:before="0" w:after="0"/>
        <w:jc w:val="left"/>
        <w:rPr>
          <w:shd w:fill="FFFFFF" w:val="clear"/>
        </w:rPr>
      </w:pPr>
      <w:r>
        <w:rPr>
          <w:shd w:fill="FFFFFF" w:val="clear"/>
        </w:rPr>
        <w:t> </w:t>
      </w:r>
    </w:p>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of assets acquired and liabilities assumed for business combination; </w:t>
            </w:r>
          </w:p>
        </w:tc>
      </w:tr>
    </w:tbl>
    <w:p>
      <w:pPr>
        <w:pStyle w:val="TextBody"/>
        <w:bidi w:val="0"/>
        <w:spacing w:before="0" w:after="0"/>
        <w:jc w:val="left"/>
        <w:rPr>
          <w:shd w:fill="FFFFFF" w:val="clear"/>
        </w:rPr>
      </w:pPr>
      <w:r>
        <w:rPr>
          <w:shd w:fill="FFFFFF" w:val="clea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reserve methodology for inventory obsolescence; </w:t>
            </w:r>
          </w:p>
        </w:tc>
      </w:tr>
    </w:tbl>
    <w:p>
      <w:pPr>
        <w:pStyle w:val="TextBody"/>
        <w:bidi w:val="0"/>
        <w:spacing w:before="0" w:after="0"/>
        <w:jc w:val="left"/>
        <w:rPr>
          <w:shd w:fill="FFFFFF" w:val="clear"/>
        </w:rPr>
      </w:pPr>
      <w:r>
        <w:rPr>
          <w:shd w:fill="FFFFFF" w:val="clea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reserve methodology for product warranty;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To the extent that there are material differences between these estimates and actual results, the Company’s financial condition or operating results will be affected. The Company bases its estimates on past experience and other assumptions that the Company believes are reasonable under the circumstances, and the Company evaluates these estimates on an ongoing basis. The Company has assessed the impact and are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 </w:t>
      </w:r>
    </w:p>
    <w:p>
      <w:pPr>
        <w:pStyle w:val="TextBody"/>
        <w:bidi w:val="0"/>
        <w:spacing w:before="0" w:after="0"/>
        <w:jc w:val="left"/>
        <w:rPr>
          <w:shd w:fill="FFFFFF" w:val="clear"/>
        </w:rPr>
      </w:pPr>
      <w:r>
        <w:rPr>
          <w:shd w:fill="FFFFFF" w:val="clear"/>
        </w:rPr>
        <w:t> </w:t>
      </w:r>
    </w:p>
    <w:tbl>
      <w:tblPr>
        <w:tblW w:w="3355" w:type="dxa"/>
        <w:jc w:val="left"/>
        <w:tblInd w:w="0" w:type="dxa"/>
        <w:tblLayout w:type="fixed"/>
        <w:tblCellMar>
          <w:top w:w="0" w:type="dxa"/>
          <w:left w:w="0" w:type="dxa"/>
          <w:bottom w:w="0" w:type="dxa"/>
          <w:right w:w="0" w:type="dxa"/>
        </w:tblCellMar>
      </w:tblPr>
      <w:tblGrid>
        <w:gridCol w:w="305"/>
        <w:gridCol w:w="3050"/>
      </w:tblGrid>
      <w:tr>
        <w:trPr/>
        <w:tc>
          <w:tcPr>
            <w:tcW w:w="305" w:type="dxa"/>
            <w:tcBorders/>
            <w:vAlign w:val="center"/>
          </w:tcPr>
          <w:p>
            <w:pPr>
              <w:pStyle w:val="TableContents"/>
              <w:bidi w:val="0"/>
              <w:spacing w:before="0" w:after="0"/>
              <w:jc w:val="left"/>
              <w:rPr>
                <w:b/>
                <w:i/>
                <w:spacing w:val="0"/>
              </w:rPr>
            </w:pPr>
            <w:r>
              <w:rPr>
                <w:b/>
                <w:i/>
                <w:spacing w:val="0"/>
              </w:rPr>
              <w:t>(b)</w:t>
            </w:r>
          </w:p>
        </w:tc>
        <w:tc>
          <w:tcPr>
            <w:tcW w:w="305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Supply Chain Constraints and Risk; </w:t>
            </w:r>
          </w:p>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COVID-19</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relies on a very small number of suppliers of solar energy systems and other equipment. If any of Company’s suppliers was unable or unwilling to provide the Company with contracted quantities in a timely manner at prices, quality levels and volumes acceptable to the Company, the Company would have very limited alternatives for supply, and the Company may not be able find suitable replacements for the Company’s customers, or at all. Such an event could materially adversely affect the Company’s business, prospects, financial condition and results of operations.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ongoing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COVID-19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pandemic has resulted and may continue to result in widespread adverse effects on the global and U.S. economies. Ongoing government and business responses to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COVID-19,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along with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COVID-19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variants and the resurgence of related disruptions, could have a continued material adverse impact on economic and market conditions and trigger a period of continued global and U.S. economic slowdown.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addition, the global supply chain and the Company’s industry have experienced significant disruptions in recent periods. The Company have seen supply chain challenges and logistics constraints increase, including shortages of panels, inverters, batteries and associated component parts for inverters and solar energy systems available for purchase. In certain cases, this has caused delays in critical equipment and inventory, longer lead times, and has resulted in cost volatility. These shortages and delays can be attributed in part to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COVID-19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pandemic and resulting government action, broader macroeconomic conditions, and have been exacerbated by the ongoing conflict in Russia and Ukraine. While the Company believes that a majority of the Company’s suppliers have secured sufficient supply to permit them to continue delivery and installations through the end of 2023, if these shortages and delays persist into 2024, they could adversely affect the timing of when battery energy storage systems can be delivered and installed, and when (or if) the Company can begin to generate revenue from those systems. In addition, the Company has experienced and is experiencing varying levels of volatility in costs of equipment and labor resulting in part from disruptions caused by general global economic conditions, including inflationary pressures and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COVID-19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pandemic.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cannot predict the full effects these events will have on the Company’s business, cash flows, liquidity, financial condition and results of operations at this time due to numerous uncertainties. In the event the Company is unable to mitigate the impact of delays or price volatility in solar energy systems, raw materials, and freight, it could materially adversely affect the Company’s business, prospects, financial condition and results of operations. For additional information on risk factors that could impact the Company’s results, please refer to “Risk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Factors</w:t>
      </w:r>
    </w:p>
    <w:p>
      <w:pPr>
        <w:pStyle w:val="TextBody"/>
        <w:bidi w:val="0"/>
        <w:spacing w:before="0" w:after="0"/>
        <w:jc w:val="left"/>
        <w:rPr>
          <w:shd w:fill="FFFFFF" w:val="clear"/>
        </w:rPr>
      </w:pPr>
      <w:r>
        <w:rPr>
          <w:shd w:fill="FFFFFF" w:val="clear"/>
        </w:rPr>
        <w:t xml:space="preserve">” </w:t>
      </w:r>
      <w:r>
        <w:rPr>
          <w:rFonts w:ascii="Times New Roman" w:hAnsi="Times New Roman"/>
          <w:sz w:val="20"/>
          <w:shd w:fill="FFFFFF" w:val="clear"/>
        </w:rPr>
        <w:t xml:space="preserve">located elsewhere in this prospectus. </w:t>
      </w:r>
    </w:p>
    <w:p>
      <w:pPr>
        <w:pStyle w:val="TextBody"/>
        <w:bidi w:val="0"/>
        <w:spacing w:before="0" w:after="0"/>
        <w:jc w:val="left"/>
        <w:rPr>
          <w:shd w:fill="FFFFFF" w:val="clear"/>
        </w:rPr>
      </w:pPr>
      <w:r>
        <w:rPr>
          <w:shd w:fill="FFFFFF" w:val="clear"/>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0"/>
              <w:jc w:val="left"/>
              <w:rPr>
                <w:b/>
                <w:i/>
                <w:spacing w:val="0"/>
              </w:rPr>
            </w:pPr>
            <w:r>
              <w:rPr>
                <w:b/>
                <w:i/>
                <w:spacing w:val="0"/>
              </w:rPr>
              <w:t>(c)</w:t>
            </w:r>
          </w:p>
        </w:tc>
        <w:tc>
          <w:tcPr>
            <w:tcW w:w="183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Segment Information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conducts its business in one operating segment that provides custom solar solutions through a standardized platform to its residential solar providers and companies to facilitate the sale and installation of solar energy systems under a single product group. The Company’s Chief Executive Officer (“CEO”) is the Chief Operating Decision Maker (“CODM”). The CODM allocates resources and makes operating decisions based on financial information presented on a consolidated basis. The profitability of the Company’s product group is not a determining factor in allocating resources and the CODM does not evaluate profitability below the level of the consolidated company. All the Company’s long-lived assets are maintained in the United States of America. Disaggregated revenue by primary geographical market for the Company’s single segment is included in the discussion of revenue recognition within this Note 2, below. </w:t>
      </w:r>
    </w:p>
    <w:p>
      <w:pPr>
        <w:pStyle w:val="TextBody"/>
        <w:bidi w:val="0"/>
        <w:spacing w:before="0" w:after="0"/>
        <w:jc w:val="left"/>
        <w:rPr>
          <w:shd w:fill="FFFFFF" w:val="clear"/>
        </w:rPr>
      </w:pPr>
      <w:r>
        <w:rPr>
          <w:shd w:fill="FFFFFF" w:val="clear"/>
        </w:rPr>
        <w:t> </w:t>
      </w:r>
    </w:p>
    <w:tbl>
      <w:tblPr>
        <w:tblW w:w="2290" w:type="dxa"/>
        <w:jc w:val="left"/>
        <w:tblInd w:w="0" w:type="dxa"/>
        <w:tblLayout w:type="fixed"/>
        <w:tblCellMar>
          <w:top w:w="0" w:type="dxa"/>
          <w:left w:w="0" w:type="dxa"/>
          <w:bottom w:w="0" w:type="dxa"/>
          <w:right w:w="0" w:type="dxa"/>
        </w:tblCellMar>
      </w:tblPr>
      <w:tblGrid>
        <w:gridCol w:w="305"/>
        <w:gridCol w:w="1985"/>
      </w:tblGrid>
      <w:tr>
        <w:trPr/>
        <w:tc>
          <w:tcPr>
            <w:tcW w:w="305" w:type="dxa"/>
            <w:tcBorders/>
            <w:vAlign w:val="center"/>
          </w:tcPr>
          <w:p>
            <w:pPr>
              <w:pStyle w:val="TableContents"/>
              <w:bidi w:val="0"/>
              <w:spacing w:before="0" w:after="0"/>
              <w:jc w:val="left"/>
              <w:rPr>
                <w:b/>
                <w:i/>
                <w:spacing w:val="0"/>
              </w:rPr>
            </w:pPr>
            <w:r>
              <w:rPr>
                <w:b/>
                <w:i/>
                <w:spacing w:val="0"/>
              </w:rPr>
              <w:t>(d)</w:t>
            </w:r>
          </w:p>
        </w:tc>
        <w:tc>
          <w:tcPr>
            <w:tcW w:w="198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Concentration of Risks </w:t>
            </w:r>
          </w:p>
        </w:tc>
      </w:tr>
    </w:tbl>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Concentration of credit risk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Financial instruments that potentially subject the Company to concentrations of credit risk consist primarily of cash and cash equivalents and accounts receivable.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 The Company reviews accounts receivable balances to determine if any receivables will potentially be uncollectible and includes any amounts that are determined to be uncollectible in the allowance for doubtful accounts. As of December 31, 2022, three single customers had outstanding balances that represented 27%, 18%, and 14%, respectively, of the total accounts receivable balance, compared to December 31, 2021, as a single customer had an outstanding balance that represented 50%, of the total accounts receivable balance.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Concentration of customers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defines major customers as those customers who generate revenues that exceed 10% of the Company’s annual net revenues. For the years ended December 31, 2022, 2021 and 2020, one customer represented 47%, 63% and 81% of gross revenues, respectively.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Concentration of suppliers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three suppliers represented 74% of the Company’s inventory purchases. For the year ended December 31, 2021, four supplier represented 87% of the Company’s inventory purchases. For the year ended December 31, 2020, two suppliers represented 89% of the Company’s inventory purchases. </w:t>
      </w:r>
    </w:p>
    <w:p>
      <w:pPr>
        <w:pStyle w:val="TextBody"/>
        <w:bidi w:val="0"/>
        <w:spacing w:before="0" w:after="0"/>
        <w:jc w:val="left"/>
        <w:rPr>
          <w:shd w:fill="FFFFFF" w:val="clear"/>
        </w:rPr>
      </w:pPr>
      <w:r>
        <w:rPr>
          <w:shd w:fill="FFFFFF" w:val="clear"/>
        </w:rPr>
        <w:t> </w:t>
      </w:r>
    </w:p>
    <w:tbl>
      <w:tblPr>
        <w:tblW w:w="2650" w:type="dxa"/>
        <w:jc w:val="left"/>
        <w:tblInd w:w="0" w:type="dxa"/>
        <w:tblLayout w:type="fixed"/>
        <w:tblCellMar>
          <w:top w:w="0" w:type="dxa"/>
          <w:left w:w="0" w:type="dxa"/>
          <w:bottom w:w="0" w:type="dxa"/>
          <w:right w:w="0" w:type="dxa"/>
        </w:tblCellMar>
      </w:tblPr>
      <w:tblGrid>
        <w:gridCol w:w="290"/>
        <w:gridCol w:w="2360"/>
      </w:tblGrid>
      <w:tr>
        <w:trPr/>
        <w:tc>
          <w:tcPr>
            <w:tcW w:w="290" w:type="dxa"/>
            <w:tcBorders/>
            <w:vAlign w:val="center"/>
          </w:tcPr>
          <w:p>
            <w:pPr>
              <w:pStyle w:val="TableContents"/>
              <w:bidi w:val="0"/>
              <w:spacing w:before="0" w:after="0"/>
              <w:jc w:val="left"/>
              <w:rPr>
                <w:b/>
                <w:i/>
                <w:spacing w:val="0"/>
              </w:rPr>
            </w:pPr>
            <w:r>
              <w:rPr>
                <w:b/>
                <w:i/>
                <w:spacing w:val="0"/>
              </w:rPr>
              <w:t>(e)</w:t>
            </w:r>
          </w:p>
        </w:tc>
        <w:tc>
          <w:tcPr>
            <w:tcW w:w="236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Cash and Cash Equivalents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The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Company considers all highly liquid securities that mature within three months or less from the original date of purchase to be cash equivalents. The Company maintains the majority of its cash balances with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commercial banks in interest bearing accounts. Cash and cash equivalents include cash held in checking and savings accounts and money market accounts consisting of highly liquid securities with original maturity dates of three months or less from the original date of purchase. </w:t>
      </w:r>
    </w:p>
    <w:p>
      <w:pPr>
        <w:pStyle w:val="TextBody"/>
        <w:bidi w:val="0"/>
        <w:spacing w:before="0" w:after="0"/>
        <w:jc w:val="left"/>
        <w:rPr>
          <w:shd w:fill="FFFFFF" w:val="clear"/>
        </w:rPr>
      </w:pPr>
      <w:r>
        <w:rPr>
          <w:shd w:fill="FFFFFF" w:val="clear"/>
        </w:rPr>
        <w:t> </w:t>
      </w:r>
    </w:p>
    <w:tbl>
      <w:tblPr>
        <w:tblW w:w="1645" w:type="dxa"/>
        <w:jc w:val="left"/>
        <w:tblInd w:w="0" w:type="dxa"/>
        <w:tblLayout w:type="fixed"/>
        <w:tblCellMar>
          <w:top w:w="0" w:type="dxa"/>
          <w:left w:w="0" w:type="dxa"/>
          <w:bottom w:w="0" w:type="dxa"/>
          <w:right w:w="0" w:type="dxa"/>
        </w:tblCellMar>
      </w:tblPr>
      <w:tblGrid>
        <w:gridCol w:w="260"/>
        <w:gridCol w:w="1385"/>
      </w:tblGrid>
      <w:tr>
        <w:trPr/>
        <w:tc>
          <w:tcPr>
            <w:tcW w:w="260" w:type="dxa"/>
            <w:tcBorders/>
            <w:vAlign w:val="center"/>
          </w:tcPr>
          <w:p>
            <w:pPr>
              <w:pStyle w:val="TableContents"/>
              <w:bidi w:val="0"/>
              <w:spacing w:before="0" w:after="0"/>
              <w:jc w:val="left"/>
              <w:rPr>
                <w:b/>
                <w:i/>
                <w:spacing w:val="0"/>
              </w:rPr>
            </w:pPr>
            <w:r>
              <w:rPr>
                <w:b/>
                <w:i/>
                <w:spacing w:val="0"/>
              </w:rPr>
              <w:t>(f)</w:t>
            </w:r>
          </w:p>
        </w:tc>
        <w:tc>
          <w:tcPr>
            <w:tcW w:w="138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Restricted Cash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classifies all cash for which usage is limited by contractual provisions as restricted cash. Restricted cash balance as of December 31, 2022 and 2021, was $3.9 million, and zero, respectively. The restricted cash consists of deposits in money market accounts, which is used as cash collateral backing letters of credit related to customs duty authorities’ requirements. The Company has presented these balances under restricted cash, as a long term asset, in the consolidated balance sheets.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Total cash, cash equivalents and restricted cash is presented in the table below (in thousands): </w:t>
      </w:r>
    </w:p>
    <w:p>
      <w:pPr>
        <w:pStyle w:val="TextBody"/>
        <w:bidi w:val="0"/>
        <w:spacing w:before="0" w:after="0"/>
        <w:jc w:val="left"/>
        <w:rPr>
          <w:shd w:fill="FFFFFF" w:val="clear"/>
        </w:rPr>
      </w:pPr>
      <w:r>
        <w:rPr>
          <w:shd w:fill="FFFFFF" w:val="clear"/>
        </w:rPr>
        <w:t> </w:t>
      </w:r>
    </w:p>
    <w:tbl>
      <w:tblPr>
        <w:tblW w:w="6051" w:type="dxa"/>
        <w:jc w:val="left"/>
        <w:tblInd w:w="0" w:type="dxa"/>
        <w:tblLayout w:type="fixed"/>
        <w:tblCellMar>
          <w:top w:w="0" w:type="dxa"/>
          <w:left w:w="0" w:type="dxa"/>
          <w:bottom w:w="0" w:type="dxa"/>
          <w:right w:w="0" w:type="dxa"/>
        </w:tblCellMar>
      </w:tblPr>
      <w:tblGrid>
        <w:gridCol w:w="3860"/>
        <w:gridCol w:w="120"/>
        <w:gridCol w:w="177"/>
        <w:gridCol w:w="708"/>
        <w:gridCol w:w="75"/>
        <w:gridCol w:w="151"/>
        <w:gridCol w:w="177"/>
        <w:gridCol w:w="708"/>
        <w:gridCol w:w="75"/>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4,409</w:t>
            </w:r>
          </w:p>
        </w:tc>
        <w:tc>
          <w:tcPr>
            <w:tcW w:w="7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5,276</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3,907</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70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70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8,316</w:t>
            </w:r>
          </w:p>
        </w:tc>
        <w:tc>
          <w:tcPr>
            <w:tcW w:w="7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5,276</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70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70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2485" w:type="dxa"/>
        <w:jc w:val="left"/>
        <w:tblInd w:w="0" w:type="dxa"/>
        <w:tblLayout w:type="fixed"/>
        <w:tblCellMar>
          <w:top w:w="0" w:type="dxa"/>
          <w:left w:w="0" w:type="dxa"/>
          <w:bottom w:w="0" w:type="dxa"/>
          <w:right w:w="0" w:type="dxa"/>
        </w:tblCellMar>
      </w:tblPr>
      <w:tblGrid>
        <w:gridCol w:w="305"/>
        <w:gridCol w:w="2180"/>
      </w:tblGrid>
      <w:tr>
        <w:trPr/>
        <w:tc>
          <w:tcPr>
            <w:tcW w:w="305" w:type="dxa"/>
            <w:tcBorders/>
            <w:vAlign w:val="center"/>
          </w:tcPr>
          <w:p>
            <w:pPr>
              <w:pStyle w:val="TableContents"/>
              <w:bidi w:val="0"/>
              <w:spacing w:before="0" w:after="0"/>
              <w:jc w:val="left"/>
              <w:rPr>
                <w:b/>
                <w:i/>
                <w:spacing w:val="0"/>
              </w:rPr>
            </w:pPr>
            <w:r>
              <w:rPr>
                <w:b/>
                <w:i/>
                <w:spacing w:val="0"/>
              </w:rPr>
              <w:t>(g)</w:t>
            </w:r>
          </w:p>
        </w:tc>
        <w:tc>
          <w:tcPr>
            <w:tcW w:w="218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Accounts Receivable, Net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Accounts receivable are recorded at the invoiced amount and do not bear interest. The Company maintains an allowance for doubtful accounts for estimated losses inherent in its accounts receivable portfolio. In establishing the required allowance, management considers historical losses adjusted to take into account current market conditions and customers’ financial condition, the amount of receivables in dispute, the current receivables aging and customer payment patterns. Account balances are written off against the allowance after all means of collection have been exhausted and the potential for recovery is considered remote. Recoveries of accounts receivable previously written off are recorded when received.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allowance for doubtful accounts as of December 31, 2022, 2021, and 2020 (in thousands): </w:t>
      </w:r>
    </w:p>
    <w:p>
      <w:pPr>
        <w:pStyle w:val="TextBody"/>
        <w:bidi w:val="0"/>
        <w:spacing w:before="0" w:after="0"/>
        <w:jc w:val="left"/>
        <w:rPr>
          <w:shd w:fill="FFFFFF" w:val="clear"/>
        </w:rPr>
      </w:pPr>
      <w:r>
        <w:rPr>
          <w:shd w:fill="FFFFFF" w:val="clear"/>
        </w:rPr>
        <w:t> </w:t>
      </w:r>
    </w:p>
    <w:tbl>
      <w:tblPr>
        <w:tblW w:w="7565" w:type="dxa"/>
        <w:jc w:val="left"/>
        <w:tblInd w:w="0" w:type="dxa"/>
        <w:tblLayout w:type="fixed"/>
        <w:tblCellMar>
          <w:top w:w="0" w:type="dxa"/>
          <w:left w:w="0" w:type="dxa"/>
          <w:bottom w:w="0" w:type="dxa"/>
          <w:right w:w="0" w:type="dxa"/>
        </w:tblCellMar>
      </w:tblPr>
      <w:tblGrid>
        <w:gridCol w:w="4400"/>
        <w:gridCol w:w="120"/>
        <w:gridCol w:w="140"/>
        <w:gridCol w:w="635"/>
        <w:gridCol w:w="155"/>
        <w:gridCol w:w="120"/>
        <w:gridCol w:w="140"/>
        <w:gridCol w:w="635"/>
        <w:gridCol w:w="155"/>
        <w:gridCol w:w="120"/>
        <w:gridCol w:w="140"/>
        <w:gridCol w:w="635"/>
        <w:gridCol w:w="170"/>
      </w:tblGrid>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17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beginning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(2,569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(2,288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(1,965</w:t>
            </w:r>
          </w:p>
        </w:tc>
        <w:tc>
          <w:tcPr>
            <w:tcW w:w="17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charged to earnings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(2,243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(337</w:t>
            </w:r>
          </w:p>
        </w:tc>
        <w:tc>
          <w:tcPr>
            <w:tcW w:w="17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written off, recoveries and other adjustments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end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(4,812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(2,569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(2,288</w:t>
            </w:r>
          </w:p>
        </w:tc>
        <w:tc>
          <w:tcPr>
            <w:tcW w:w="17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does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have any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off-balance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sheet credit exposure related to its customers. </w:t>
      </w:r>
    </w:p>
    <w:p>
      <w:pPr>
        <w:pStyle w:val="TextBody"/>
        <w:bidi w:val="0"/>
        <w:spacing w:before="0" w:after="0"/>
        <w:jc w:val="left"/>
        <w:rPr>
          <w:shd w:fill="FFFFFF" w:val="clear"/>
        </w:rPr>
      </w:pPr>
      <w:r>
        <w:rPr>
          <w:shd w:fill="FFFFFF" w:val="clear"/>
        </w:rPr>
        <w:t> </w:t>
      </w:r>
    </w:p>
    <w:tbl>
      <w:tblPr>
        <w:tblW w:w="1330" w:type="dxa"/>
        <w:jc w:val="left"/>
        <w:tblInd w:w="0" w:type="dxa"/>
        <w:tblLayout w:type="fixed"/>
        <w:tblCellMar>
          <w:top w:w="0" w:type="dxa"/>
          <w:left w:w="0" w:type="dxa"/>
          <w:bottom w:w="0" w:type="dxa"/>
          <w:right w:w="0" w:type="dxa"/>
        </w:tblCellMar>
      </w:tblPr>
      <w:tblGrid>
        <w:gridCol w:w="320"/>
        <w:gridCol w:w="1010"/>
      </w:tblGrid>
      <w:tr>
        <w:trPr/>
        <w:tc>
          <w:tcPr>
            <w:tcW w:w="320" w:type="dxa"/>
            <w:tcBorders/>
            <w:vAlign w:val="center"/>
          </w:tcPr>
          <w:p>
            <w:pPr>
              <w:pStyle w:val="TableContents"/>
              <w:bidi w:val="0"/>
              <w:spacing w:before="0" w:after="0"/>
              <w:jc w:val="left"/>
              <w:rPr>
                <w:b/>
                <w:i/>
                <w:spacing w:val="0"/>
              </w:rPr>
            </w:pPr>
            <w:r>
              <w:rPr>
                <w:b/>
                <w:i/>
                <w:spacing w:val="0"/>
              </w:rPr>
              <w:t>(h)</w:t>
            </w:r>
          </w:p>
        </w:tc>
        <w:tc>
          <w:tcPr>
            <w:tcW w:w="101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Inventories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Inventories consists of solar panels and the components of solar energy systems which the Company classifies as finished goods. Costs are computed under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to state inventory at the lower of cost or net realizable value.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0"/>
              <w:jc w:val="left"/>
              <w:rPr>
                <w:b/>
                <w:i/>
                <w:spacing w:val="0"/>
              </w:rPr>
            </w:pPr>
            <w:r>
              <w:rPr>
                <w:b/>
                <w:i/>
                <w:spacing w:val="0"/>
              </w:rPr>
              <w:t>(i)</w:t>
            </w:r>
          </w:p>
        </w:tc>
        <w:tc>
          <w:tcPr>
            <w:tcW w:w="185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Revenue Recognition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Revenue is recognized when a customer obtains control of promised products and services and the Company has satisfied its performance obligations. The amount of revenue recognized reflects the consideration which the Company expects to be entitled to receive in exchange for the products and services. To achieve this core principle, the Company applies the following five steps: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Step 1. Identification of the contract(s) with a customer;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Step 2. Identification of the performance obligations in the contracts(s);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Step 3. Determination of the transaction price;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Step 4. Allocation of the transaction price to the performance obligations;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Step 5. Recognition of the revenue when, or as, the Company satisfies a performance obligation.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Service Revenues – Solar Energy System Installations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generates revenue primarily from the design and installation of a solar energy system and performing post-installation services. The Company’s contracts with customers include three primary contract types: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Cash agreements </w:t>
            </w:r>
          </w:p>
          <w:p>
            <w:pPr>
              <w:pStyle w:val="TableContents"/>
              <w:bidi w:val="0"/>
              <w:spacing w:before="0" w:after="0"/>
              <w:jc w:val="left"/>
              <w:rPr/>
            </w:pPr>
            <w:r>
              <w:rPr/>
              <w:t xml:space="preserve">– </w:t>
            </w:r>
            <w:r>
              <w:rPr>
                <w:rFonts w:ascii="Times New Roman" w:hAnsi="Times New Roman"/>
                <w:sz w:val="20"/>
              </w:rPr>
              <w:t xml:space="preserve">The Company contracts directly with homeowners who purchase the solar energy system and related services from the Company. Customers are invoiced on a billing schedule, where the majority of the transaction price is due upon installation with an additional payment due when the system passes inspection by the authority having jurisdiction.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Financing partner agreements </w:t>
            </w:r>
          </w:p>
          <w:p>
            <w:pPr>
              <w:pStyle w:val="TableContents"/>
              <w:bidi w:val="0"/>
              <w:spacing w:before="0" w:after="0"/>
              <w:jc w:val="left"/>
              <w:rPr/>
            </w:pPr>
            <w:r>
              <w:rPr/>
              <w:t xml:space="preserve">– </w:t>
            </w:r>
            <w:r>
              <w:rPr>
                <w:rFonts w:ascii="Times New Roman" w:hAnsi="Times New Roman"/>
                <w:sz w:val="20"/>
              </w:rPr>
              <w:t xml:space="preserve">In its financing partner agreements, the Company contracts directly with homeowners for the purchase of the 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Power purchase agreements </w:t>
            </w:r>
          </w:p>
          <w:p>
            <w:pPr>
              <w:pStyle w:val="TableContents"/>
              <w:bidi w:val="0"/>
              <w:spacing w:before="0" w:after="0"/>
              <w:jc w:val="left"/>
              <w:rPr/>
            </w:pPr>
            <w:r>
              <w:rPr/>
              <w:t xml:space="preserve">– </w:t>
            </w:r>
            <w:r>
              <w:rPr>
                <w:rFonts w:ascii="Times New Roman" w:hAnsi="Times New Roman"/>
                <w:sz w:val="20"/>
              </w:rPr>
              <w:t xml:space="preserve">The Company contracts directly with a distribution partner to perform the solar energy system installation, and the homeowner will finance the system through a power purchase agreement, which is signed with the Company’s distribution partner. The Company considers the distribution partner to be its customer, as the Company does not contract directly with the homeowner. The Company receives consideration from the distribution partner on a billing schedule where the majority of the transaction price is due upon installation with an additional payment due when the system passes inspection by the authority having jurisdiction.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each of the Company’s customer contract types, the Company’s revenue consists of two performance obligations, which include the performance of the installation of the solar energy system and post-installation services.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 The Company recognizes revenue upon the completion of installation services, which occurs upon the transfer of control of the solar energy system and title of the related hardware components to the homeowner or distribution partner.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Post-installation services consist primarily of administrative services and customer support, which the Company performs between the completion of installation and the date of inspection of the solar energy system by the authority having jurisdiction. The Company recognizes revenue at a point in time, which is when the inspection occurs.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the Company’s contracts with customers contain multiple performance obligations, the transaction price is allocated to each performance obligation based on its standalone selling price. The Company generally determines the standalone selling price based on the estimated costs incurred in the delivery of each performance obligation, relative to the total costs to be incurred under the contract.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records deferred revenue for amounts invoiced that are not subject to refund upon termination. In certain contracts with customers, the Company arranges for a third-party financing partner to provide financing to the customer. The Company collects upfront from the financing partner and the customer will provide installment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guarantees to customers certain specified minimum solar energy production output of the solar energy system for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10-years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after the installation. The Company monitors the solar energy systems to determine whether these specified minimum outputs are being achieved. The Company will issue payments to customers if the output falls below contractually stated thresholds over the performance guarantee period. Revenue is recognized to the extent it is probable that a significant reversal of such revenue will not occur.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Revenues – Software Enhanced Services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generates revenue from software enhanced services through the provision of design and proposal services. The Company’s customers for design services are solar installers who leverage the Company’s expertise and software platforms to obtain structural letters, computer aided designs and electrical reviews. The Company charges the customer a per design fixed fee for each type of service that is performed, and the Company recognizes revenue in the period the services are performed. The customer contracts contain the customer right to terminate the contract each month and are therefore enforceable only for the contracted services purchased each month. Revenue is recognized for design services in the month the services are performed.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customers for proposal services for solar sales organizations who contract with the Company to develop proposals for their potential residential solar customers. The Company generates proposals for the customer using the HelioQuote platform. Customers may purchase a fixed number of proposals for a given month or may contract on a pay as you go basis, and the performance obligation is defined by the number of proposals purchased by the customer each month. The customer contracts contain the customer right to terminate the contract each month and are therefore enforceable only for the services purchased each month. Revenue is recognized for proposal services in the month the services are performed.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Warranties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typically provides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10-year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warranty on its solar energy system installations, which provides assurance over the workmanship in performing the installation, including roof leaks caused by the Company’s performance. For solar panel sales recognized prior to the Disposal Transaction, the Company provides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30-year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warranty that the products will be free from defects in material and workmanship.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When the revenues are recognized for the solar energy systems installations services, the Company accrues liabilities for the estimated future costs of meeting its warranty obligations. The Company makes and revises these estimates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Shipping and handling costs and certain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Revenues are recognized net of taxes collected from customers and remitted to governmental authorities. Shipping and handling costs associated with outbound freight are accounted for as a fulfillment cost and are included in both revenues and cost of revenues in the accompanying consolidated statements of operations and comprehensive loss.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Deferred revenue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consideration, or when such consideration is unconditionally due, from a customer prior to delivering goods or services to the customer under the terms of a customer agreement, the Company records deferred revenue. As installation projects are typically completed within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12-months,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deferred revenue is reflected in current liabilities in the accompanying consolidated balance sheets. The amount of revenue recognized during the years ended December 31, 2022 and 2021 that was included in deferred revenue at the beginning of each period was $3.9 million and $4.5 million, respectively.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Disaggregation of revenue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Refer to the table below for the Company’s revenue recognized by product and service type (in thousands): </w:t>
      </w:r>
    </w:p>
    <w:p>
      <w:pPr>
        <w:pStyle w:val="TextBody"/>
        <w:bidi w:val="0"/>
        <w:spacing w:before="0" w:after="0"/>
        <w:jc w:val="left"/>
        <w:rPr>
          <w:shd w:fill="FFFFFF" w:val="clear"/>
        </w:rPr>
      </w:pPr>
      <w:r>
        <w:rPr>
          <w:shd w:fill="FFFFFF" w:val="clear"/>
        </w:rPr>
        <w:t> </w:t>
      </w:r>
    </w:p>
    <w:tbl>
      <w:tblPr>
        <w:tblW w:w="5720" w:type="dxa"/>
        <w:jc w:val="left"/>
        <w:tblInd w:w="0" w:type="dxa"/>
        <w:tblLayout w:type="fixed"/>
        <w:tblCellMar>
          <w:top w:w="0" w:type="dxa"/>
          <w:left w:w="0" w:type="dxa"/>
          <w:bottom w:w="0" w:type="dxa"/>
          <w:right w:w="0" w:type="dxa"/>
        </w:tblCellMar>
      </w:tblPr>
      <w:tblGrid>
        <w:gridCol w:w="2705"/>
        <w:gridCol w:w="120"/>
        <w:gridCol w:w="140"/>
        <w:gridCol w:w="680"/>
        <w:gridCol w:w="60"/>
        <w:gridCol w:w="120"/>
        <w:gridCol w:w="140"/>
        <w:gridCol w:w="680"/>
        <w:gridCol w:w="60"/>
        <w:gridCol w:w="120"/>
        <w:gridCol w:w="140"/>
        <w:gridCol w:w="680"/>
        <w:gridCol w:w="75"/>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Solar energy system installations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62,896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66,958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29,378</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Software enhanced services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66,475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68,816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29,378</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years ended December 31, 2022, 2021 and 2020, all revenue recognized was generated in the United States.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Remaining performance obligations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elected the practical expedient not to disclose remaining performance obligations for contracts that are less than one year in length. As of December 31, 2022, the Company has deferred $1.3 million associated with a long-term service contract, which will be recognized evenly through 2028.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Incremental costs of obtaining customer contracts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Incremental costs of obtaining customer contracts consist of sales commissions, which are costs paid to third-party vendors who source residential customer contracts for the sale of solar energy systems by the Company. The Company defers sales commissions and recognizes expense in accordance with the timing of the related revenue recognition. Amortization of deferred commissions is recorded as sales commissions in the accompanying consolidated statements of operations and comprehensive loss. As of December 31, 2022 and December 31, 2021, deferred commissions were $2.8 million and $4.8 million, respectively, which included in prepaid expenses and other current assets in the accompanying consolidated balance sheets. </w:t>
      </w:r>
    </w:p>
    <w:p>
      <w:pPr>
        <w:pStyle w:val="TextBody"/>
        <w:bidi w:val="0"/>
        <w:spacing w:before="0" w:after="0"/>
        <w:jc w:val="left"/>
        <w:rPr>
          <w:shd w:fill="FFFFFF" w:val="clear"/>
        </w:rPr>
      </w:pPr>
      <w:r>
        <w:rPr>
          <w:shd w:fill="FFFFFF" w:val="clear"/>
        </w:rPr>
        <w:t> </w:t>
      </w:r>
    </w:p>
    <w:tbl>
      <w:tblPr>
        <w:tblW w:w="2740" w:type="dxa"/>
        <w:jc w:val="left"/>
        <w:tblInd w:w="0" w:type="dxa"/>
        <w:tblLayout w:type="fixed"/>
        <w:tblCellMar>
          <w:top w:w="0" w:type="dxa"/>
          <w:left w:w="0" w:type="dxa"/>
          <w:bottom w:w="0" w:type="dxa"/>
          <w:right w:w="0" w:type="dxa"/>
        </w:tblCellMar>
      </w:tblPr>
      <w:tblGrid>
        <w:gridCol w:w="245"/>
        <w:gridCol w:w="2495"/>
      </w:tblGrid>
      <w:tr>
        <w:trPr/>
        <w:tc>
          <w:tcPr>
            <w:tcW w:w="245" w:type="dxa"/>
            <w:tcBorders/>
            <w:vAlign w:val="center"/>
          </w:tcPr>
          <w:p>
            <w:pPr>
              <w:pStyle w:val="TableContents"/>
              <w:bidi w:val="0"/>
              <w:spacing w:before="0" w:after="0"/>
              <w:jc w:val="left"/>
              <w:rPr>
                <w:b/>
                <w:i/>
                <w:spacing w:val="0"/>
              </w:rPr>
            </w:pPr>
            <w:r>
              <w:rPr>
                <w:b/>
                <w:i/>
                <w:spacing w:val="0"/>
              </w:rPr>
              <w:t>(j)</w:t>
            </w:r>
          </w:p>
        </w:tc>
        <w:tc>
          <w:tcPr>
            <w:tcW w:w="249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Property and Equipment, Net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and equipment are stated at cost less accumulated depreciation and amortization. When assets are retired or disposed of, the cost and accumulated depreciation are removed from the accounts, and any resulting gain or loss is included in the current period. Repair and maintenance costs are expensed as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incurred. Depreciation and amortization are calculated using the straight-line method over the following estimated useful lives of the assets: </w:t>
      </w:r>
    </w:p>
    <w:p>
      <w:pPr>
        <w:pStyle w:val="TextBody"/>
        <w:bidi w:val="0"/>
        <w:spacing w:before="0" w:after="0"/>
        <w:jc w:val="left"/>
        <w:rPr>
          <w:shd w:fill="FFFFFF" w:val="clear"/>
        </w:rPr>
      </w:pPr>
      <w:r>
        <w:rPr>
          <w:shd w:fill="FFFFFF" w:val="clear"/>
        </w:rPr>
        <w:t> </w:t>
      </w:r>
    </w:p>
    <w:tbl>
      <w:tblPr>
        <w:tblW w:w="3625" w:type="dxa"/>
        <w:jc w:val="left"/>
        <w:tblInd w:w="0" w:type="dxa"/>
        <w:tblLayout w:type="fixed"/>
        <w:tblCellMar>
          <w:top w:w="0" w:type="dxa"/>
          <w:left w:w="0" w:type="dxa"/>
          <w:bottom w:w="0" w:type="dxa"/>
          <w:right w:w="0" w:type="dxa"/>
        </w:tblCellMar>
      </w:tblPr>
      <w:tblGrid>
        <w:gridCol w:w="2165"/>
        <w:gridCol w:w="120"/>
        <w:gridCol w:w="100"/>
        <w:gridCol w:w="1165"/>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Useful Lives</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Manufacturing equipment</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0"/>
              <w:jc w:val="right"/>
              <w:rPr>
                <w:spacing w:val="0"/>
              </w:rPr>
            </w:pPr>
            <w:r>
              <w:rPr>
                <w:spacing w:val="0"/>
              </w:rPr>
              <w:t>1-3 years</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Developed software</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5 years</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 &amp; equipment</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0"/>
              <w:jc w:val="right"/>
              <w:rPr>
                <w:spacing w:val="0"/>
              </w:rPr>
            </w:pPr>
            <w:r>
              <w:rPr>
                <w:spacing w:val="0"/>
              </w:rPr>
              <w:t>3-5</w:t>
            </w:r>
          </w:p>
          <w:p>
            <w:pPr>
              <w:pStyle w:val="TableContents"/>
              <w:bidi w:val="0"/>
              <w:spacing w:before="0" w:after="0"/>
              <w:jc w:val="right"/>
              <w:rPr/>
            </w:pPr>
            <w:r>
              <w:rPr/>
              <w:t>years</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0"/>
              <w:jc w:val="right"/>
              <w:rPr>
                <w:spacing w:val="0"/>
              </w:rPr>
            </w:pPr>
            <w:r>
              <w:rPr>
                <w:spacing w:val="0"/>
              </w:rPr>
              <w:t>3-5 years</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375" w:type="dxa"/>
        <w:jc w:val="left"/>
        <w:tblInd w:w="0" w:type="dxa"/>
        <w:tblLayout w:type="fixed"/>
        <w:tblCellMar>
          <w:top w:w="0" w:type="dxa"/>
          <w:left w:w="0" w:type="dxa"/>
          <w:bottom w:w="0" w:type="dxa"/>
          <w:right w:w="0" w:type="dxa"/>
        </w:tblCellMar>
      </w:tblPr>
      <w:tblGrid>
        <w:gridCol w:w="305"/>
        <w:gridCol w:w="1070"/>
      </w:tblGrid>
      <w:tr>
        <w:trPr/>
        <w:tc>
          <w:tcPr>
            <w:tcW w:w="305" w:type="dxa"/>
            <w:tcBorders/>
            <w:vAlign w:val="center"/>
          </w:tcPr>
          <w:p>
            <w:pPr>
              <w:pStyle w:val="TableContents"/>
              <w:bidi w:val="0"/>
              <w:spacing w:before="0" w:after="0"/>
              <w:jc w:val="left"/>
              <w:rPr>
                <w:b/>
                <w:i/>
                <w:spacing w:val="0"/>
              </w:rPr>
            </w:pPr>
            <w:r>
              <w:rPr>
                <w:b/>
                <w:i/>
                <w:spacing w:val="0"/>
              </w:rPr>
              <w:t>(k)</w:t>
            </w:r>
          </w:p>
        </w:tc>
        <w:tc>
          <w:tcPr>
            <w:tcW w:w="107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Internal-Use</w:t>
            </w:r>
          </w:p>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Software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capitalizes costs to develop its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internal-use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 During the years ended December 31, 2022, 2021 and 2020, the Company capitalized $1.5 million, $1.1 million and $0.5 million, respectively,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internal-use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software development costs. The remaining unamortized balance as of December 31, 2022 and December 31, 2021 of $2.7 million and $1.7 million, respectively, is included in property and equipment, net within the accompanying consolidated balance sheets. </w:t>
      </w:r>
    </w:p>
    <w:p>
      <w:pPr>
        <w:pStyle w:val="TextBody"/>
        <w:bidi w:val="0"/>
        <w:spacing w:before="0" w:after="0"/>
        <w:jc w:val="left"/>
        <w:rPr>
          <w:shd w:fill="FFFFFF" w:val="clear"/>
        </w:rPr>
      </w:pPr>
      <w:r>
        <w:rPr>
          <w:shd w:fill="FFFFFF" w:val="clear"/>
        </w:rPr>
        <w:t> </w:t>
      </w:r>
    </w:p>
    <w:tbl>
      <w:tblPr>
        <w:tblW w:w="1735" w:type="dxa"/>
        <w:jc w:val="left"/>
        <w:tblInd w:w="0" w:type="dxa"/>
        <w:tblLayout w:type="fixed"/>
        <w:tblCellMar>
          <w:top w:w="0" w:type="dxa"/>
          <w:left w:w="0" w:type="dxa"/>
          <w:bottom w:w="0" w:type="dxa"/>
          <w:right w:w="0" w:type="dxa"/>
        </w:tblCellMar>
      </w:tblPr>
      <w:tblGrid>
        <w:gridCol w:w="245"/>
        <w:gridCol w:w="1490"/>
      </w:tblGrid>
      <w:tr>
        <w:trPr/>
        <w:tc>
          <w:tcPr>
            <w:tcW w:w="245" w:type="dxa"/>
            <w:tcBorders/>
            <w:vAlign w:val="center"/>
          </w:tcPr>
          <w:p>
            <w:pPr>
              <w:pStyle w:val="TableContents"/>
              <w:bidi w:val="0"/>
              <w:spacing w:before="0" w:after="0"/>
              <w:jc w:val="left"/>
              <w:rPr>
                <w:b/>
                <w:i/>
                <w:spacing w:val="0"/>
              </w:rPr>
            </w:pPr>
            <w:r>
              <w:rPr>
                <w:b/>
                <w:i/>
                <w:spacing w:val="0"/>
              </w:rPr>
              <w:t>(l)</w:t>
            </w:r>
          </w:p>
        </w:tc>
        <w:tc>
          <w:tcPr>
            <w:tcW w:w="149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Cost of Revenues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Cost of revenues includes actual cost of material, labor and related overhead incurred for revenue-producing units, and includes associated warranty costs, freight and delivery costs, depreciation, and amortization of internally developed software. </w:t>
      </w:r>
    </w:p>
    <w:p>
      <w:pPr>
        <w:pStyle w:val="TextBody"/>
        <w:bidi w:val="0"/>
        <w:spacing w:before="0" w:after="0"/>
        <w:jc w:val="left"/>
        <w:rPr>
          <w:shd w:fill="FFFFFF" w:val="clear"/>
        </w:rPr>
      </w:pPr>
      <w:r>
        <w:rPr>
          <w:shd w:fill="FFFFFF" w:val="clear"/>
        </w:rPr>
        <w:t> </w:t>
      </w:r>
    </w:p>
    <w:tbl>
      <w:tblPr>
        <w:tblW w:w="3685" w:type="dxa"/>
        <w:jc w:val="left"/>
        <w:tblInd w:w="0" w:type="dxa"/>
        <w:tblLayout w:type="fixed"/>
        <w:tblCellMar>
          <w:top w:w="0" w:type="dxa"/>
          <w:left w:w="0" w:type="dxa"/>
          <w:bottom w:w="0" w:type="dxa"/>
          <w:right w:w="0" w:type="dxa"/>
        </w:tblCellMar>
      </w:tblPr>
      <w:tblGrid>
        <w:gridCol w:w="365"/>
        <w:gridCol w:w="3320"/>
      </w:tblGrid>
      <w:tr>
        <w:trPr/>
        <w:tc>
          <w:tcPr>
            <w:tcW w:w="365" w:type="dxa"/>
            <w:tcBorders/>
            <w:vAlign w:val="center"/>
          </w:tcPr>
          <w:p>
            <w:pPr>
              <w:pStyle w:val="TableContents"/>
              <w:bidi w:val="0"/>
              <w:spacing w:before="0" w:after="0"/>
              <w:jc w:val="left"/>
              <w:rPr>
                <w:b/>
                <w:i/>
                <w:spacing w:val="0"/>
              </w:rPr>
            </w:pPr>
            <w:r>
              <w:rPr>
                <w:b/>
                <w:i/>
                <w:spacing w:val="0"/>
              </w:rPr>
              <w:t>(m)</w:t>
            </w:r>
          </w:p>
        </w:tc>
        <w:tc>
          <w:tcPr>
            <w:tcW w:w="332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Advertising and Promotional Expenses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Advertising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promotional costs are expensed as incurred and included in sales and marketing expense in the accompanying consolidated statements of operations and comprehensive loss. Advertising costs were not material for the years ended December 31, 2022, 2021 and 2020.. </w:t>
      </w:r>
    </w:p>
    <w:p>
      <w:pPr>
        <w:pStyle w:val="TextBody"/>
        <w:bidi w:val="0"/>
        <w:spacing w:before="0" w:after="0"/>
        <w:jc w:val="left"/>
        <w:rPr>
          <w:shd w:fill="FFFFFF" w:val="clear"/>
        </w:rPr>
      </w:pPr>
      <w:r>
        <w:rPr>
          <w:shd w:fill="FFFFFF" w:val="clear"/>
        </w:rPr>
        <w:t> </w:t>
      </w:r>
    </w:p>
    <w:tbl>
      <w:tblPr>
        <w:tblW w:w="1555" w:type="dxa"/>
        <w:jc w:val="left"/>
        <w:tblInd w:w="0" w:type="dxa"/>
        <w:tblLayout w:type="fixed"/>
        <w:tblCellMar>
          <w:top w:w="0" w:type="dxa"/>
          <w:left w:w="0" w:type="dxa"/>
          <w:bottom w:w="0" w:type="dxa"/>
          <w:right w:w="0" w:type="dxa"/>
        </w:tblCellMar>
      </w:tblPr>
      <w:tblGrid>
        <w:gridCol w:w="320"/>
        <w:gridCol w:w="1235"/>
      </w:tblGrid>
      <w:tr>
        <w:trPr/>
        <w:tc>
          <w:tcPr>
            <w:tcW w:w="320" w:type="dxa"/>
            <w:tcBorders/>
            <w:vAlign w:val="center"/>
          </w:tcPr>
          <w:p>
            <w:pPr>
              <w:pStyle w:val="TableContents"/>
              <w:bidi w:val="0"/>
              <w:spacing w:before="0" w:after="0"/>
              <w:jc w:val="left"/>
              <w:rPr>
                <w:b/>
                <w:i/>
                <w:spacing w:val="0"/>
              </w:rPr>
            </w:pPr>
            <w:r>
              <w:rPr>
                <w:b/>
                <w:i/>
                <w:spacing w:val="0"/>
              </w:rPr>
              <w:t>(n)</w:t>
            </w:r>
          </w:p>
        </w:tc>
        <w:tc>
          <w:tcPr>
            <w:tcW w:w="123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Income Taxes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Income taxes are accounted for under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asset-and-liability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 The Company recognizes accrued interest and penalties, if any, related to unrecognized tax benefits in income tax provision. </w:t>
      </w:r>
    </w:p>
    <w:p>
      <w:pPr>
        <w:pStyle w:val="TextBody"/>
        <w:bidi w:val="0"/>
        <w:spacing w:before="0" w:after="0"/>
        <w:jc w:val="left"/>
        <w:rPr>
          <w:shd w:fill="FFFFFF" w:val="clear"/>
        </w:rPr>
      </w:pPr>
      <w:r>
        <w:rPr>
          <w:shd w:fill="FFFFFF" w:val="clear"/>
        </w:rPr>
        <w:t> </w:t>
      </w:r>
    </w:p>
    <w:tbl>
      <w:tblPr>
        <w:tblW w:w="1870" w:type="dxa"/>
        <w:jc w:val="left"/>
        <w:tblInd w:w="0" w:type="dxa"/>
        <w:tblLayout w:type="fixed"/>
        <w:tblCellMar>
          <w:top w:w="0" w:type="dxa"/>
          <w:left w:w="0" w:type="dxa"/>
          <w:bottom w:w="0" w:type="dxa"/>
          <w:right w:w="0" w:type="dxa"/>
        </w:tblCellMar>
      </w:tblPr>
      <w:tblGrid>
        <w:gridCol w:w="305"/>
        <w:gridCol w:w="1565"/>
      </w:tblGrid>
      <w:tr>
        <w:trPr/>
        <w:tc>
          <w:tcPr>
            <w:tcW w:w="305" w:type="dxa"/>
            <w:tcBorders/>
            <w:vAlign w:val="center"/>
          </w:tcPr>
          <w:p>
            <w:pPr>
              <w:pStyle w:val="TableContents"/>
              <w:bidi w:val="0"/>
              <w:spacing w:before="0" w:after="0"/>
              <w:jc w:val="left"/>
              <w:rPr>
                <w:b/>
                <w:i/>
                <w:spacing w:val="0"/>
              </w:rPr>
            </w:pPr>
            <w:r>
              <w:rPr>
                <w:b/>
                <w:i/>
                <w:spacing w:val="0"/>
              </w:rPr>
              <w:t>(o)</w:t>
            </w:r>
          </w:p>
        </w:tc>
        <w:tc>
          <w:tcPr>
            <w:tcW w:w="156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Foreign Currency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reporting currency is the US dollar. The functional currency for each of the Company’s foreign subsidiaries is the local currency, as it is the monetary unit of account of the principal economic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environments in which the Company’s foreign subsidiaries operate. Assets and liabilities of the foreign subsidiaries are translated at the current exchange rate as of the end of the period, and revenue and expenses are translated at the average exchange rates in effect during the period. The gain or loss resulting from the process of translating foreign currency financial statements into US dollar financial statements is accounted for as a foreign currency cumulative translation adjustment and is reported as a component of accumulated other comprehensive loss. Foreign currency transaction gains and losses resulting from transactions denominated in a currency other than the functional currency are recognized in Other Income (expense), net in the consolidated statements of operations and comprehensive loss. </w:t>
      </w:r>
    </w:p>
    <w:p>
      <w:pPr>
        <w:pStyle w:val="TextBody"/>
        <w:bidi w:val="0"/>
        <w:spacing w:before="0" w:after="0"/>
        <w:jc w:val="left"/>
        <w:rPr>
          <w:shd w:fill="FFFFFF" w:val="clear"/>
        </w:rPr>
      </w:pPr>
      <w:r>
        <w:rPr>
          <w:shd w:fill="FFFFFF" w:val="clear"/>
        </w:rPr>
        <w:t> </w:t>
      </w:r>
    </w:p>
    <w:tbl>
      <w:tblPr>
        <w:tblW w:w="2080" w:type="dxa"/>
        <w:jc w:val="left"/>
        <w:tblInd w:w="0" w:type="dxa"/>
        <w:tblLayout w:type="fixed"/>
        <w:tblCellMar>
          <w:top w:w="0" w:type="dxa"/>
          <w:left w:w="0" w:type="dxa"/>
          <w:bottom w:w="0" w:type="dxa"/>
          <w:right w:w="0" w:type="dxa"/>
        </w:tblCellMar>
      </w:tblPr>
      <w:tblGrid>
        <w:gridCol w:w="305"/>
        <w:gridCol w:w="1775"/>
      </w:tblGrid>
      <w:tr>
        <w:trPr/>
        <w:tc>
          <w:tcPr>
            <w:tcW w:w="305" w:type="dxa"/>
            <w:tcBorders/>
            <w:vAlign w:val="center"/>
          </w:tcPr>
          <w:p>
            <w:pPr>
              <w:pStyle w:val="TableContents"/>
              <w:bidi w:val="0"/>
              <w:spacing w:before="0" w:after="0"/>
              <w:jc w:val="left"/>
              <w:rPr>
                <w:b/>
                <w:i/>
                <w:spacing w:val="0"/>
              </w:rPr>
            </w:pPr>
            <w:r>
              <w:rPr>
                <w:b/>
                <w:i/>
                <w:spacing w:val="0"/>
              </w:rPr>
              <w:t>(p)</w:t>
            </w:r>
          </w:p>
        </w:tc>
        <w:tc>
          <w:tcPr>
            <w:tcW w:w="177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Comprehensive Loss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Comprehensive loss consists of two components, net loss and other comprehensive income (loss), net. The Company’s other comprehensive loss consists of foreign currency translation adjustments that result from the consolidation of its foreign entities and is reported net of tax effects. </w:t>
      </w:r>
    </w:p>
    <w:p>
      <w:pPr>
        <w:pStyle w:val="TextBody"/>
        <w:bidi w:val="0"/>
        <w:spacing w:before="0" w:after="0"/>
        <w:jc w:val="left"/>
        <w:rPr>
          <w:shd w:fill="FFFFFF" w:val="clear"/>
        </w:rPr>
      </w:pPr>
      <w:r>
        <w:rPr>
          <w:shd w:fill="FFFFFF" w:val="clear"/>
        </w:rPr>
        <w:t> </w:t>
      </w:r>
    </w:p>
    <w:tbl>
      <w:tblPr>
        <w:tblW w:w="3130" w:type="dxa"/>
        <w:jc w:val="left"/>
        <w:tblInd w:w="0" w:type="dxa"/>
        <w:tblLayout w:type="fixed"/>
        <w:tblCellMar>
          <w:top w:w="0" w:type="dxa"/>
          <w:left w:w="0" w:type="dxa"/>
          <w:bottom w:w="0" w:type="dxa"/>
          <w:right w:w="0" w:type="dxa"/>
        </w:tblCellMar>
      </w:tblPr>
      <w:tblGrid>
        <w:gridCol w:w="305"/>
        <w:gridCol w:w="2825"/>
      </w:tblGrid>
      <w:tr>
        <w:trPr/>
        <w:tc>
          <w:tcPr>
            <w:tcW w:w="305" w:type="dxa"/>
            <w:tcBorders/>
            <w:vAlign w:val="center"/>
          </w:tcPr>
          <w:p>
            <w:pPr>
              <w:pStyle w:val="TableContents"/>
              <w:bidi w:val="0"/>
              <w:spacing w:before="0" w:after="0"/>
              <w:jc w:val="left"/>
              <w:rPr>
                <w:b/>
                <w:i/>
                <w:spacing w:val="0"/>
              </w:rPr>
            </w:pPr>
            <w:r>
              <w:rPr>
                <w:b/>
                <w:i/>
                <w:spacing w:val="0"/>
              </w:rPr>
              <w:t>(q)</w:t>
            </w:r>
          </w:p>
        </w:tc>
        <w:tc>
          <w:tcPr>
            <w:tcW w:w="282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Impairment of Long-Lived Assets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Long-lived assets, such as property and equipment, ROU assets, and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There were no impairment charges for the years ended December 31, 2022, 2021 and 2020. </w:t>
      </w:r>
    </w:p>
    <w:p>
      <w:pPr>
        <w:pStyle w:val="TextBody"/>
        <w:bidi w:val="0"/>
        <w:spacing w:before="0" w:after="0"/>
        <w:jc w:val="left"/>
        <w:rPr>
          <w:shd w:fill="FFFFFF" w:val="clear"/>
        </w:rPr>
      </w:pPr>
      <w:r>
        <w:rPr>
          <w:shd w:fill="FFFFFF" w:val="clear"/>
        </w:rPr>
        <w:t> </w:t>
      </w:r>
    </w:p>
    <w:tbl>
      <w:tblPr>
        <w:tblW w:w="2290" w:type="dxa"/>
        <w:jc w:val="left"/>
        <w:tblInd w:w="0" w:type="dxa"/>
        <w:tblLayout w:type="fixed"/>
        <w:tblCellMar>
          <w:top w:w="0" w:type="dxa"/>
          <w:left w:w="0" w:type="dxa"/>
          <w:bottom w:w="0" w:type="dxa"/>
          <w:right w:w="0" w:type="dxa"/>
        </w:tblCellMar>
      </w:tblPr>
      <w:tblGrid>
        <w:gridCol w:w="275"/>
        <w:gridCol w:w="2015"/>
      </w:tblGrid>
      <w:tr>
        <w:trPr/>
        <w:tc>
          <w:tcPr>
            <w:tcW w:w="275" w:type="dxa"/>
            <w:tcBorders/>
            <w:vAlign w:val="center"/>
          </w:tcPr>
          <w:p>
            <w:pPr>
              <w:pStyle w:val="TableContents"/>
              <w:bidi w:val="0"/>
              <w:spacing w:before="0" w:after="0"/>
              <w:jc w:val="left"/>
              <w:rPr>
                <w:b/>
                <w:i/>
                <w:spacing w:val="0"/>
              </w:rPr>
            </w:pPr>
            <w:r>
              <w:rPr>
                <w:b/>
                <w:i/>
                <w:spacing w:val="0"/>
              </w:rPr>
              <w:t>(r)</w:t>
            </w:r>
          </w:p>
        </w:tc>
        <w:tc>
          <w:tcPr>
            <w:tcW w:w="201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Business Combinations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customer relationships, acquired technology,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consolidated statements of operations and comprehensive loss. </w:t>
      </w:r>
    </w:p>
    <w:p>
      <w:pPr>
        <w:pStyle w:val="TextBody"/>
        <w:bidi w:val="0"/>
        <w:spacing w:before="0" w:after="0"/>
        <w:jc w:val="left"/>
        <w:rPr>
          <w:shd w:fill="FFFFFF" w:val="clear"/>
        </w:rPr>
      </w:pPr>
      <w:r>
        <w:rPr>
          <w:shd w:fill="FFFFFF" w:val="clear"/>
        </w:rPr>
        <w:t> </w:t>
      </w:r>
    </w:p>
    <w:tbl>
      <w:tblPr>
        <w:tblW w:w="2230" w:type="dxa"/>
        <w:jc w:val="left"/>
        <w:tblInd w:w="0" w:type="dxa"/>
        <w:tblLayout w:type="fixed"/>
        <w:tblCellMar>
          <w:top w:w="0" w:type="dxa"/>
          <w:left w:w="0" w:type="dxa"/>
          <w:bottom w:w="0" w:type="dxa"/>
          <w:right w:w="0" w:type="dxa"/>
        </w:tblCellMar>
      </w:tblPr>
      <w:tblGrid>
        <w:gridCol w:w="275"/>
        <w:gridCol w:w="1955"/>
      </w:tblGrid>
      <w:tr>
        <w:trPr/>
        <w:tc>
          <w:tcPr>
            <w:tcW w:w="275" w:type="dxa"/>
            <w:tcBorders/>
            <w:vAlign w:val="center"/>
          </w:tcPr>
          <w:p>
            <w:pPr>
              <w:pStyle w:val="TableContents"/>
              <w:bidi w:val="0"/>
              <w:spacing w:before="0" w:after="0"/>
              <w:jc w:val="left"/>
              <w:rPr>
                <w:b/>
                <w:i/>
                <w:spacing w:val="0"/>
              </w:rPr>
            </w:pPr>
            <w:r>
              <w:rPr>
                <w:b/>
                <w:i/>
                <w:spacing w:val="0"/>
              </w:rPr>
              <w:t>(s)</w:t>
            </w:r>
          </w:p>
        </w:tc>
        <w:tc>
          <w:tcPr>
            <w:tcW w:w="195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Intangibles Assets, Net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Intangible assets are recorded at the cost, less accumulated amortization. Amortization is recorded using the straight-line method. All intangible assets that have been determined to have definite lives are amortized over their estimated useful life as indicated below: </w:t>
      </w:r>
    </w:p>
    <w:p>
      <w:pPr>
        <w:pStyle w:val="TextBody"/>
        <w:bidi w:val="0"/>
        <w:spacing w:before="0" w:after="0"/>
        <w:jc w:val="left"/>
        <w:rPr>
          <w:shd w:fill="FFFFFF" w:val="clear"/>
        </w:rPr>
      </w:pPr>
      <w:r>
        <w:rPr>
          <w:shd w:fill="FFFFFF" w:val="clear"/>
        </w:rPr>
        <w:t> </w:t>
      </w:r>
    </w:p>
    <w:tbl>
      <w:tblPr>
        <w:tblW w:w="4180" w:type="dxa"/>
        <w:jc w:val="left"/>
        <w:tblInd w:w="0" w:type="dxa"/>
        <w:tblLayout w:type="fixed"/>
        <w:tblCellMar>
          <w:top w:w="0" w:type="dxa"/>
          <w:left w:w="0" w:type="dxa"/>
          <w:bottom w:w="0" w:type="dxa"/>
          <w:right w:w="0" w:type="dxa"/>
        </w:tblCellMar>
      </w:tblPr>
      <w:tblGrid>
        <w:gridCol w:w="1775"/>
        <w:gridCol w:w="120"/>
        <w:gridCol w:w="175"/>
        <w:gridCol w:w="2035"/>
        <w:gridCol w:w="7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Estimated Useful Life</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Assembled workforce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2035" w:type="dxa"/>
            <w:tcBorders/>
            <w:shd w:fill="CCEEFF" w:val="clear"/>
            <w:vAlign w:val="center"/>
          </w:tcPr>
          <w:p>
            <w:pPr>
              <w:pStyle w:val="TableContents"/>
              <w:bidi w:val="0"/>
              <w:spacing w:before="0" w:after="283"/>
              <w:jc w:val="right"/>
              <w:rPr/>
            </w:pPr>
            <w:r>
              <w:rPr/>
              <w:t>2 years</w:t>
            </w:r>
          </w:p>
        </w:tc>
        <w:tc>
          <w:tcPr>
            <w:tcW w:w="75"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2590" w:type="dxa"/>
        <w:jc w:val="left"/>
        <w:tblInd w:w="0" w:type="dxa"/>
        <w:tblLayout w:type="fixed"/>
        <w:tblCellMar>
          <w:top w:w="0" w:type="dxa"/>
          <w:left w:w="0" w:type="dxa"/>
          <w:bottom w:w="0" w:type="dxa"/>
          <w:right w:w="0" w:type="dxa"/>
        </w:tblCellMar>
      </w:tblPr>
      <w:tblGrid>
        <w:gridCol w:w="245"/>
        <w:gridCol w:w="2345"/>
      </w:tblGrid>
      <w:tr>
        <w:trPr/>
        <w:tc>
          <w:tcPr>
            <w:tcW w:w="245" w:type="dxa"/>
            <w:tcBorders/>
            <w:vAlign w:val="center"/>
          </w:tcPr>
          <w:p>
            <w:pPr>
              <w:pStyle w:val="TableContents"/>
              <w:bidi w:val="0"/>
              <w:spacing w:before="0" w:after="0"/>
              <w:jc w:val="left"/>
              <w:rPr>
                <w:b/>
                <w:i/>
                <w:spacing w:val="0"/>
              </w:rPr>
            </w:pPr>
            <w:r>
              <w:rPr>
                <w:b/>
                <w:i/>
                <w:spacing w:val="0"/>
              </w:rPr>
              <w:t>(t)</w:t>
            </w:r>
          </w:p>
        </w:tc>
        <w:tc>
          <w:tcPr>
            <w:tcW w:w="234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Deferred Transaction Costs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Deferred transaction costs, which consist of direct incremental legal, consulting and accounting fees related to the merger with Freedom, are capitalized until they are recorded against proceeds upon the consummation of the transaction. As of December 31, 2022, the Company has recorded $1.1 million of deferred transaction costs in other noncurrent assets on the consolidated balance sheets. </w:t>
      </w:r>
    </w:p>
    <w:p>
      <w:pPr>
        <w:pStyle w:val="TextBody"/>
        <w:bidi w:val="0"/>
        <w:spacing w:before="0" w:after="0"/>
        <w:jc w:val="left"/>
        <w:rPr>
          <w:shd w:fill="FFFFFF" w:val="clear"/>
        </w:rPr>
      </w:pPr>
      <w:r>
        <w:rPr>
          <w:shd w:fill="FFFFFF" w:val="clear"/>
        </w:rPr>
        <w:t> </w:t>
      </w:r>
    </w:p>
    <w:tbl>
      <w:tblPr>
        <w:tblW w:w="4600" w:type="dxa"/>
        <w:jc w:val="left"/>
        <w:tblInd w:w="0" w:type="dxa"/>
        <w:tblLayout w:type="fixed"/>
        <w:tblCellMar>
          <w:top w:w="0" w:type="dxa"/>
          <w:left w:w="0" w:type="dxa"/>
          <w:bottom w:w="0" w:type="dxa"/>
          <w:right w:w="0" w:type="dxa"/>
        </w:tblCellMar>
      </w:tblPr>
      <w:tblGrid>
        <w:gridCol w:w="320"/>
        <w:gridCol w:w="4280"/>
      </w:tblGrid>
      <w:tr>
        <w:trPr/>
        <w:tc>
          <w:tcPr>
            <w:tcW w:w="320" w:type="dxa"/>
            <w:tcBorders/>
            <w:vAlign w:val="center"/>
          </w:tcPr>
          <w:p>
            <w:pPr>
              <w:pStyle w:val="TableContents"/>
              <w:bidi w:val="0"/>
              <w:spacing w:before="0" w:after="0"/>
              <w:jc w:val="left"/>
              <w:rPr>
                <w:b/>
                <w:i/>
                <w:spacing w:val="0"/>
              </w:rPr>
            </w:pPr>
            <w:r>
              <w:rPr>
                <w:b/>
                <w:i/>
                <w:spacing w:val="0"/>
              </w:rPr>
              <w:t>(u)</w:t>
            </w:r>
          </w:p>
        </w:tc>
        <w:tc>
          <w:tcPr>
            <w:tcW w:w="428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Redeemable Convertible Preferred Stock Warrants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issued redeemable convertible preferred stock warrants exercisable into shares of the Company’s redeemable convertible preferred stock. The Company classifies warrants to purchase shares of convertible preferred stock that are redeemable or include an antidilution feature as liabilities. Such redeemable convertible preferred stock warrants are measured and recognized at fair value, and subject to remeasurement at each balance sheet date. At the end of each reporting period, changes in fair value during the period are recognized as a component of other income (expense), net in the accompanying consolidated statements of operations and comprehensive loss. The Company will continue to adjust the redeemable convertible preferred stock warrant liability for changes in the fair value until the earlier of the exercise or expiration of such warrants or the completion of a liquidation event, including completion of an initial public offering (“IPO”), at which time all such redeemable convertible preferred stock warrants will be converted into warrants to purchase shares of common stock, and the liability will be reclassified to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See Note 10 – Fair Value Measurements for details on the valuation methodology. Also see Note 14 – Warrants. </w:t>
      </w:r>
    </w:p>
    <w:p>
      <w:pPr>
        <w:pStyle w:val="TextBody"/>
        <w:bidi w:val="0"/>
        <w:spacing w:before="0" w:after="0"/>
        <w:jc w:val="left"/>
        <w:rPr>
          <w:shd w:fill="FFFFFF" w:val="clear"/>
        </w:rPr>
      </w:pPr>
      <w:r>
        <w:rPr>
          <w:shd w:fill="FFFFFF" w:val="clear"/>
        </w:rPr>
        <w:t> </w:t>
      </w:r>
    </w:p>
    <w:tbl>
      <w:tblPr>
        <w:tblW w:w="2650" w:type="dxa"/>
        <w:jc w:val="left"/>
        <w:tblInd w:w="0" w:type="dxa"/>
        <w:tblLayout w:type="fixed"/>
        <w:tblCellMar>
          <w:top w:w="0" w:type="dxa"/>
          <w:left w:w="0" w:type="dxa"/>
          <w:bottom w:w="0" w:type="dxa"/>
          <w:right w:w="0" w:type="dxa"/>
        </w:tblCellMar>
      </w:tblPr>
      <w:tblGrid>
        <w:gridCol w:w="290"/>
        <w:gridCol w:w="2360"/>
      </w:tblGrid>
      <w:tr>
        <w:trPr/>
        <w:tc>
          <w:tcPr>
            <w:tcW w:w="290" w:type="dxa"/>
            <w:tcBorders/>
            <w:vAlign w:val="center"/>
          </w:tcPr>
          <w:p>
            <w:pPr>
              <w:pStyle w:val="TableContents"/>
              <w:bidi w:val="0"/>
              <w:spacing w:before="0" w:after="0"/>
              <w:jc w:val="left"/>
              <w:rPr>
                <w:b/>
                <w:i/>
                <w:spacing w:val="0"/>
              </w:rPr>
            </w:pPr>
            <w:r>
              <w:rPr>
                <w:b/>
                <w:i/>
                <w:spacing w:val="0"/>
              </w:rPr>
              <w:t>(v)</w:t>
            </w:r>
          </w:p>
        </w:tc>
        <w:tc>
          <w:tcPr>
            <w:tcW w:w="236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Stock-Based Compensation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recognizes stock-based compensation expense over the requisite service period on a straight-line basis for all stock-based payments that are expected to vest to employees,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non-employees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directors, including grants of employee stock options and other stock-based awards. Equity-classified awards issued to employees,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non-employees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such as consultants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directors are measured at the grant-date fair value of the award. Forfeitures are recognized as they occur. For accounting purposes, the Company estimates grant-date fair value of stock options using the Black-Scholes option pricing model.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Black-Scholes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option pricing model requires the input of highly subjective assumptions, including the fair value of the underlying common stock prior to the Mergers, the expected term of the option the expected volatility of the price of the Company’s common stock and expected dividend yield. The Company determines these inputs as follows: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Expected Term</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Expected term represents the period that the Company’s stock-based awards are expected to be outstanding and is determined using the simplified method.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Expected Volatility</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Expected volatility is estimated by studying the volatility of comparable public companies for similar terms.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Expected Dividend</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The Black-Scholes valuation model calls for a single expected dividend yield as an input. The Company has never paid dividends and has no plans to pay dividends.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Risk-free Interest Rate</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The Company derives the risk-free interest rate assumption from the U.S. Treasury’s rates for the U.S. Treasury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zero-coupon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bonds with maturities similar to those of the expected term of the awards being valued.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Forfeitures</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The Company recognizes forfeitures as they occur. </w:t>
      </w:r>
    </w:p>
    <w:p>
      <w:pPr>
        <w:pStyle w:val="TextBody"/>
        <w:bidi w:val="0"/>
        <w:spacing w:before="0" w:after="0"/>
        <w:jc w:val="left"/>
        <w:rPr>
          <w:shd w:fill="FFFFFF" w:val="clear"/>
        </w:rPr>
      </w:pPr>
      <w:r>
        <w:rPr>
          <w:shd w:fill="FFFFFF" w:val="clear"/>
        </w:rPr>
        <w:t> </w:t>
      </w:r>
    </w:p>
    <w:tbl>
      <w:tblPr>
        <w:tblW w:w="2590" w:type="dxa"/>
        <w:jc w:val="left"/>
        <w:tblInd w:w="0" w:type="dxa"/>
        <w:tblLayout w:type="fixed"/>
        <w:tblCellMar>
          <w:top w:w="0" w:type="dxa"/>
          <w:left w:w="0" w:type="dxa"/>
          <w:bottom w:w="0" w:type="dxa"/>
          <w:right w:w="0" w:type="dxa"/>
        </w:tblCellMar>
      </w:tblPr>
      <w:tblGrid>
        <w:gridCol w:w="350"/>
        <w:gridCol w:w="2240"/>
      </w:tblGrid>
      <w:tr>
        <w:trPr/>
        <w:tc>
          <w:tcPr>
            <w:tcW w:w="350" w:type="dxa"/>
            <w:tcBorders/>
            <w:vAlign w:val="center"/>
          </w:tcPr>
          <w:p>
            <w:pPr>
              <w:pStyle w:val="TableContents"/>
              <w:bidi w:val="0"/>
              <w:spacing w:before="0" w:after="0"/>
              <w:jc w:val="left"/>
              <w:rPr>
                <w:b/>
                <w:i/>
                <w:spacing w:val="0"/>
              </w:rPr>
            </w:pPr>
            <w:r>
              <w:rPr>
                <w:b/>
                <w:i/>
                <w:spacing w:val="0"/>
              </w:rPr>
              <w:t>(w)</w:t>
            </w:r>
          </w:p>
        </w:tc>
        <w:tc>
          <w:tcPr>
            <w:tcW w:w="224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Fair Value Measurements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When considering market participant assumptions in fair value measurements, the following fair value hierarchy distinguishes between observable and unobservable inputs, which are categorized in one of the following levels: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1 inputs: Unadjusted quoted prices in active markets for identical assets or liabilities accessible to the reporting entity at the measurement date.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2 inputs: Other than quoted prices included in Level 1 inputs that are observable for the asset or liability, either directly or indirectly, for substantially the full term of the asset or liability.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3 inputs: Unobservable inputs for the asset or liability used to measure fair value to the extent that observable inputs are not available, thereby allowing for situations in which there is little, if any, market activity for the asset or liability at the measurement date.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financial instruments include cash, accounts receivable, accounts payable, accrued expenses, convertible notes, SAFE agreements, notes payable, common stock warrants and redeemable convertible preferred stock warrants. The carrying amounts of cash, accounts receivable, accounts payable, accrued expenses, convertible notes and notes payable approximate their fair value because of their short- term nature (classified as level 1). The Company measures and discloses the fair value of SAFE agreements, common stock warrants and redeemable convertible preferred stock warrants under the provisions of ASC Topic 820—Fair Value Measurement (classified as level 3). </w:t>
      </w:r>
    </w:p>
    <w:p>
      <w:pPr>
        <w:pStyle w:val="TextBody"/>
        <w:bidi w:val="0"/>
        <w:spacing w:before="0" w:after="0"/>
        <w:jc w:val="left"/>
        <w:rPr>
          <w:shd w:fill="FFFFFF" w:val="clear"/>
        </w:rPr>
      </w:pPr>
      <w:r>
        <w:rPr>
          <w:shd w:fill="FFFFFF" w:val="clear"/>
        </w:rPr>
        <w:t> </w:t>
      </w:r>
    </w:p>
    <w:tbl>
      <w:tblPr>
        <w:tblW w:w="1945" w:type="dxa"/>
        <w:jc w:val="left"/>
        <w:tblInd w:w="0" w:type="dxa"/>
        <w:tblLayout w:type="fixed"/>
        <w:tblCellMar>
          <w:top w:w="0" w:type="dxa"/>
          <w:left w:w="0" w:type="dxa"/>
          <w:bottom w:w="0" w:type="dxa"/>
          <w:right w:w="0" w:type="dxa"/>
        </w:tblCellMar>
      </w:tblPr>
      <w:tblGrid>
        <w:gridCol w:w="305"/>
        <w:gridCol w:w="1640"/>
      </w:tblGrid>
      <w:tr>
        <w:trPr/>
        <w:tc>
          <w:tcPr>
            <w:tcW w:w="305" w:type="dxa"/>
            <w:tcBorders/>
            <w:vAlign w:val="center"/>
          </w:tcPr>
          <w:p>
            <w:pPr>
              <w:pStyle w:val="TableContents"/>
              <w:bidi w:val="0"/>
              <w:spacing w:before="0" w:after="0"/>
              <w:jc w:val="left"/>
              <w:rPr>
                <w:b/>
                <w:i/>
                <w:spacing w:val="0"/>
              </w:rPr>
            </w:pPr>
            <w:r>
              <w:rPr>
                <w:b/>
                <w:i/>
                <w:spacing w:val="0"/>
              </w:rPr>
              <w:t>(x)</w:t>
            </w:r>
          </w:p>
        </w:tc>
        <w:tc>
          <w:tcPr>
            <w:tcW w:w="164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Net Loss Per Share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computes net loss per share in accordance with ASC 260, Earnings Per Share (“ASC 260”). Basic net loss per share is measured as the income or loss available to common stockholders divided by the weighted-average common shares outstanding for the period. Diluted net loss per share presents the dilutive effect on a per-share basis from the potential exercise of options and/or warrants. The potentially dilutive effect of options or warrants are computed using the treasury stock method. Securities that potentially have an anti-dilutive effect (i.e., those that increase income per share or decrease loss per share) are excluded from the diluted loss per share calculation. </w:t>
      </w:r>
    </w:p>
    <w:p>
      <w:pPr>
        <w:pStyle w:val="TextBody"/>
        <w:bidi w:val="0"/>
        <w:spacing w:before="0" w:after="0"/>
        <w:jc w:val="left"/>
        <w:rPr>
          <w:shd w:fill="FFFFFF" w:val="clear"/>
        </w:rPr>
      </w:pPr>
      <w:r>
        <w:rPr>
          <w:shd w:fill="FFFFFF" w:val="clear"/>
        </w:rPr>
        <w:t> </w:t>
      </w:r>
    </w:p>
    <w:tbl>
      <w:tblPr>
        <w:tblW w:w="4510" w:type="dxa"/>
        <w:jc w:val="left"/>
        <w:tblInd w:w="0" w:type="dxa"/>
        <w:tblLayout w:type="fixed"/>
        <w:tblCellMar>
          <w:top w:w="0" w:type="dxa"/>
          <w:left w:w="0" w:type="dxa"/>
          <w:bottom w:w="0" w:type="dxa"/>
          <w:right w:w="0" w:type="dxa"/>
        </w:tblCellMar>
      </w:tblPr>
      <w:tblGrid>
        <w:gridCol w:w="290"/>
        <w:gridCol w:w="4220"/>
      </w:tblGrid>
      <w:tr>
        <w:trPr/>
        <w:tc>
          <w:tcPr>
            <w:tcW w:w="290" w:type="dxa"/>
            <w:tcBorders/>
            <w:vAlign w:val="center"/>
          </w:tcPr>
          <w:p>
            <w:pPr>
              <w:pStyle w:val="TableContents"/>
              <w:bidi w:val="0"/>
              <w:spacing w:before="0" w:after="0"/>
              <w:jc w:val="left"/>
              <w:rPr>
                <w:b/>
                <w:i/>
                <w:spacing w:val="0"/>
              </w:rPr>
            </w:pPr>
            <w:r>
              <w:rPr>
                <w:b/>
                <w:i/>
                <w:spacing w:val="0"/>
              </w:rPr>
              <w:t>(y)</w:t>
            </w:r>
          </w:p>
        </w:tc>
        <w:tc>
          <w:tcPr>
            <w:tcW w:w="422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Convertible Debt Embedded Derivative Liabilities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evaluates the embedded conversion feature within its convertible debt instruments under ASC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815-15</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ASC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815-40</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to determine if the conversion feature meets the definition of a liability and, if so, whether to bifurcate the conversion feature and account for it as a separate derivative liability. For derivative financial instruments that are accounted for as liabilities, the derivative instrument is initially recorded at its fair value and is then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re-valued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at each reporting date, with changes in the fair value reported in the consolidated statements of operations and comprehensive loss. The classification of derivative instruments, including whether such instruments should be recorded as liabilities or as equity, is evaluated at the end of each reporting period. Derivative instrument liabilities are classified in the consolidated balance sheets as current 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non-current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based on whether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net-cash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settlement of the derivative instrument could be required within twelve months after the balance sheet date. The derivative is subject to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re-measurement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at the end of each reporting period, with changes in fair value recognized as a component of other income (expense), net, in the consolidated statements of operations and comprehensive loss. The Company’s embedded derivative liabilities were extinguished in the first quarter of 2022. </w:t>
      </w:r>
    </w:p>
    <w:p>
      <w:pPr>
        <w:pStyle w:val="TextBody"/>
        <w:bidi w:val="0"/>
        <w:spacing w:before="0" w:after="0"/>
        <w:jc w:val="left"/>
        <w:rPr>
          <w:shd w:fill="FFFFFF" w:val="clear"/>
        </w:rPr>
      </w:pPr>
      <w:r>
        <w:rPr>
          <w:shd w:fill="FFFFFF" w:val="clear"/>
        </w:rPr>
        <w:t> </w:t>
      </w:r>
    </w:p>
    <w:tbl>
      <w:tblPr>
        <w:tblW w:w="910" w:type="dxa"/>
        <w:jc w:val="left"/>
        <w:tblInd w:w="0" w:type="dxa"/>
        <w:tblLayout w:type="fixed"/>
        <w:tblCellMar>
          <w:top w:w="0" w:type="dxa"/>
          <w:left w:w="0" w:type="dxa"/>
          <w:bottom w:w="0" w:type="dxa"/>
          <w:right w:w="0" w:type="dxa"/>
        </w:tblCellMar>
      </w:tblPr>
      <w:tblGrid>
        <w:gridCol w:w="275"/>
        <w:gridCol w:w="635"/>
      </w:tblGrid>
      <w:tr>
        <w:trPr/>
        <w:tc>
          <w:tcPr>
            <w:tcW w:w="275" w:type="dxa"/>
            <w:tcBorders/>
            <w:vAlign w:val="center"/>
          </w:tcPr>
          <w:p>
            <w:pPr>
              <w:pStyle w:val="TableContents"/>
              <w:bidi w:val="0"/>
              <w:spacing w:before="0" w:after="0"/>
              <w:jc w:val="left"/>
              <w:rPr>
                <w:b/>
                <w:i/>
                <w:spacing w:val="0"/>
              </w:rPr>
            </w:pPr>
            <w:r>
              <w:rPr>
                <w:b/>
                <w:i/>
                <w:spacing w:val="0"/>
              </w:rPr>
              <w:t>(z)</w:t>
            </w:r>
          </w:p>
        </w:tc>
        <w:tc>
          <w:tcPr>
            <w:tcW w:w="63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Leases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Effective January 1, 2021, the Company early adopted Accounting Standards Update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2016-02,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Leases (Topic 842), as amended (“ASC 842”). The Company determines if a contract is a lease or contains a lease at the inception of the contract and reassesses that conclusion if the contract is modified. The Company’s lease agreements generally contain lease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components. Payments under lease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arrangements are primarily fixed. The Company combines lease and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components and accounts for them together as a single lease component. All leases are assessed for classification as an operating lease or a finance lease. Operating lease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(“ROU”) assets are presented separately on the Company’s consolidated balance sheets. Operating lease liabilities are separated into a current portion and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non-current</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portion and are presented separately on the Company’s consolidated balance sheets. The Company does not have finance lease ROU assets or liabilities.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ROU assets represent the Company’s right to use an underlying asset for the lease term and lease liabilities represent its obligation to make lease payments arising from the lease. The Company does not obtain and control its right to use the identified asset until the lease commencement date.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lease liabilities are recognized at the later of January 1, 2021 and applicable lease commencement date based on the present value of the lease payments required to be paid over the lease term. Because the rate implicit in the lease is not readily determinable, 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when it is reasonably certain that we will exercise that option. We generally use the base,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non-cancelable,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lease term when determining the lease assets and liabilities. The Company also records a corresponding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 at the later of January 1, 2021 and applicable lease commencement date, which is calculated based on the amount of the lease liability, adjusted for any advance lease payments made, lease incentives received, and initial direct costs incurred.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assets are subject to evaluation for impairment or disposal on a basis consistent with other long-lived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elected, for all classes of underlying assets, not to recognize ROU assets and lease liabilities for leases with a term of twelve months or less. Lease cost for short-term leases is recognized on a straight-line basis over the lease term.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Before the adoption of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2016-02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1, 2021, the Company categorizes leases at their inception as either operating or capital leases, with the Company’s current lease portfolio only consisting of operating leases for office spaces. In certain lease agreements, it may receive rent holidays and other incentives. For operating leases, the Company recognizes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 </w:t>
      </w:r>
    </w:p>
    <w:p>
      <w:pPr>
        <w:pStyle w:val="TextBody"/>
        <w:bidi w:val="0"/>
        <w:spacing w:before="0" w:after="0"/>
        <w:jc w:val="left"/>
        <w:rPr>
          <w:shd w:fill="FFFFFF" w:val="clear"/>
        </w:rPr>
      </w:pPr>
      <w:r>
        <w:rPr>
          <w:shd w:fill="FFFFFF" w:val="clear"/>
        </w:rPr>
        <w:t> </w:t>
      </w:r>
    </w:p>
    <w:tbl>
      <w:tblPr>
        <w:tblW w:w="4405" w:type="dxa"/>
        <w:jc w:val="left"/>
        <w:tblInd w:w="0" w:type="dxa"/>
        <w:tblLayout w:type="fixed"/>
        <w:tblCellMar>
          <w:top w:w="0" w:type="dxa"/>
          <w:left w:w="0" w:type="dxa"/>
          <w:bottom w:w="0" w:type="dxa"/>
          <w:right w:w="0" w:type="dxa"/>
        </w:tblCellMar>
      </w:tblPr>
      <w:tblGrid>
        <w:gridCol w:w="425"/>
        <w:gridCol w:w="3980"/>
      </w:tblGrid>
      <w:tr>
        <w:trPr/>
        <w:tc>
          <w:tcPr>
            <w:tcW w:w="425" w:type="dxa"/>
            <w:tcBorders/>
            <w:vAlign w:val="center"/>
          </w:tcPr>
          <w:p>
            <w:pPr>
              <w:pStyle w:val="TableContents"/>
              <w:bidi w:val="0"/>
              <w:spacing w:before="0" w:after="0"/>
              <w:jc w:val="left"/>
              <w:rPr>
                <w:b/>
                <w:i/>
                <w:spacing w:val="0"/>
              </w:rPr>
            </w:pPr>
            <w:r>
              <w:rPr>
                <w:b/>
                <w:i/>
                <w:spacing w:val="0"/>
              </w:rPr>
              <w:t>(aa)</w:t>
            </w:r>
          </w:p>
        </w:tc>
        <w:tc>
          <w:tcPr>
            <w:tcW w:w="398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Recently Adopted Accounting Pronouncements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2019,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2019-12,</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Income Taxes (Topic 740): Simplifying the Accounting for Income Taxes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2019-12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removes certain exceptions to the general principles in Topic 740 and clarifies and amends existing guidance to improve consistent application.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2019-12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will be effective for public entities for interim and annual periods beginning after December 15, 2020, with early adoption permitted.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2019-12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will be effective for private entities for annual periods beginning after December 15, 2021, and interim periods beginning after December 15, 2020, with early adoption permitted. The Company adopted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2019-12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under the private company transition guidance beginning January 1, 2022, and the adoption did not have an impact on the Company’s consolidated financial statements.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May 2021,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2021-04,</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Earnings Per Share (Topic 260), Debt—Modifications and Extinguishments (Subtopic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470-50),</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Compensation—Stock Compensation (Topic 718), and Derivatives and</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Hedging—Contracts in Entity’s Own Equity (Subtopic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815-40):</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Issuer’s Accounting for Certain Modifications or Exchanges of Freestanding Equity-Classified Written Call Options (a consensus of the FASB Emerging Issues Task Force)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This guidance clarifies certain aspects of the current guidance to promote consistency among reporting of an issuer’s accounting for modifications or exchanges of freestanding equity-classified written call options (for example, warrants) that remain equity classified after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modification or exchange. The amendments in this update are effective for all entities for fiscal years beginning after December 15, 2021, including interim periods within those fiscal years. Early adoption is permitted for all entities, including adoption in an interim period. The Company adopted ASU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2021-04</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under the private company transition guidance beginning January 1, 2022, the adoption did not have an impact on the Company’s consolidated financial statements.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August 2020,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2020-06,</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Debt—Debt with Conversion and Other Options (Subtopic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470-20)</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Derivatives and Hedging—Contracts in Entity’s Own Equity (Subtopic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815-40):</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Accounting for Convertible Instruments and Contracts in an Entity’s Own Equity, 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if-converted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method.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2020-06</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is effective for public and private companies’ fiscal years beginning after December 15, 2021, and December 15, 2023, respectively, and interim periods within those fiscal years. Early adoption is permitted, but no earlier than fiscal years beginning after December 15, 2020, including interim periods within those fiscal years. The Company adopted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2020-06</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under the private company transition guidance on January 1, 2022, and the adoption did not have an impact on the Company’s consolidated financial statements. </w:t>
      </w:r>
    </w:p>
    <w:p>
      <w:pPr>
        <w:pStyle w:val="TextBody"/>
        <w:bidi w:val="0"/>
        <w:spacing w:before="0" w:after="0"/>
        <w:jc w:val="left"/>
        <w:rPr>
          <w:shd w:fill="FFFFFF" w:val="clear"/>
        </w:rPr>
      </w:pPr>
      <w:r>
        <w:rPr>
          <w:shd w:fill="FFFFFF" w:val="clear"/>
        </w:rPr>
        <w:t> </w:t>
      </w:r>
    </w:p>
    <w:tbl>
      <w:tblPr>
        <w:tblW w:w="4300" w:type="dxa"/>
        <w:jc w:val="left"/>
        <w:tblInd w:w="0" w:type="dxa"/>
        <w:tblLayout w:type="fixed"/>
        <w:tblCellMar>
          <w:top w:w="0" w:type="dxa"/>
          <w:left w:w="0" w:type="dxa"/>
          <w:bottom w:w="0" w:type="dxa"/>
          <w:right w:w="0" w:type="dxa"/>
        </w:tblCellMar>
      </w:tblPr>
      <w:tblGrid>
        <w:gridCol w:w="425"/>
        <w:gridCol w:w="3875"/>
      </w:tblGrid>
      <w:tr>
        <w:trPr/>
        <w:tc>
          <w:tcPr>
            <w:tcW w:w="425" w:type="dxa"/>
            <w:tcBorders/>
            <w:vAlign w:val="center"/>
          </w:tcPr>
          <w:p>
            <w:pPr>
              <w:pStyle w:val="TableContents"/>
              <w:bidi w:val="0"/>
              <w:spacing w:before="0" w:after="0"/>
              <w:jc w:val="left"/>
              <w:rPr>
                <w:b/>
                <w:i/>
                <w:spacing w:val="0"/>
              </w:rPr>
            </w:pPr>
            <w:r>
              <w:rPr>
                <w:b/>
                <w:i/>
                <w:spacing w:val="0"/>
              </w:rPr>
              <w:t>(ab)</w:t>
            </w:r>
          </w:p>
        </w:tc>
        <w:tc>
          <w:tcPr>
            <w:tcW w:w="387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Accounting Pronouncements Not Yet Adopted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2016,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Financial instruments — Credit Losses (Topic 326): Measurement of Credit Losses on Financial Instruments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and subsequent related ASUs, which amends the guidance on the impairment of financial instruments by requiring measurement and recognition of expected credit losses for financial assets held.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is effective for public and private companies’ fiscal years, and for interim periods within those fiscal years, beginning after December 15, 2019, and December 15, 2022, respectively. The Company expects to adopt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under the private company transition guidance beginning January 1, 2023 and is currently evaluating the impact on the Company’s consolidated financial statements. </w:t>
      </w:r>
    </w:p>
    <w:p>
      <w:pPr>
        <w:pStyle w:val="TextBody"/>
        <w:bidi w:val="0"/>
        <w:spacing w:before="0" w:after="0"/>
        <w:jc w:val="left"/>
        <w:rPr>
          <w:shd w:fill="FFFFFF" w:val="clear"/>
        </w:rPr>
      </w:pPr>
      <w:r>
        <w:rPr>
          <w:shd w:fill="FFFFFF" w:val="clear"/>
        </w:rPr>
        <w:t> </w:t>
      </w:r>
    </w:p>
    <w:tbl>
      <w:tblPr>
        <w:tblW w:w="2500" w:type="dxa"/>
        <w:jc w:val="left"/>
        <w:tblInd w:w="0" w:type="dxa"/>
        <w:tblLayout w:type="fixed"/>
        <w:tblCellMar>
          <w:top w:w="0" w:type="dxa"/>
          <w:left w:w="0" w:type="dxa"/>
          <w:bottom w:w="0" w:type="dxa"/>
          <w:right w:w="0" w:type="dxa"/>
        </w:tblCellMar>
      </w:tblPr>
      <w:tblGrid>
        <w:gridCol w:w="305"/>
        <w:gridCol w:w="2195"/>
      </w:tblGrid>
      <w:tr>
        <w:trPr/>
        <w:tc>
          <w:tcPr>
            <w:tcW w:w="305" w:type="dxa"/>
            <w:tcBorders/>
            <w:vAlign w:val="center"/>
          </w:tcPr>
          <w:p>
            <w:pPr>
              <w:pStyle w:val="TableContents"/>
              <w:bidi w:val="0"/>
              <w:spacing w:before="0" w:after="0"/>
              <w:jc w:val="left"/>
              <w:rPr>
                <w:b/>
                <w:spacing w:val="0"/>
              </w:rPr>
            </w:pPr>
            <w:r>
              <w:rPr>
                <w:b/>
                <w:spacing w:val="0"/>
              </w:rPr>
              <w:t>(3)</w:t>
            </w:r>
          </w:p>
        </w:tc>
        <w:tc>
          <w:tcPr>
            <w:tcW w:w="2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Reverse Recapitalization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discussed in Note 1 – Organization, on July 18, 2023, the Company consummated the Mergers pursuant to the Amended and Restated Business Combination Agreement. The Mergers was accounted for as a reverse recapitalization, rather than a business combination, for financial accounting and reporting purposes. Accordingly, Complete Solaria was deemed the accounting acquirer (and legal acquiree) and FACT was treated as the accounting acquiree (and legal acquirer). Complete Solaria has been determined to be the accounting acquirer based on evaluation of the following facts and circumstances: </w:t>
      </w:r>
    </w:p>
    <w:p>
      <w:pPr>
        <w:pStyle w:val="TextBody"/>
        <w:bidi w:val="0"/>
        <w:spacing w:before="0" w:after="0"/>
        <w:jc w:val="left"/>
        <w:rPr>
          <w:shd w:fill="FFFFFF" w:val="clear"/>
        </w:rPr>
      </w:pPr>
      <w:r>
        <w:rPr>
          <w:shd w:fill="FFFFFF" w:val="clear"/>
        </w:rPr>
        <w:t> </w:t>
      </w:r>
    </w:p>
    <w:tbl>
      <w:tblPr>
        <w:tblW w:w="9865" w:type="dxa"/>
        <w:jc w:val="left"/>
        <w:tblInd w:w="0" w:type="dxa"/>
        <w:tblLayout w:type="fixed"/>
        <w:tblCellMar>
          <w:top w:w="0" w:type="dxa"/>
          <w:left w:w="0" w:type="dxa"/>
          <w:bottom w:w="0" w:type="dxa"/>
          <w:right w:w="0" w:type="dxa"/>
        </w:tblCellMar>
      </w:tblPr>
      <w:tblGrid>
        <w:gridCol w:w="75"/>
        <w:gridCol w:w="110"/>
        <w:gridCol w:w="60"/>
        <w:gridCol w:w="9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Complete Solaria’s pre-combination stockholders have the majority of the voting power in the post-merged company;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Legacy Complete Solaria’s stockholders have the ability to appoint a majority of the Complete Solaria Board of Directors; </w:t>
            </w:r>
          </w:p>
        </w:tc>
      </w:tr>
    </w:tbl>
    <w:p>
      <w:pPr>
        <w:pStyle w:val="TextBody"/>
        <w:bidi w:val="0"/>
        <w:spacing w:before="0" w:after="0"/>
        <w:jc w:val="left"/>
        <w:rPr>
          <w:shd w:fill="FFFFFF" w:val="clear"/>
        </w:rPr>
      </w:pPr>
      <w:r>
        <w:rPr>
          <w:shd w:fill="FFFFFF" w:val="clea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Legacy Complete Solaria’s management team is considered the management team of the post-merged company; </w:t>
            </w:r>
          </w:p>
        </w:tc>
      </w:tr>
    </w:tbl>
    <w:p>
      <w:pPr>
        <w:pStyle w:val="TextBody"/>
        <w:bidi w:val="0"/>
        <w:spacing w:before="0" w:after="0"/>
        <w:jc w:val="left"/>
        <w:rPr>
          <w:shd w:fill="FFFFFF" w:val="clear"/>
        </w:rPr>
      </w:pPr>
      <w:r>
        <w:rPr>
          <w:shd w:fill="FFFFFF" w:val="clea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Legacy Complete Solaria’s prior operations is comprised of the ongoing operations of the post-merged company; </w:t>
            </w:r>
          </w:p>
        </w:tc>
      </w:tr>
    </w:tbl>
    <w:p>
      <w:pPr>
        <w:pStyle w:val="TextBody"/>
        <w:bidi w:val="0"/>
        <w:spacing w:before="0" w:after="0"/>
        <w:jc w:val="left"/>
        <w:rPr>
          <w:shd w:fill="FFFFFF" w:val="clear"/>
        </w:rPr>
      </w:pPr>
      <w:r>
        <w:rPr>
          <w:shd w:fill="FFFFFF" w:val="clea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Complete Solaria is the larger entity based on historical revenues and business operations; and </w:t>
            </w:r>
          </w:p>
        </w:tc>
      </w:tr>
    </w:tbl>
    <w:p>
      <w:pPr>
        <w:pStyle w:val="TextBody"/>
        <w:bidi w:val="0"/>
        <w:spacing w:before="0" w:after="0"/>
        <w:jc w:val="left"/>
        <w:rPr>
          <w:shd w:fill="FFFFFF" w:val="clear"/>
        </w:rPr>
      </w:pPr>
      <w:r>
        <w:rPr>
          <w:shd w:fill="FFFFFF" w:val="clea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post-merged company has assumed Complete Solaria’s operating name.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Under this method of accounting, the reverse recapitalization was treated as the equivalent of Complete Solaria issuing stock for the net assets of FACT, accompanied by a recapitalization. The net assets of FACT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are stated at historical cost, with no goodwill or other intangible assets recorded. The consolidated assets, liabilities, and results of operations prior to the Mergers are those of Legacy Complete Solaria. All periods prior to the Mergers have been retrospectively adjusted in accordance with the Amended and Restated Business Combination Agreement for the equivalent number of preferred or common shares outstanding immediately after the Mergers to effect the reverse recapitalization.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Upon the closing of the Mergers and the PIPE Financing in July 2023, the Company received net cash proceeds of $19.7 million. Immediately upon closing of the Mergers, the Company had 45,290,553 shares issued and outstanding of Class A Common Stock. The following table presents the number of shares of Complete Solaria Common Stock outstanding immediately following the consummation of the Mergers: </w:t>
      </w:r>
    </w:p>
    <w:p>
      <w:pPr>
        <w:pStyle w:val="TextBody"/>
        <w:bidi w:val="0"/>
        <w:spacing w:before="0" w:after="0"/>
        <w:jc w:val="left"/>
        <w:rPr>
          <w:shd w:fill="FFFFFF" w:val="clear"/>
        </w:rPr>
      </w:pPr>
      <w:r>
        <w:rPr>
          <w:shd w:fill="FFFFFF" w:val="clear"/>
        </w:rPr>
        <w:t> </w:t>
      </w:r>
    </w:p>
    <w:tbl>
      <w:tblPr>
        <w:tblW w:w="7620" w:type="dxa"/>
        <w:jc w:val="left"/>
        <w:tblInd w:w="0" w:type="dxa"/>
        <w:tblLayout w:type="fixed"/>
        <w:tblCellMar>
          <w:top w:w="0" w:type="dxa"/>
          <w:left w:w="0" w:type="dxa"/>
          <w:bottom w:w="0" w:type="dxa"/>
          <w:right w:w="0" w:type="dxa"/>
        </w:tblCellMar>
      </w:tblPr>
      <w:tblGrid>
        <w:gridCol w:w="5675"/>
        <w:gridCol w:w="120"/>
        <w:gridCol w:w="80"/>
        <w:gridCol w:w="1575"/>
        <w:gridCol w:w="170"/>
      </w:tblGrid>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Recapitalization</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FACT Class A Ordinary Shares, outstanding prior to Mergers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34,500,000</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FACT Class B Ordinary Shares, outstanding prior to Mergers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8,625,000</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Bonus shares issued to sponsor</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193,976</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Bonus shares issued to PIPE investors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120,000</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Bonus shares issued to FPA investors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150,000</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issued from PIPE financing</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1,690,000</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issued from FPA agreements, net of recycled shares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5,558,488</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redemption of FACT Class A Ordinary Shares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(31,041,243</w:t>
            </w:r>
          </w:p>
        </w:tc>
        <w:tc>
          <w:tcPr>
            <w:tcW w:w="17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from the Mergers and PIPE Financing</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19,796,221</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Legacy Complete Solaria shares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20,034,257</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2022 Convertible Note Shares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5,460,075</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Complete Solaria Common stock immediately after Mergers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45,290,553</w:t>
            </w:r>
          </w:p>
        </w:tc>
        <w:tc>
          <w:tcPr>
            <w:tcW w:w="17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connection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with the Mergers, the Company incurred direct and incremental costs of approximately $15.8 million related to legal, accounting, and other professional fees, which were offset against the Company’s additional paid-in capital. Of the $15.8 million, $5.2 million was incurred by Legacy Complete Solaria and $10.6 million was incurred by FACT. As a result of the Closing, outstanding 2022 Convertible Notes were converted into shares of Complete Solaria Common Stock. </w:t>
      </w:r>
    </w:p>
    <w:p>
      <w:pPr>
        <w:pStyle w:val="TextBody"/>
        <w:bidi w:val="0"/>
        <w:spacing w:before="0" w:after="0"/>
        <w:jc w:val="left"/>
        <w:rPr>
          <w:shd w:fill="FFFFFF" w:val="clear"/>
        </w:rPr>
      </w:pPr>
      <w:r>
        <w:rPr>
          <w:shd w:fill="FFFFFF" w:val="clear"/>
        </w:rPr>
        <w:t> </w:t>
      </w:r>
    </w:p>
    <w:tbl>
      <w:tblPr>
        <w:tblW w:w="2260" w:type="dxa"/>
        <w:jc w:val="left"/>
        <w:tblInd w:w="0" w:type="dxa"/>
        <w:tblLayout w:type="fixed"/>
        <w:tblCellMar>
          <w:top w:w="0" w:type="dxa"/>
          <w:left w:w="0" w:type="dxa"/>
          <w:bottom w:w="0" w:type="dxa"/>
          <w:right w:w="0" w:type="dxa"/>
        </w:tblCellMar>
      </w:tblPr>
      <w:tblGrid>
        <w:gridCol w:w="305"/>
        <w:gridCol w:w="1955"/>
      </w:tblGrid>
      <w:tr>
        <w:trPr/>
        <w:tc>
          <w:tcPr>
            <w:tcW w:w="305" w:type="dxa"/>
            <w:tcBorders/>
            <w:vAlign w:val="center"/>
          </w:tcPr>
          <w:p>
            <w:pPr>
              <w:pStyle w:val="TableContents"/>
              <w:bidi w:val="0"/>
              <w:spacing w:before="0" w:after="0"/>
              <w:jc w:val="left"/>
              <w:rPr>
                <w:b/>
                <w:spacing w:val="0"/>
              </w:rPr>
            </w:pPr>
            <w:r>
              <w:rPr>
                <w:b/>
                <w:spacing w:val="0"/>
              </w:rPr>
              <w:t>(4)</w:t>
            </w:r>
          </w:p>
        </w:tc>
        <w:tc>
          <w:tcPr>
            <w:tcW w:w="1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Combination </w:t>
            </w:r>
          </w:p>
        </w:tc>
      </w:tr>
    </w:tbl>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Solaria Acquisition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November 4, 2022, Complete Solar Holdings acquired Solaria for aggregate consideration paid of $89.1 million, comprising of $0.1 million in cash, 2,884,550 shares of common stock with an aggregate fair value of $17.3 million, 6,803,549 shares of preferred stock with an aggregate fair value of $52.2 million, 78,962 common stock warrants for an aggregate value of $0.2 million, 1,376,414 preferred stock warrants for an aggregate fair value of $7.8 million, 5,382,599 stock options with an aggregate fair value of $10.0 million attributable to services provided prior to the acquisition date, and the payment of seller incurred transaction expenses of $1.5 million. In addition, the Company assumed $14.1 million of unvested Solaria stock options, which will be recorded as stock-based expense over the remaining service period. Solaria designs, develops, manufactures, and generates revenue from the sale of silicon photovoltaic solar panels and licensing of its technology to third parties. This transaction was accounted for as a business combination in accordance with ASC 805,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Business Combinations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Subsequent to the acquisition as discussed above, the Company sold certain intangible assets constituting the Solaria business in October of 2023, resulting in the Solaria business to be reflected as discontinued operations and certain intangible assets and goodwill to be recognized as held-for-sale. Refer to Note 5 – Divestitures for further details.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Acquisition costs of $1.3 million were expensed by the Company and are included in general and administrative expenses within the consolidated statements of operations and comprehensive loss for the year ended December 31, 2022.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assets acquired and liabilities assumed was based upon a preliminary valuation and the Company’s estimates and assumptions are subject to change within the measurement period. The following table summarized the provisional fair value of identifiable assets acquired and liabilities assumed (in thousands): </w:t>
      </w:r>
    </w:p>
    <w:p>
      <w:pPr>
        <w:pStyle w:val="TextBody"/>
        <w:bidi w:val="0"/>
        <w:spacing w:before="0" w:after="0"/>
        <w:jc w:val="left"/>
        <w:rPr>
          <w:shd w:fill="FFFFFF" w:val="clear"/>
        </w:rPr>
      </w:pPr>
      <w:r>
        <w:rPr>
          <w:shd w:fill="FFFFFF" w:val="clear"/>
        </w:rPr>
        <w:t> </w:t>
      </w:r>
    </w:p>
    <w:tbl>
      <w:tblPr>
        <w:tblW w:w="5070" w:type="dxa"/>
        <w:jc w:val="left"/>
        <w:tblInd w:w="0" w:type="dxa"/>
        <w:tblLayout w:type="fixed"/>
        <w:tblCellMar>
          <w:top w:w="0" w:type="dxa"/>
          <w:left w:w="0" w:type="dxa"/>
          <w:bottom w:w="0" w:type="dxa"/>
          <w:right w:w="0" w:type="dxa"/>
        </w:tblCellMar>
      </w:tblPr>
      <w:tblGrid>
        <w:gridCol w:w="3935"/>
        <w:gridCol w:w="120"/>
        <w:gridCol w:w="140"/>
        <w:gridCol w:w="800"/>
        <w:gridCol w:w="75"/>
      </w:tblGrid>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5,402</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4,822</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5,354</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8,569</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830</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1,619</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43,100</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identifiable assets acquired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69,808</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4,210</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11,845</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20,823</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1,132</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noncurrent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1,566</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SAFE agreements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60,470</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identifiable liabilities assumed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100,119</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identifiable liabilities assumed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30,311</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119,422</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aggregate consideration paid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89,111</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Goodwill represents the excess of the preliminary estimated consideration transferred over the fair value of the net tangible and intangible assets acquired and has been allocated to the Company’s single reporting unit. Goodwill was subsequently reclassified to long-term assets held-for-sale – discontinued operations, on the Company’s balance sheet as of December 31, 2022, stemming from the sale of the Solaria business discussed in Note 5 below.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Intangible assets acquired and subsequently disposed of as part of the Solaria disposition discussed in Note 5 below are as follows (in thousands): </w:t>
      </w:r>
    </w:p>
    <w:p>
      <w:pPr>
        <w:pStyle w:val="TextBody"/>
        <w:bidi w:val="0"/>
        <w:spacing w:before="0" w:after="0"/>
        <w:jc w:val="left"/>
        <w:rPr>
          <w:shd w:fill="FFFFFF" w:val="clear"/>
        </w:rPr>
      </w:pPr>
      <w:r>
        <w:rPr>
          <w:shd w:fill="FFFFFF" w:val="clear"/>
        </w:rPr>
        <w:t> </w:t>
      </w:r>
    </w:p>
    <w:tbl>
      <w:tblPr>
        <w:tblW w:w="2925" w:type="dxa"/>
        <w:jc w:val="left"/>
        <w:tblInd w:w="0" w:type="dxa"/>
        <w:tblLayout w:type="fixed"/>
        <w:tblCellMar>
          <w:top w:w="0" w:type="dxa"/>
          <w:left w:w="0" w:type="dxa"/>
          <w:bottom w:w="0" w:type="dxa"/>
          <w:right w:w="0" w:type="dxa"/>
        </w:tblCellMar>
      </w:tblPr>
      <w:tblGrid>
        <w:gridCol w:w="1910"/>
        <w:gridCol w:w="120"/>
        <w:gridCol w:w="140"/>
        <w:gridCol w:w="680"/>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5,700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12,700</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24,700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intangible asset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43,100</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income approach, using the relief from royalty method, was used to value trademarks and developed technology. Significant assumptions included in the valuation of trademarks and developed technology include projected revenues, the selected royalty rate and the economic life of the underlying asset.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income approach, using the multi-period excess earning method, was used to value customer relationships. Significant assumptions included in the valuation of customer relationships include projected revenues, customer attrition and expense growth over the forecasted period.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a result of the Solaria acquisition, the Company recognized $45.9 million of deferred tax assets. Due to the uncertainty surrounding the Company’s ability to realize such deferred income tax assets, a full valuation allowance has been established. Refer to Note 18 – Income Taxes for additional details. </w:t>
      </w:r>
    </w:p>
    <w:p>
      <w:pPr>
        <w:pStyle w:val="TextBody"/>
        <w:bidi w:val="0"/>
        <w:spacing w:before="0" w:after="0"/>
        <w:jc w:val="left"/>
        <w:rPr>
          <w:shd w:fill="FFFFFF" w:val="clear"/>
        </w:rPr>
      </w:pPr>
      <w:r>
        <w:rPr>
          <w:shd w:fill="FFFFFF" w:val="clear"/>
        </w:rPr>
        <w:t> </w:t>
      </w:r>
    </w:p>
    <w:tbl>
      <w:tblPr>
        <w:tblW w:w="1315" w:type="dxa"/>
        <w:jc w:val="left"/>
        <w:tblInd w:w="0" w:type="dxa"/>
        <w:tblLayout w:type="fixed"/>
        <w:tblCellMar>
          <w:top w:w="0" w:type="dxa"/>
          <w:left w:w="0" w:type="dxa"/>
          <w:bottom w:w="0" w:type="dxa"/>
          <w:right w:w="0" w:type="dxa"/>
        </w:tblCellMar>
      </w:tblPr>
      <w:tblGrid>
        <w:gridCol w:w="305"/>
        <w:gridCol w:w="1010"/>
      </w:tblGrid>
      <w:tr>
        <w:trPr/>
        <w:tc>
          <w:tcPr>
            <w:tcW w:w="305" w:type="dxa"/>
            <w:tcBorders/>
            <w:vAlign w:val="center"/>
          </w:tcPr>
          <w:p>
            <w:pPr>
              <w:pStyle w:val="TableContents"/>
              <w:bidi w:val="0"/>
              <w:spacing w:before="0" w:after="0"/>
              <w:jc w:val="left"/>
              <w:rPr>
                <w:b/>
                <w:spacing w:val="0"/>
              </w:rPr>
            </w:pPr>
            <w:r>
              <w:rPr>
                <w:b/>
                <w:spacing w:val="0"/>
              </w:rPr>
              <w:t>(5)</w:t>
            </w:r>
          </w:p>
        </w:tc>
        <w:tc>
          <w:tcPr>
            <w:tcW w:w="10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Divestiture </w:t>
            </w:r>
          </w:p>
        </w:tc>
      </w:tr>
    </w:tbl>
    <w:p>
      <w:pPr>
        <w:pStyle w:val="TextBody"/>
        <w:bidi w:val="0"/>
        <w:spacing w:before="120" w:after="0"/>
        <w:jc w:val="left"/>
        <w:rPr>
          <w:rFonts w:ascii="Times New Roman" w:hAnsi="Times New Roman"/>
          <w:i/>
          <w:caps w:val="false"/>
          <w:smallCaps w:val="false"/>
          <w:spacing w:val="0"/>
          <w:sz w:val="20"/>
          <w:u w:val="single"/>
          <w:shd w:fill="FFFFFF" w:val="clear"/>
        </w:rPr>
      </w:pPr>
      <w:r>
        <w:rPr>
          <w:rFonts w:ascii="Times New Roman" w:hAnsi="Times New Roman"/>
          <w:i/>
          <w:caps w:val="false"/>
          <w:smallCaps w:val="false"/>
          <w:spacing w:val="0"/>
          <w:sz w:val="20"/>
          <w:u w:val="single"/>
          <w:shd w:fill="FFFFFF" w:val="clear"/>
        </w:rPr>
        <w:t xml:space="preserve">Discontinued </w:t>
      </w:r>
    </w:p>
    <w:p>
      <w:pPr>
        <w:pStyle w:val="TextBody"/>
        <w:bidi w:val="0"/>
        <w:spacing w:before="120" w:after="0"/>
        <w:jc w:val="left"/>
        <w:rPr>
          <w:rFonts w:ascii="Times New Roman" w:hAnsi="Times New Roman"/>
          <w:i/>
          <w:caps w:val="false"/>
          <w:smallCaps w:val="false"/>
          <w:spacing w:val="0"/>
          <w:sz w:val="20"/>
          <w:u w:val="single"/>
          <w:shd w:fill="FFFFFF" w:val="clear"/>
        </w:rPr>
      </w:pPr>
      <w:r>
        <w:rPr>
          <w:rFonts w:ascii="Times New Roman" w:hAnsi="Times New Roman"/>
          <w:i/>
          <w:caps w:val="false"/>
          <w:smallCaps w:val="false"/>
          <w:spacing w:val="0"/>
          <w:sz w:val="20"/>
          <w:u w:val="single"/>
          <w:shd w:fill="FFFFFF" w:val="clear"/>
        </w:rPr>
        <w:t xml:space="preserve">operations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previously described in Note 1 – Organization, on August 18, 2023, the Company entered into a Non-Binding Letter of Intent to sell certain of Complete Solaria’s North American solar panel assets, inclusive of intellectual property and customer contracts, to Maxeon. In October 2023, the Company completed the sale of its solar panel business to Maxeon. The assets sold to Maxeon were the assets that allowed for the Solaria business to operate as a product manufacturer of solar panels. As such, the Company determined that the sale of these assets in effect represented a disposition of the Solaria business and constituted a strategic shift in the Company’s operations, therefore qualifying as a discontinued operation. Accordingly, the results of operations and cash flows relating to Solaria have been reflected as discontinued operations in the consolidated statements of operations and comprehensive income (loss) for the year ended December 31, 2022 and the consolidated statements of cash flows for the year ended December 31,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of amounts reflected in the consolidated statements of operations and comprehensive income (loss) related to discontinued operations are presented in the table, as follows (in thousands): </w:t>
      </w:r>
    </w:p>
    <w:p>
      <w:pPr>
        <w:pStyle w:val="TextBody"/>
        <w:bidi w:val="0"/>
        <w:spacing w:before="0" w:after="0"/>
        <w:jc w:val="left"/>
        <w:rPr>
          <w:shd w:fill="FFFFFF" w:val="clear"/>
        </w:rPr>
      </w:pPr>
      <w:r>
        <w:rPr>
          <w:shd w:fill="FFFFFF" w:val="clear"/>
        </w:rPr>
        <w:t> </w:t>
      </w:r>
    </w:p>
    <w:tbl>
      <w:tblPr>
        <w:tblW w:w="5355" w:type="dxa"/>
        <w:jc w:val="left"/>
        <w:tblInd w:w="0" w:type="dxa"/>
        <w:tblLayout w:type="fixed"/>
        <w:tblCellMar>
          <w:top w:w="0" w:type="dxa"/>
          <w:left w:w="0" w:type="dxa"/>
          <w:bottom w:w="0" w:type="dxa"/>
          <w:right w:w="0" w:type="dxa"/>
        </w:tblCellMar>
      </w:tblPr>
      <w:tblGrid>
        <w:gridCol w:w="3110"/>
        <w:gridCol w:w="120"/>
        <w:gridCol w:w="333"/>
        <w:gridCol w:w="1622"/>
        <w:gridCol w:w="170"/>
      </w:tblGrid>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17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13,325</w:t>
            </w:r>
          </w:p>
        </w:tc>
        <w:tc>
          <w:tcPr>
            <w:tcW w:w="17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12,847</w:t>
            </w:r>
          </w:p>
        </w:tc>
        <w:tc>
          <w:tcPr>
            <w:tcW w:w="17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478</w:t>
            </w:r>
          </w:p>
        </w:tc>
        <w:tc>
          <w:tcPr>
            <w:tcW w:w="17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1,315</w:t>
            </w:r>
          </w:p>
        </w:tc>
        <w:tc>
          <w:tcPr>
            <w:tcW w:w="17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617</w:t>
            </w:r>
          </w:p>
        </w:tc>
        <w:tc>
          <w:tcPr>
            <w:tcW w:w="17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1,932</w:t>
            </w:r>
          </w:p>
        </w:tc>
        <w:tc>
          <w:tcPr>
            <w:tcW w:w="17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from discontinued operations</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(1,454</w:t>
            </w:r>
          </w:p>
        </w:tc>
        <w:tc>
          <w:tcPr>
            <w:tcW w:w="17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double" w:sz="6" w:space="1" w:color="000000"/>
              </w:rPr>
            </w:pPr>
            <w:r>
              <w:rPr>
                <w:bdr w:val="double" w:sz="6" w:space="1" w:color="000000"/>
              </w:rPr>
              <w:t> </w:t>
            </w:r>
          </w:p>
        </w:tc>
        <w:tc>
          <w:tcPr>
            <w:tcW w:w="162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u w:val="single"/>
          <w:shd w:fill="FFFFFF" w:val="clear"/>
        </w:rPr>
      </w:pPr>
      <w:r>
        <w:rPr>
          <w:rFonts w:ascii="Times New Roman" w:hAnsi="Times New Roman"/>
          <w:i/>
          <w:caps w:val="false"/>
          <w:smallCaps w:val="false"/>
          <w:spacing w:val="0"/>
          <w:sz w:val="20"/>
          <w:u w:val="single"/>
          <w:shd w:fill="FFFFFF" w:val="clear"/>
        </w:rPr>
        <w:t xml:space="preserve">Held for sale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previously described in Note 1 – Organization, certain assets of the Solaria, Inc. have been reflected as assets held for sale in the periods preceding the divestiture.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is a summary of the major categories of assets and liabilities held for sale (in thousands): </w:t>
      </w:r>
    </w:p>
    <w:p>
      <w:pPr>
        <w:pStyle w:val="TextBody"/>
        <w:bidi w:val="0"/>
        <w:spacing w:before="0" w:after="0"/>
        <w:jc w:val="left"/>
        <w:rPr>
          <w:shd w:fill="FFFFFF" w:val="clear"/>
        </w:rPr>
      </w:pPr>
      <w:r>
        <w:rPr>
          <w:shd w:fill="FFFFFF" w:val="clear"/>
        </w:rPr>
        <w:t> </w:t>
      </w:r>
    </w:p>
    <w:tbl>
      <w:tblPr>
        <w:tblW w:w="4585" w:type="dxa"/>
        <w:jc w:val="left"/>
        <w:tblInd w:w="0" w:type="dxa"/>
        <w:tblLayout w:type="fixed"/>
        <w:tblCellMar>
          <w:top w:w="0" w:type="dxa"/>
          <w:left w:w="0" w:type="dxa"/>
          <w:bottom w:w="0" w:type="dxa"/>
          <w:right w:w="0" w:type="dxa"/>
        </w:tblCellMar>
      </w:tblPr>
      <w:tblGrid>
        <w:gridCol w:w="2435"/>
        <w:gridCol w:w="120"/>
        <w:gridCol w:w="291"/>
        <w:gridCol w:w="1664"/>
        <w:gridCol w:w="75"/>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42,610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119,422</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bdr w:val="single" w:sz="2" w:space="1" w:color="000000"/>
              </w:rPr>
            </w:pPr>
            <w:r>
              <w:rPr>
                <w:bdr w:val="single" w:sz="2" w:space="1" w:color="000000"/>
              </w:rPr>
              <w:t> </w:t>
            </w:r>
          </w:p>
        </w:tc>
        <w:tc>
          <w:tcPr>
            <w:tcW w:w="166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assets held for sale</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162,032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bdr w:val="double" w:sz="6" w:space="1" w:color="000000"/>
              </w:rPr>
            </w:pPr>
            <w:r>
              <w:rPr>
                <w:bdr w:val="double" w:sz="6" w:space="1" w:color="000000"/>
              </w:rPr>
              <w:t> </w:t>
            </w:r>
          </w:p>
        </w:tc>
        <w:tc>
          <w:tcPr>
            <w:tcW w:w="166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October 2023, in conjunction with the divestiture, the Company recorded impairment expense of $119.4 million and $28.1 million associated with the goodwill and intangible assets, respectively, assigned to Solaria and a loss on disposal of $1.8 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Cash flows from discontinued operations included depreciation and amortization of $0.5 million and stock-based compensation expense of $0.5 million for year ended December 31, 2022.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b/>
                <w:spacing w:val="0"/>
              </w:rPr>
            </w:pPr>
            <w:r>
              <w:rPr>
                <w:b/>
                <w:spacing w:val="0"/>
              </w:rPr>
              <w:t>(6)</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Prepaid Expenses and Other Current Assets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Prepaid expenses and other current assets consists of the following (in thousands): </w:t>
      </w:r>
    </w:p>
    <w:p>
      <w:pPr>
        <w:pStyle w:val="TextBody"/>
        <w:bidi w:val="0"/>
        <w:spacing w:before="0" w:after="0"/>
        <w:jc w:val="left"/>
        <w:rPr>
          <w:shd w:fill="FFFFFF" w:val="clear"/>
        </w:rPr>
      </w:pPr>
      <w:r>
        <w:rPr>
          <w:shd w:fill="FFFFFF" w:val="clear"/>
        </w:rPr>
        <w:t> </w:t>
      </w:r>
    </w:p>
    <w:tbl>
      <w:tblPr>
        <w:tblW w:w="6487" w:type="dxa"/>
        <w:jc w:val="left"/>
        <w:tblInd w:w="0" w:type="dxa"/>
        <w:tblLayout w:type="fixed"/>
        <w:tblCellMar>
          <w:top w:w="0" w:type="dxa"/>
          <w:left w:w="0" w:type="dxa"/>
          <w:bottom w:w="0" w:type="dxa"/>
          <w:right w:w="0" w:type="dxa"/>
        </w:tblCellMar>
      </w:tblPr>
      <w:tblGrid>
        <w:gridCol w:w="4295"/>
        <w:gridCol w:w="120"/>
        <w:gridCol w:w="164"/>
        <w:gridCol w:w="800"/>
        <w:gridCol w:w="70"/>
        <w:gridCol w:w="141"/>
        <w:gridCol w:w="164"/>
        <w:gridCol w:w="658"/>
        <w:gridCol w:w="75"/>
      </w:tblGrid>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deposits. . . . . . . . . . . . . . . . . . . . . . . . . . . . . . .</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6,255</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sales commissions . . . . . . . . . . . . . . . . . . . . . .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2,838</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4,771</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 . . . . . . . . . . . . . . . . . . . . . . . . . . . . . . . . . . . . . . .</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978</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184</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65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 . .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10,071</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658" w:type="dxa"/>
            <w:tcBorders/>
            <w:vAlign w:val="center"/>
          </w:tcPr>
          <w:p>
            <w:pPr>
              <w:pStyle w:val="TableContents"/>
              <w:bidi w:val="0"/>
              <w:spacing w:before="0" w:after="283"/>
              <w:jc w:val="right"/>
              <w:rPr/>
            </w:pPr>
            <w:r>
              <w:rPr/>
              <w:t>4,955</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65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2860" w:type="dxa"/>
        <w:jc w:val="left"/>
        <w:tblInd w:w="0" w:type="dxa"/>
        <w:tblLayout w:type="fixed"/>
        <w:tblCellMar>
          <w:top w:w="0" w:type="dxa"/>
          <w:left w:w="0" w:type="dxa"/>
          <w:bottom w:w="0" w:type="dxa"/>
          <w:right w:w="0" w:type="dxa"/>
        </w:tblCellMar>
      </w:tblPr>
      <w:tblGrid>
        <w:gridCol w:w="305"/>
        <w:gridCol w:w="2555"/>
      </w:tblGrid>
      <w:tr>
        <w:trPr/>
        <w:tc>
          <w:tcPr>
            <w:tcW w:w="305" w:type="dxa"/>
            <w:tcBorders/>
            <w:vAlign w:val="center"/>
          </w:tcPr>
          <w:p>
            <w:pPr>
              <w:pStyle w:val="TableContents"/>
              <w:bidi w:val="0"/>
              <w:spacing w:before="0" w:after="0"/>
              <w:jc w:val="left"/>
              <w:rPr>
                <w:b/>
                <w:spacing w:val="0"/>
              </w:rPr>
            </w:pPr>
            <w:r>
              <w:rPr>
                <w:b/>
                <w:spacing w:val="0"/>
              </w:rPr>
              <w:t>(7)</w:t>
            </w:r>
          </w:p>
        </w:tc>
        <w:tc>
          <w:tcPr>
            <w:tcW w:w="25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and equipment, net consists of the following (in thousands): </w:t>
      </w:r>
    </w:p>
    <w:p>
      <w:pPr>
        <w:pStyle w:val="TextBody"/>
        <w:bidi w:val="0"/>
        <w:spacing w:before="0" w:after="0"/>
        <w:jc w:val="left"/>
        <w:rPr>
          <w:shd w:fill="FFFFFF" w:val="clear"/>
        </w:rPr>
      </w:pPr>
      <w:r>
        <w:rPr>
          <w:shd w:fill="FFFFFF" w:val="clear"/>
        </w:rPr>
        <w:t> </w:t>
      </w:r>
    </w:p>
    <w:tbl>
      <w:tblPr>
        <w:tblW w:w="6251" w:type="dxa"/>
        <w:jc w:val="left"/>
        <w:tblInd w:w="0" w:type="dxa"/>
        <w:tblLayout w:type="fixed"/>
        <w:tblCellMar>
          <w:top w:w="0" w:type="dxa"/>
          <w:left w:w="0" w:type="dxa"/>
          <w:bottom w:w="0" w:type="dxa"/>
          <w:right w:w="0" w:type="dxa"/>
        </w:tblCellMar>
      </w:tblPr>
      <w:tblGrid>
        <w:gridCol w:w="3965"/>
        <w:gridCol w:w="120"/>
        <w:gridCol w:w="153"/>
        <w:gridCol w:w="695"/>
        <w:gridCol w:w="169"/>
        <w:gridCol w:w="131"/>
        <w:gridCol w:w="153"/>
        <w:gridCol w:w="695"/>
        <w:gridCol w:w="170"/>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Developed software</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5,054</w:t>
            </w:r>
          </w:p>
        </w:tc>
        <w:tc>
          <w:tcPr>
            <w:tcW w:w="1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3,540</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Manufacturing equipment.</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102</w:t>
            </w:r>
          </w:p>
        </w:tc>
        <w:tc>
          <w:tcPr>
            <w:tcW w:w="1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 &amp; equipment</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90</w:t>
            </w:r>
          </w:p>
        </w:tc>
        <w:tc>
          <w:tcPr>
            <w:tcW w:w="1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708</w:t>
            </w:r>
          </w:p>
        </w:tc>
        <w:tc>
          <w:tcPr>
            <w:tcW w:w="1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695" w:type="dxa"/>
            <w:tcBorders/>
            <w:vAlign w:val="center"/>
          </w:tcPr>
          <w:p>
            <w:pPr>
              <w:pStyle w:val="TableContents"/>
              <w:bidi w:val="0"/>
              <w:spacing w:before="0" w:after="0"/>
              <w:jc w:val="left"/>
              <w:rPr>
                <w:bdr w:val="single" w:sz="2" w:space="1" w:color="000000"/>
              </w:rPr>
            </w:pPr>
            <w:r>
              <w:rPr>
                <w:bdr w:val="single" w:sz="2" w:space="1" w:color="000000"/>
              </w:rPr>
              <w:t> </w:t>
            </w:r>
          </w:p>
        </w:tc>
        <w:tc>
          <w:tcPr>
            <w:tcW w:w="1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6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5,954</w:t>
            </w:r>
          </w:p>
        </w:tc>
        <w:tc>
          <w:tcPr>
            <w:tcW w:w="1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3,610</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(2,478</w:t>
            </w:r>
          </w:p>
        </w:tc>
        <w:tc>
          <w:tcPr>
            <w:tcW w:w="1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(1,852</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695" w:type="dxa"/>
            <w:tcBorders/>
            <w:vAlign w:val="center"/>
          </w:tcPr>
          <w:p>
            <w:pPr>
              <w:pStyle w:val="TableContents"/>
              <w:bidi w:val="0"/>
              <w:spacing w:before="0" w:after="0"/>
              <w:jc w:val="left"/>
              <w:rPr>
                <w:bdr w:val="single" w:sz="2" w:space="1" w:color="000000"/>
              </w:rPr>
            </w:pPr>
            <w:r>
              <w:rPr>
                <w:bdr w:val="single" w:sz="2" w:space="1" w:color="000000"/>
              </w:rPr>
              <w:t> </w:t>
            </w:r>
          </w:p>
        </w:tc>
        <w:tc>
          <w:tcPr>
            <w:tcW w:w="1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6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property and equipment, net</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3,476</w:t>
            </w:r>
          </w:p>
        </w:tc>
        <w:tc>
          <w:tcPr>
            <w:tcW w:w="1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1,758</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double" w:sz="6" w:space="1" w:color="000000"/>
              </w:rPr>
            </w:pPr>
            <w:r>
              <w:rPr>
                <w:bdr w:val="double" w:sz="6" w:space="1" w:color="000000"/>
              </w:rPr>
              <w:t> </w:t>
            </w:r>
          </w:p>
        </w:tc>
        <w:tc>
          <w:tcPr>
            <w:tcW w:w="695" w:type="dxa"/>
            <w:tcBorders/>
            <w:vAlign w:val="center"/>
          </w:tcPr>
          <w:p>
            <w:pPr>
              <w:pStyle w:val="TableContents"/>
              <w:bidi w:val="0"/>
              <w:spacing w:before="0" w:after="0"/>
              <w:jc w:val="left"/>
              <w:rPr>
                <w:bdr w:val="double" w:sz="6" w:space="1" w:color="000000"/>
              </w:rPr>
            </w:pPr>
            <w:r>
              <w:rPr>
                <w:bdr w:val="double" w:sz="6" w:space="1" w:color="000000"/>
              </w:rPr>
              <w:t> </w:t>
            </w:r>
          </w:p>
        </w:tc>
        <w:tc>
          <w:tcPr>
            <w:tcW w:w="1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double" w:sz="6" w:space="1" w:color="000000"/>
              </w:rPr>
            </w:pPr>
            <w:r>
              <w:rPr>
                <w:bdr w:val="double" w:sz="6" w:space="1" w:color="000000"/>
              </w:rPr>
              <w:t> </w:t>
            </w:r>
          </w:p>
        </w:tc>
        <w:tc>
          <w:tcPr>
            <w:tcW w:w="69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Depreciation and amortization expense totaled $0.6 million, $0.5 million and $0.3 million for the years ended December 31, 2022, 2021 and 2020, respectively. </w:t>
      </w:r>
    </w:p>
    <w:p>
      <w:pPr>
        <w:pStyle w:val="TextBody"/>
        <w:bidi w:val="0"/>
        <w:spacing w:before="0" w:after="0"/>
        <w:jc w:val="left"/>
        <w:rPr>
          <w:shd w:fill="FFFFFF" w:val="clear"/>
        </w:rPr>
      </w:pPr>
      <w:r>
        <w:rPr>
          <w:shd w:fill="FFFFFF" w:val="clear"/>
        </w:rPr>
        <w:t> </w:t>
      </w:r>
    </w:p>
    <w:tbl>
      <w:tblPr>
        <w:tblW w:w="2185" w:type="dxa"/>
        <w:jc w:val="left"/>
        <w:tblInd w:w="0" w:type="dxa"/>
        <w:tblLayout w:type="fixed"/>
        <w:tblCellMar>
          <w:top w:w="0" w:type="dxa"/>
          <w:left w:w="0" w:type="dxa"/>
          <w:bottom w:w="0" w:type="dxa"/>
          <w:right w:w="0" w:type="dxa"/>
        </w:tblCellMar>
      </w:tblPr>
      <w:tblGrid>
        <w:gridCol w:w="305"/>
        <w:gridCol w:w="1880"/>
      </w:tblGrid>
      <w:tr>
        <w:trPr/>
        <w:tc>
          <w:tcPr>
            <w:tcW w:w="305" w:type="dxa"/>
            <w:tcBorders/>
            <w:vAlign w:val="center"/>
          </w:tcPr>
          <w:p>
            <w:pPr>
              <w:pStyle w:val="TableContents"/>
              <w:bidi w:val="0"/>
              <w:spacing w:before="0" w:after="0"/>
              <w:jc w:val="left"/>
              <w:rPr>
                <w:b/>
                <w:spacing w:val="0"/>
              </w:rPr>
            </w:pPr>
            <w:r>
              <w:rPr>
                <w:b/>
                <w:spacing w:val="0"/>
              </w:rPr>
              <w:t>(8)</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Net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Intangible assets consisted of the following (in thousands, except years data):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235"/>
        <w:gridCol w:w="120"/>
        <w:gridCol w:w="187"/>
        <w:gridCol w:w="1000"/>
        <w:gridCol w:w="60"/>
        <w:gridCol w:w="120"/>
        <w:gridCol w:w="232"/>
        <w:gridCol w:w="733"/>
        <w:gridCol w:w="60"/>
        <w:gridCol w:w="120"/>
        <w:gridCol w:w="292"/>
        <w:gridCol w:w="1078"/>
        <w:gridCol w:w="155"/>
        <w:gridCol w:w="60"/>
        <w:gridCol w:w="354"/>
        <w:gridCol w:w="506"/>
        <w:gridCol w:w="60"/>
        <w:gridCol w:w="120"/>
        <w:gridCol w:w="232"/>
        <w:gridCol w:w="733"/>
        <w:gridCol w:w="67"/>
        <w:gridCol w:w="134"/>
        <w:gridCol w:w="403"/>
        <w:gridCol w:w="967"/>
        <w:gridCol w:w="173"/>
        <w:gridCol w:w="67"/>
        <w:gridCol w:w="261"/>
        <w:gridCol w:w="599"/>
        <w:gridCol w:w="77"/>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7"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36"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2021</w:t>
            </w:r>
          </w:p>
        </w:tc>
        <w:tc>
          <w:tcPr>
            <w:tcW w:w="77"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Remaining</w:t>
              <w:br/>
              <w:t>Life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Carrying</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Carrying</w:t>
              <w:br/>
              <w:t>Amount</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73"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7"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Assembled workforce</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 </w:t>
            </w:r>
            <w:r>
              <w:rPr/>
              <w:t>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 </w:t>
            </w:r>
            <w:r>
              <w:rPr/>
              <w:t>(133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 </w:t>
            </w:r>
            <w:r>
              <w:rPr/>
              <w:t>137</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(65</w:t>
            </w:r>
          </w:p>
        </w:tc>
        <w:tc>
          <w:tcPr>
            <w:tcW w:w="17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 </w:t>
            </w:r>
            <w:r>
              <w:rPr/>
              <w:t>72</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Amortization expense related to intangible assets for the years ended December 31, 2022, 2021, and 2020 was $0.1 million, $0.1 million and zero,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For the year ended December 31, 2022, amortization expense related to intangible assets of $0.1 million and $0.1 million, respectively, was recorded in general and administrative expense on the accompanying consolidated statements of operations and comprehensive loss.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2020, amortization expense related to intangible assets was zero.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2022, amortization expense for intangible assets for 2023 is expected to be $0.1 million. Amortization expense for intangible assets is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expected to be material for periods subsequent to 2023.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Assembled workforce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21, 2021, the Company entered into an agreement to purchase the business assets of Current Insight, an engineering firm that develops designs for residential solar installations in a cost-effective manner for its customers. Consideration for the asset acquisition amounted to an aggregate purchase price of $0.2 million, comprised of a promissory note for $0.1 million and 30,000 shares of the Company’s common stock with an aggregate fair value of less than $0.1 million. The transaction was accounted for as an asset purchase in accordance with ASC 805,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Business Combinations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concluded that tangible and other assets acquired in the transaction did not have material value and, as such, ascribed no consideration to them. The total purchase price was allocated exclusively to the acquired assembled workforce, which is amortized on a straight-line basis over an estimated useful life of two years. </w:t>
      </w:r>
    </w:p>
    <w:p>
      <w:pPr>
        <w:pStyle w:val="TextBody"/>
        <w:bidi w:val="0"/>
        <w:spacing w:before="0" w:after="0"/>
        <w:jc w:val="left"/>
        <w:rPr>
          <w:shd w:fill="FFFFFF" w:val="clear"/>
        </w:rPr>
      </w:pPr>
      <w:r>
        <w:rPr>
          <w:shd w:fill="FFFFFF" w:val="clear"/>
        </w:rPr>
        <w:t> </w:t>
      </w:r>
    </w:p>
    <w:tbl>
      <w:tblPr>
        <w:tblW w:w="4450" w:type="dxa"/>
        <w:jc w:val="left"/>
        <w:tblInd w:w="0" w:type="dxa"/>
        <w:tblLayout w:type="fixed"/>
        <w:tblCellMar>
          <w:top w:w="0" w:type="dxa"/>
          <w:left w:w="0" w:type="dxa"/>
          <w:bottom w:w="0" w:type="dxa"/>
          <w:right w:w="0" w:type="dxa"/>
        </w:tblCellMar>
      </w:tblPr>
      <w:tblGrid>
        <w:gridCol w:w="305"/>
        <w:gridCol w:w="4145"/>
      </w:tblGrid>
      <w:tr>
        <w:trPr/>
        <w:tc>
          <w:tcPr>
            <w:tcW w:w="305" w:type="dxa"/>
            <w:tcBorders/>
            <w:vAlign w:val="center"/>
          </w:tcPr>
          <w:p>
            <w:pPr>
              <w:pStyle w:val="TableContents"/>
              <w:bidi w:val="0"/>
              <w:spacing w:before="0" w:after="0"/>
              <w:jc w:val="left"/>
              <w:rPr>
                <w:b/>
                <w:spacing w:val="0"/>
              </w:rPr>
            </w:pPr>
            <w:r>
              <w:rPr>
                <w:b/>
                <w:spacing w:val="0"/>
              </w:rPr>
              <w:t>(9)</w:t>
            </w:r>
          </w:p>
        </w:tc>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and other current liabilities consist of the following (in thousands): </w:t>
      </w:r>
    </w:p>
    <w:p>
      <w:pPr>
        <w:pStyle w:val="TextBody"/>
        <w:bidi w:val="0"/>
        <w:spacing w:before="0" w:after="0"/>
        <w:jc w:val="left"/>
        <w:rPr>
          <w:shd w:fill="FFFFFF" w:val="clear"/>
        </w:rPr>
      </w:pPr>
      <w:r>
        <w:rPr>
          <w:shd w:fill="FFFFFF" w:val="clear"/>
        </w:rPr>
        <w:t> </w:t>
      </w:r>
    </w:p>
    <w:tbl>
      <w:tblPr>
        <w:tblW w:w="7930" w:type="dxa"/>
        <w:jc w:val="left"/>
        <w:tblInd w:w="0" w:type="dxa"/>
        <w:tblLayout w:type="fixed"/>
        <w:tblCellMar>
          <w:top w:w="0" w:type="dxa"/>
          <w:left w:w="0" w:type="dxa"/>
          <w:bottom w:w="0" w:type="dxa"/>
          <w:right w:w="0" w:type="dxa"/>
        </w:tblCellMar>
      </w:tblPr>
      <w:tblGrid>
        <w:gridCol w:w="5975"/>
        <w:gridCol w:w="120"/>
        <w:gridCol w:w="140"/>
        <w:gridCol w:w="680"/>
        <w:gridCol w:w="60"/>
        <w:gridCol w:w="120"/>
        <w:gridCol w:w="140"/>
        <w:gridCol w:w="620"/>
        <w:gridCol w:w="75"/>
      </w:tblGrid>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3,940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3,498</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term loan and revolving loan amendment and final payment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Uninvoiced contract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2,180</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legal settlements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rebates and credits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received but not invoiced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390</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deposits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1,375</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600</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1,304</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19,830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20" w:type="dxa"/>
            <w:tcBorders/>
            <w:vAlign w:val="center"/>
          </w:tcPr>
          <w:p>
            <w:pPr>
              <w:pStyle w:val="TableContents"/>
              <w:bidi w:val="0"/>
              <w:spacing w:before="0" w:after="283"/>
              <w:jc w:val="right"/>
              <w:rPr/>
            </w:pPr>
            <w:r>
              <w:rPr/>
              <w:t>9,347</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2695" w:type="dxa"/>
        <w:jc w:val="left"/>
        <w:tblInd w:w="0" w:type="dxa"/>
        <w:tblLayout w:type="fixed"/>
        <w:tblCellMar>
          <w:top w:w="0" w:type="dxa"/>
          <w:left w:w="0" w:type="dxa"/>
          <w:bottom w:w="0" w:type="dxa"/>
          <w:right w:w="0" w:type="dxa"/>
        </w:tblCellMar>
      </w:tblPr>
      <w:tblGrid>
        <w:gridCol w:w="425"/>
        <w:gridCol w:w="2270"/>
      </w:tblGrid>
      <w:tr>
        <w:trPr/>
        <w:tc>
          <w:tcPr>
            <w:tcW w:w="425" w:type="dxa"/>
            <w:tcBorders/>
            <w:vAlign w:val="center"/>
          </w:tcPr>
          <w:p>
            <w:pPr>
              <w:pStyle w:val="TableContents"/>
              <w:bidi w:val="0"/>
              <w:spacing w:before="0" w:after="0"/>
              <w:jc w:val="left"/>
              <w:rPr>
                <w:b/>
                <w:spacing w:val="0"/>
              </w:rPr>
            </w:pPr>
            <w:r>
              <w:rPr>
                <w:b/>
                <w:spacing w:val="0"/>
              </w:rPr>
              <w:t>(10)</w:t>
            </w:r>
          </w:p>
        </w:tc>
        <w:tc>
          <w:tcPr>
            <w:tcW w:w="22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the Company’s financial assets and liabilities that were measured at fair value, on a recurring basis (in thousands):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presents a reconciliation of the Company’s financial liabilities measured at fair value as of December 31, 2022 using significant unobservable inputs (Level 3), and the change in fair value recorded in other income (expense), net in the accompanying consolidated statements of operations and comprehensive loss (in thousands): </w:t>
      </w:r>
    </w:p>
    <w:p>
      <w:pPr>
        <w:pStyle w:val="TextBody"/>
        <w:bidi w:val="0"/>
        <w:spacing w:before="0" w:after="0"/>
        <w:jc w:val="left"/>
        <w:rPr>
          <w:shd w:fill="FFFFFF" w:val="clear"/>
        </w:rPr>
      </w:pPr>
      <w:r>
        <w:rPr>
          <w:shd w:fill="FFFFFF" w:val="clear"/>
        </w:rPr>
        <w:t> </w:t>
      </w:r>
    </w:p>
    <w:tbl>
      <w:tblPr>
        <w:tblW w:w="9230" w:type="dxa"/>
        <w:jc w:val="left"/>
        <w:tblInd w:w="0" w:type="dxa"/>
        <w:tblLayout w:type="fixed"/>
        <w:tblCellMar>
          <w:top w:w="0" w:type="dxa"/>
          <w:left w:w="0" w:type="dxa"/>
          <w:bottom w:w="0" w:type="dxa"/>
          <w:right w:w="0" w:type="dxa"/>
        </w:tblCellMar>
      </w:tblPr>
      <w:tblGrid>
        <w:gridCol w:w="5450"/>
        <w:gridCol w:w="120"/>
        <w:gridCol w:w="146"/>
        <w:gridCol w:w="774"/>
        <w:gridCol w:w="60"/>
        <w:gridCol w:w="120"/>
        <w:gridCol w:w="220"/>
        <w:gridCol w:w="1000"/>
        <w:gridCol w:w="155"/>
        <w:gridCol w:w="120"/>
        <w:gridCol w:w="140"/>
        <w:gridCol w:w="755"/>
        <w:gridCol w:w="170"/>
      </w:tblGrid>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Warrant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Convertible</w:t>
              <w:br/>
              <w:t>Debt</w:t>
              <w:br/>
              <w:t>Embedded</w:t>
              <w:br/>
              <w:t>Derivatives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SAFEs</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579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91</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2021-A</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566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2021-Rogers SAFE</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5,000</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336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1,306</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77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1,129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1,481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6,397</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debt into preferred shares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(1,481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SAFEs into preferred shares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(6,397</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Assumption of SAFEs in Solaria acquisition</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60,470</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SAFEs from Solaria acquisition into preferred shares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(60,470</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Series D Warrants Tranche A</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6,527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Series D Warrants Tranche B</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1,285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5,211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77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 </w:t>
            </w:r>
            <w:r>
              <w:rPr/>
              <w:t>14,152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double" w:sz="6" w:space="1" w:color="000000"/>
              </w:rPr>
            </w:pPr>
            <w:r>
              <w:rPr>
                <w:bdr w:val="double" w:sz="6" w:space="1" w:color="000000"/>
              </w:rPr>
              <w:t> </w:t>
            </w:r>
          </w:p>
        </w:tc>
        <w:tc>
          <w:tcPr>
            <w:tcW w:w="77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accounts receivable, accounts payable, and accrued expenses approximated their carrying values as of December 31, 2022 and December 31, 2021, due to their short-term nature. As of December 31, 2022, all of the Company’s outstanding debit is carried at an amortized cost basis.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There were no transfers between Level 1, Level 2 or Level 3 fair value hierarchy categories of financial instruments for the years ended December 31, 2022 and December 31, 2021. </w:t>
      </w:r>
    </w:p>
    <w:p>
      <w:pPr>
        <w:pStyle w:val="TextBody"/>
        <w:bidi w:val="0"/>
        <w:spacing w:before="0" w:after="0"/>
        <w:jc w:val="left"/>
        <w:rPr>
          <w:shd w:fill="FFFFFF" w:val="clear"/>
        </w:rPr>
      </w:pPr>
      <w:r>
        <w:rPr>
          <w:shd w:fill="FFFFFF" w:val="clear"/>
        </w:rPr>
        <w:t> </w:t>
      </w:r>
    </w:p>
    <w:tbl>
      <w:tblPr>
        <w:tblW w:w="8631" w:type="dxa"/>
        <w:jc w:val="left"/>
        <w:tblInd w:w="0" w:type="dxa"/>
        <w:tblLayout w:type="fixed"/>
        <w:tblCellMar>
          <w:top w:w="0" w:type="dxa"/>
          <w:left w:w="0" w:type="dxa"/>
          <w:bottom w:w="0" w:type="dxa"/>
          <w:right w:w="0" w:type="dxa"/>
        </w:tblCellMar>
      </w:tblPr>
      <w:tblGrid>
        <w:gridCol w:w="4610"/>
        <w:gridCol w:w="120"/>
        <w:gridCol w:w="203"/>
        <w:gridCol w:w="560"/>
        <w:gridCol w:w="60"/>
        <w:gridCol w:w="120"/>
        <w:gridCol w:w="203"/>
        <w:gridCol w:w="560"/>
        <w:gridCol w:w="60"/>
        <w:gridCol w:w="120"/>
        <w:gridCol w:w="140"/>
        <w:gridCol w:w="740"/>
        <w:gridCol w:w="60"/>
        <w:gridCol w:w="120"/>
        <w:gridCol w:w="140"/>
        <w:gridCol w:w="740"/>
        <w:gridCol w:w="75"/>
      </w:tblGrid>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26"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2022</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Liabilities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warrant liability</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  —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  —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r>
              <w:rPr/>
              <w:t>14,152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r>
              <w:rPr/>
              <w:t>14,152</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14,152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14,152</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4021" w:type="dxa"/>
            <w:gridSpan w:val="16"/>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26"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2021</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Liabilities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warrant liability</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1,129</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debt embedded derivatives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1,481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1,481</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SAFE agreements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6,397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6,397</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9,007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9,007</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Redeemable Convertible Preferred Stock Warrant Liability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historically issued redeemable convertible warrants to a bank to purchase shares of Series B preferred stock in February 2016 and issued redeemable convertible warrants to an investor to purchase shares of Series C preferred stock. Refer to Note 14 - Warrants. The Company issued Series D preferred stock warrants in conjunction with the merger agreement with Solaria. Refer to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Note 3-Business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Combination. The exercise prices for the two tranches of Series D preferred stock warrants are based on a future round of stock price, with an assumption of $2.50 and $5.00 upon consummation of a deSPAC acquisition and $2.04 and $4.09 upon remaining private, respectively. As the warrants have a contingent exercise price, the Company valuated the warrants based on a Black Scholes option pricing model, using a probability weighted estimate of the warrant valuations, given a deSPAC exist scenario and a stay private scenario, weighted at 70% and 30%, respectively. The following assumptions were used to calculate the fair value of the redeemable convertible preferred stock warrant liability: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B Redeemable Convertible Preferred Stock Warrant </w:t>
      </w:r>
    </w:p>
    <w:p>
      <w:pPr>
        <w:pStyle w:val="TextBody"/>
        <w:bidi w:val="0"/>
        <w:spacing w:before="0" w:after="0"/>
        <w:jc w:val="left"/>
        <w:rPr>
          <w:shd w:fill="FFFFFF" w:val="clear"/>
        </w:rPr>
      </w:pPr>
      <w:r>
        <w:rPr>
          <w:shd w:fill="FFFFFF" w:val="clear"/>
        </w:rPr>
        <w:t> </w:t>
      </w:r>
    </w:p>
    <w:tbl>
      <w:tblPr>
        <w:tblW w:w="4660" w:type="dxa"/>
        <w:jc w:val="left"/>
        <w:tblInd w:w="0" w:type="dxa"/>
        <w:tblLayout w:type="fixed"/>
        <w:tblCellMar>
          <w:top w:w="0" w:type="dxa"/>
          <w:left w:w="0" w:type="dxa"/>
          <w:bottom w:w="0" w:type="dxa"/>
          <w:right w:w="0" w:type="dxa"/>
        </w:tblCellMar>
      </w:tblPr>
      <w:tblGrid>
        <w:gridCol w:w="2045"/>
        <w:gridCol w:w="120"/>
        <w:gridCol w:w="60"/>
        <w:gridCol w:w="875"/>
        <w:gridCol w:w="275"/>
        <w:gridCol w:w="60"/>
        <w:gridCol w:w="60"/>
        <w:gridCol w:w="875"/>
        <w:gridCol w:w="290"/>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29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29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 years</w:t>
            </w:r>
          </w:p>
        </w:tc>
        <w:tc>
          <w:tcPr>
            <w:tcW w:w="29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73.0</w:t>
            </w:r>
          </w:p>
        </w:tc>
        <w:tc>
          <w:tcPr>
            <w:tcW w:w="29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w:t>
            </w:r>
          </w:p>
        </w:tc>
        <w:tc>
          <w:tcPr>
            <w:tcW w:w="29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C Redeemable Convertible Preferred Stock Warrant </w:t>
      </w:r>
    </w:p>
    <w:p>
      <w:pPr>
        <w:pStyle w:val="TextBody"/>
        <w:bidi w:val="0"/>
        <w:spacing w:before="0" w:after="0"/>
        <w:jc w:val="left"/>
        <w:rPr>
          <w:shd w:fill="FFFFFF" w:val="clear"/>
        </w:rPr>
      </w:pPr>
      <w:r>
        <w:rPr>
          <w:shd w:fill="FFFFFF" w:val="clear"/>
        </w:rPr>
        <w:t> </w:t>
      </w:r>
    </w:p>
    <w:tbl>
      <w:tblPr>
        <w:tblW w:w="4660" w:type="dxa"/>
        <w:jc w:val="left"/>
        <w:tblInd w:w="0" w:type="dxa"/>
        <w:tblLayout w:type="fixed"/>
        <w:tblCellMar>
          <w:top w:w="0" w:type="dxa"/>
          <w:left w:w="0" w:type="dxa"/>
          <w:bottom w:w="0" w:type="dxa"/>
          <w:right w:w="0" w:type="dxa"/>
        </w:tblCellMar>
      </w:tblPr>
      <w:tblGrid>
        <w:gridCol w:w="2045"/>
        <w:gridCol w:w="120"/>
        <w:gridCol w:w="60"/>
        <w:gridCol w:w="875"/>
        <w:gridCol w:w="275"/>
        <w:gridCol w:w="60"/>
        <w:gridCol w:w="60"/>
        <w:gridCol w:w="875"/>
        <w:gridCol w:w="290"/>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29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29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 years</w:t>
            </w:r>
          </w:p>
        </w:tc>
        <w:tc>
          <w:tcPr>
            <w:tcW w:w="29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73.0</w:t>
            </w:r>
          </w:p>
        </w:tc>
        <w:tc>
          <w:tcPr>
            <w:tcW w:w="29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w:t>
            </w:r>
          </w:p>
        </w:tc>
        <w:tc>
          <w:tcPr>
            <w:tcW w:w="29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D Redeemable Convertible Preferred Stock Warrant </w:t>
      </w:r>
    </w:p>
    <w:p>
      <w:pPr>
        <w:pStyle w:val="TextBody"/>
        <w:bidi w:val="0"/>
        <w:spacing w:before="0" w:after="0"/>
        <w:jc w:val="left"/>
        <w:rPr>
          <w:shd w:fill="FFFFFF" w:val="clear"/>
        </w:rPr>
      </w:pPr>
      <w:r>
        <w:rPr>
          <w:shd w:fill="FFFFFF" w:val="clear"/>
        </w:rPr>
        <w:t> </w:t>
      </w:r>
    </w:p>
    <w:tbl>
      <w:tblPr>
        <w:tblW w:w="4010" w:type="dxa"/>
        <w:jc w:val="left"/>
        <w:tblInd w:w="0" w:type="dxa"/>
        <w:tblLayout w:type="fixed"/>
        <w:tblCellMar>
          <w:top w:w="0" w:type="dxa"/>
          <w:left w:w="0" w:type="dxa"/>
          <w:bottom w:w="0" w:type="dxa"/>
          <w:right w:w="0" w:type="dxa"/>
        </w:tblCellMar>
      </w:tblPr>
      <w:tblGrid>
        <w:gridCol w:w="2045"/>
        <w:gridCol w:w="120"/>
        <w:gridCol w:w="60"/>
        <w:gridCol w:w="875"/>
        <w:gridCol w:w="275"/>
        <w:gridCol w:w="60"/>
        <w:gridCol w:w="68"/>
        <w:gridCol w:w="432"/>
        <w:gridCol w:w="7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redeemable convertible preferred stock warrant liabilities were measured at fair value at the issuance date and as of each subsequent fiscal year end with changes in the fair value recorded within other income (expense), net in the accompanying consolidated statements of operations and comprehensive loss.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table below reconciles the change in value of the redeemable convertible preferred stock warrant liability from each warrant to the total redeemable convertible preferred stock warrant liability recorded within the accompanying consolidated balance sheets (amounts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145"/>
        <w:gridCol w:w="120"/>
        <w:gridCol w:w="271"/>
        <w:gridCol w:w="739"/>
        <w:gridCol w:w="60"/>
        <w:gridCol w:w="120"/>
        <w:gridCol w:w="186"/>
        <w:gridCol w:w="824"/>
        <w:gridCol w:w="60"/>
        <w:gridCol w:w="120"/>
        <w:gridCol w:w="208"/>
        <w:gridCol w:w="922"/>
        <w:gridCol w:w="60"/>
        <w:gridCol w:w="120"/>
        <w:gridCol w:w="205"/>
        <w:gridCol w:w="910"/>
        <w:gridCol w:w="60"/>
        <w:gridCol w:w="120"/>
        <w:gridCol w:w="140"/>
        <w:gridCol w:w="740"/>
        <w:gridCol w:w="75"/>
      </w:tblGrid>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Series B</w:t>
              <w:b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Series C</w:t>
              <w:b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Series D</w:t>
            </w:r>
          </w:p>
          <w:p>
            <w:pPr>
              <w:pStyle w:val="TableContents"/>
              <w:bidi w:val="0"/>
              <w:spacing w:before="0" w:after="0"/>
              <w:jc w:val="center"/>
              <w:rPr/>
            </w:pPr>
            <w:r>
              <w:rPr/>
            </w:r>
          </w:p>
          <w:p>
            <w:pPr>
              <w:pStyle w:val="TableContents"/>
              <w:bidi w:val="0"/>
              <w:spacing w:before="0" w:after="0"/>
              <w:jc w:val="center"/>
              <w:rPr>
                <w:b/>
                <w:spacing w:val="0"/>
              </w:rPr>
            </w:pPr>
            <w:r>
              <w:rPr>
                <w:b/>
                <w:spacing w:val="0"/>
              </w:rPr>
              <w:t>Tranche A</w:t>
              <w:b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Series D</w:t>
              <w:br/>
              <w:t>Tranche B</w:t>
              <w:b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824" w:type="dxa"/>
            <w:tcBorders/>
            <w:shd w:fill="CCEEFF" w:val="clear"/>
            <w:vAlign w:val="center"/>
          </w:tcPr>
          <w:p>
            <w:pPr>
              <w:pStyle w:val="TableContents"/>
              <w:bidi w:val="0"/>
              <w:spacing w:before="0" w:after="283"/>
              <w:jc w:val="right"/>
              <w:rPr/>
            </w:pPr>
            <w:r>
              <w:rPr/>
              <w:t>794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799</w:t>
            </w:r>
          </w:p>
        </w:tc>
        <w:tc>
          <w:tcPr>
            <w:tcW w:w="75"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327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330</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jc w:val="left"/>
              <w:rPr>
                <w:bdr w:val="single" w:sz="2" w:space="1" w:color="000000"/>
              </w:rPr>
            </w:pPr>
            <w:r>
              <w:rPr>
                <w:bdr w:val="single" w:sz="2" w:space="1" w:color="000000"/>
              </w:rPr>
              <w:t> </w:t>
            </w:r>
          </w:p>
        </w:tc>
        <w:tc>
          <w:tcPr>
            <w:tcW w:w="73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8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jc w:val="left"/>
              <w:rPr>
                <w:bdr w:val="single" w:sz="2" w:space="1" w:color="000000"/>
              </w:rPr>
            </w:pPr>
            <w:r>
              <w:rPr>
                <w:bdr w:val="single" w:sz="2" w:space="1" w:color="000000"/>
              </w:rPr>
              <w:t> </w:t>
            </w:r>
          </w:p>
        </w:tc>
        <w:tc>
          <w:tcPr>
            <w:tcW w:w="91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1,121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1,129</w:t>
            </w:r>
          </w:p>
        </w:tc>
        <w:tc>
          <w:tcPr>
            <w:tcW w:w="75"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5,169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5,211</w:t>
            </w:r>
          </w:p>
        </w:tc>
        <w:tc>
          <w:tcPr>
            <w:tcW w:w="7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warrants in connection with acquisition of Solaria (Note 3)</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6,527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1,285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7,812</w:t>
            </w:r>
          </w:p>
        </w:tc>
        <w:tc>
          <w:tcPr>
            <w:tcW w:w="75"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jc w:val="left"/>
              <w:rPr>
                <w:bdr w:val="single" w:sz="2" w:space="1" w:color="000000"/>
              </w:rPr>
            </w:pPr>
            <w:r>
              <w:rPr>
                <w:bdr w:val="single" w:sz="2" w:space="1" w:color="000000"/>
              </w:rPr>
              <w:t> </w:t>
            </w:r>
          </w:p>
        </w:tc>
        <w:tc>
          <w:tcPr>
            <w:tcW w:w="73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8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jc w:val="left"/>
              <w:rPr>
                <w:bdr w:val="single" w:sz="2" w:space="1" w:color="000000"/>
              </w:rPr>
            </w:pPr>
            <w:r>
              <w:rPr>
                <w:bdr w:val="single" w:sz="2" w:space="1" w:color="000000"/>
              </w:rPr>
              <w:t> </w:t>
            </w:r>
          </w:p>
        </w:tc>
        <w:tc>
          <w:tcPr>
            <w:tcW w:w="91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w:t>
            </w:r>
          </w:p>
        </w:tc>
        <w:tc>
          <w:tcPr>
            <w:tcW w:w="739" w:type="dxa"/>
            <w:tcBorders/>
            <w:vAlign w:val="center"/>
          </w:tcPr>
          <w:p>
            <w:pPr>
              <w:pStyle w:val="TableContents"/>
              <w:bidi w:val="0"/>
              <w:spacing w:before="0" w:after="283"/>
              <w:jc w:val="right"/>
              <w:rPr/>
            </w:pPr>
            <w:r>
              <w:rPr/>
              <w:t> </w:t>
            </w: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824" w:type="dxa"/>
            <w:tcBorders/>
            <w:vAlign w:val="center"/>
          </w:tcPr>
          <w:p>
            <w:pPr>
              <w:pStyle w:val="TableContents"/>
              <w:bidi w:val="0"/>
              <w:spacing w:before="0" w:after="283"/>
              <w:jc w:val="right"/>
              <w:rPr/>
            </w:pPr>
            <w:r>
              <w:rPr/>
              <w:t> </w:t>
            </w:r>
            <w:r>
              <w:rPr/>
              <w:t>6,290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 </w:t>
            </w:r>
            <w:r>
              <w:rPr/>
              <w:t>6,527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 </w:t>
            </w:r>
            <w:r>
              <w:rPr/>
              <w:t>1,285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r>
              <w:rPr/>
              <w:t>14,152</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jc w:val="left"/>
              <w:rPr>
                <w:bdr w:val="double" w:sz="6" w:space="1" w:color="000000"/>
              </w:rPr>
            </w:pPr>
            <w:r>
              <w:rPr>
                <w:bdr w:val="double" w:sz="6" w:space="1" w:color="000000"/>
              </w:rPr>
              <w:t> </w:t>
            </w:r>
          </w:p>
        </w:tc>
        <w:tc>
          <w:tcPr>
            <w:tcW w:w="73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double" w:sz="6" w:space="1" w:color="000000"/>
              </w:rPr>
            </w:pPr>
            <w:r>
              <w:rPr>
                <w:bdr w:val="double" w:sz="6" w:space="1" w:color="000000"/>
              </w:rPr>
              <w:t> </w:t>
            </w:r>
          </w:p>
        </w:tc>
        <w:tc>
          <w:tcPr>
            <w:tcW w:w="8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double" w:sz="6" w:space="1" w:color="000000"/>
              </w:rPr>
            </w:pPr>
            <w:r>
              <w:rPr>
                <w:bdr w:val="double" w:sz="6" w:space="1" w:color="000000"/>
              </w:rPr>
              <w:t> </w:t>
            </w:r>
          </w:p>
        </w:tc>
        <w:tc>
          <w:tcPr>
            <w:tcW w:w="92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jc w:val="left"/>
              <w:rPr>
                <w:bdr w:val="double" w:sz="6" w:space="1" w:color="000000"/>
              </w:rPr>
            </w:pPr>
            <w:r>
              <w:rPr>
                <w:bdr w:val="double" w:sz="6" w:space="1" w:color="000000"/>
              </w:rPr>
              <w:t> </w:t>
            </w:r>
          </w:p>
        </w:tc>
        <w:tc>
          <w:tcPr>
            <w:tcW w:w="91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Debt Embedded Derivatives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2019-A</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recorded a convertible debt embedded derivative liability associated with the issuance of the 2019-A Convertible Notes. The derivative liability is recorded within derivative liability on the accompanying consolidated balance sheets. See Note 13 – Borrowing Arrangements. The fair value of the convertible debt embedded derivative liability was computed as the difference between the estimated value of the convertible debt with and without features that allow the holders to convert the notes at a discount upon the Company’s subsequent equity financing (“Next Equity Financing”). The 2019-A Convertible Notes also contain a feature to convert the notes at a price of $75.0 million divided by the fully diluted capitalization table (“2019-A Valuation Cap Conversion”), which is not bifurcated as an embedded derivative.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convertible notes with the embedded derivative is estimated based on a probability- weighted analysis of the discounted value of the notes converting under a Next Equity Financing, a change in control, default, or maturity. The significant assumptions included in the fair value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with the embedded derivative liability include the time until a Next Equity Financing, the probabilities of the notes settling under each scenario, and a discount rate that reconciles the amount paid for the debt at issuance date, adjusted to reflect market changes subsequent to issuance. The fair value of the convertible notes without the embedded derivative liability is estimated based on the same methodology other than the settlement value upon a Next Equity Financing being set as the principal plus accrued interest, excluding the value of the conversion at a discount to the Next Equity Financing.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embedded derivative liabilities in the convertible notes were measured at fair value at the issuance date and as of each subsequent fiscal year end with changes in the fair value recorded within other income (expense), net in the accompanying consolidated statements of operations and comprehensive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was approximately $0.1 million as of December 31, 2021.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and related derivative liability were extinguished in FY22 as part of the Series D redeemable convertible preferred stock issuance.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2020-A</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recorded a convertible debt embedded derivative liability associated with the issuance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The derivative liability is recorded within derivative liability on the accompanying consolidated balance sheets. See Note 13 – Borrowing Arrangements. The fair value of the convertible debt embedded derivative liability was computed as the difference between the estimated value of the convertible debt with and without features that allow the holders to convert the notes at a discount upon the Company’s subsequent equity financing (“Next Equity Financing”).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fair value of the convertible notes with the embedded derivative is estimated based on a probability- weighted analysis of the discounted value of the notes converting under a Next Equity Financing, a change in control, default, or maturity. The significant assumptions included in the fair value of the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2020-A</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Convertible Notes with the embedded derivative liability include the time until a Next Equity Financing, the probabilities of the notes settling under each scenario, and a discount rate that reconciles the amount paid for the debt at issuance date, adjusted to reflect market changes subsequent to issuance. The fair value of the convertible notes without the embedded derivative liability is estimated based on the same methodology other than the settlement value upon a Next Equity Financing being set as the principal plus accrued interest, excluding the value of the conversion at a discount to the Next Equity Financing.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embedded derivative liabilities in the convertible notes were measured at fair value at the issuance date and as of each subsequent fiscal year end with changes in the fair value recorded within other income (expense), net in the accompanying consolidated statements of operations and comprehensive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was approximately $4.6 million as of December 31, 2021.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and related derivative liability were extinguished as part of the Series D redeemable convertible preferred stock issuance.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2021-A</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recorded a convertible debt embedded derivative liability associated with the issuance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The embedded derivative liability is recorded within derivative liability on the accompanying consolidated balance sheets. See Note 13 – Borrowing Arrangements. The fair value of the convertible debt embedded derivative liability was computed as the difference between the estimated value of the convertible debt with and without features that allow the holders to convert the notes at a discount upon the Company’s subsequent equity financing (“Next Equity Financing”). Certain of the notes from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also contain a feature to convert the notes at a price of $200.0 million divided by the fully diluted capitalization table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Valuation Cap Conversion”), which is not bifurcated as an embedded derivative.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convertible notes with the embedded derivative is estimated based on a probability- weighted analysis of the discounted value of the notes converting under a Next Equity Financing, a change in control, default, or maturity. The significant assumptions included in the fair value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with the embedded derivative liability include the time until a Next Equity Financing, the probabilities of the notes settling under each scenario, and a discount rate that reconciles the amount paid for the debt at issuance date, adjusted to reflect market changes subsequent to issuance. The fair value of the convertible notes without the embedded derivative liability is estimated based on the same methodology other than the settlement value upon a Next Equity Financing being set as the principal plus accrued interest, excluding the value of the conversion at a discount to the Next Equity Financing.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embedded derivative liabilities in the convertible notes were measured at fair value at the issuance date and as of each subsequent fiscal year end with changes in the fair value recorded within other income (expense), net in the accompanying consolidated statements of operations and comprehensive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was approximately $4.8 million as of December 31, 2021, respectively.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and related derivative liability were extinguished as part of the Series D redeemable convertible preferred stock issuance.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table below reconciles the embedded derivative liability from each of the series of convertible notes to the total derivative liability recorded on the accompanying consolidated balance sheets (amounts in thousands) </w:t>
      </w:r>
    </w:p>
    <w:p>
      <w:pPr>
        <w:pStyle w:val="TextBody"/>
        <w:bidi w:val="0"/>
        <w:spacing w:before="0" w:after="0"/>
        <w:jc w:val="left"/>
        <w:rPr>
          <w:shd w:fill="FFFFFF" w:val="clear"/>
        </w:rPr>
      </w:pPr>
      <w:r>
        <w:rPr>
          <w:shd w:fill="FFFFFF" w:val="clear"/>
        </w:rPr>
        <w:t> </w:t>
      </w:r>
    </w:p>
    <w:tbl>
      <w:tblPr>
        <w:tblW w:w="8795" w:type="dxa"/>
        <w:jc w:val="left"/>
        <w:tblInd w:w="0" w:type="dxa"/>
        <w:tblLayout w:type="fixed"/>
        <w:tblCellMar>
          <w:top w:w="0" w:type="dxa"/>
          <w:left w:w="0" w:type="dxa"/>
          <w:bottom w:w="0" w:type="dxa"/>
          <w:right w:w="0" w:type="dxa"/>
        </w:tblCellMar>
      </w:tblPr>
      <w:tblGrid>
        <w:gridCol w:w="3245"/>
        <w:gridCol w:w="120"/>
        <w:gridCol w:w="294"/>
        <w:gridCol w:w="926"/>
        <w:gridCol w:w="155"/>
        <w:gridCol w:w="120"/>
        <w:gridCol w:w="287"/>
        <w:gridCol w:w="933"/>
        <w:gridCol w:w="155"/>
        <w:gridCol w:w="120"/>
        <w:gridCol w:w="287"/>
        <w:gridCol w:w="933"/>
        <w:gridCol w:w="155"/>
        <w:gridCol w:w="120"/>
        <w:gridCol w:w="140"/>
        <w:gridCol w:w="635"/>
        <w:gridCol w:w="170"/>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2019-A</w:t>
            </w:r>
          </w:p>
          <w:p>
            <w:pPr>
              <w:pStyle w:val="TableContents"/>
              <w:bidi w:val="0"/>
              <w:spacing w:before="0" w:after="0"/>
              <w:jc w:val="center"/>
              <w:rPr>
                <w:b/>
                <w:spacing w:val="0"/>
              </w:rPr>
            </w:pPr>
            <w:r>
              <w:rPr>
                <w:b/>
                <w:spacing w:val="0"/>
              </w:rPr>
              <w:br/>
              <w:t>Convertible</w:t>
              <w:br/>
              <w:t>Notes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2020-A</w:t>
            </w:r>
          </w:p>
          <w:p>
            <w:pPr>
              <w:pStyle w:val="TableContents"/>
              <w:bidi w:val="0"/>
              <w:spacing w:before="0" w:after="0"/>
              <w:jc w:val="center"/>
              <w:rPr>
                <w:b/>
                <w:spacing w:val="0"/>
              </w:rPr>
            </w:pPr>
            <w:r>
              <w:rPr>
                <w:b/>
                <w:spacing w:val="0"/>
              </w:rPr>
              <w:br/>
              <w:t>Convertible</w:t>
              <w:br/>
              <w:t>Notes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2021-A</w:t>
            </w:r>
          </w:p>
          <w:p>
            <w:pPr>
              <w:pStyle w:val="TableContents"/>
              <w:bidi w:val="0"/>
              <w:spacing w:before="0" w:after="0"/>
              <w:jc w:val="center"/>
              <w:rPr>
                <w:b/>
                <w:spacing w:val="0"/>
              </w:rPr>
            </w:pPr>
            <w:r>
              <w:rPr>
                <w:b/>
                <w:spacing w:val="0"/>
              </w:rPr>
              <w:br/>
              <w:t>Convertible</w:t>
              <w:br/>
              <w:t>Notes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Totals</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2020</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561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579</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2021-A</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566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566</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234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366</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2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jc w:val="left"/>
              <w:rPr>
                <w:bdr w:val="single" w:sz="2" w:space="1" w:color="000000"/>
              </w:rPr>
            </w:pPr>
            <w:r>
              <w:rPr>
                <w:bdr w:val="single" w:sz="2" w:space="1" w:color="000000"/>
              </w:rPr>
              <w:t> </w:t>
            </w:r>
          </w:p>
        </w:tc>
        <w:tc>
          <w:tcPr>
            <w:tcW w:w="9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jc w:val="left"/>
              <w:rPr>
                <w:bdr w:val="single" w:sz="2" w:space="1" w:color="000000"/>
              </w:rPr>
            </w:pPr>
            <w:r>
              <w:rPr>
                <w:bdr w:val="single" w:sz="2" w:space="1" w:color="000000"/>
              </w:rPr>
              <w:t> </w:t>
            </w:r>
          </w:p>
        </w:tc>
        <w:tc>
          <w:tcPr>
            <w:tcW w:w="9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2021</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795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651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1,481</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Extinguishment upon Series D issuance</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(795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(651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(1,481</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2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jc w:val="left"/>
              <w:rPr>
                <w:bdr w:val="single" w:sz="2" w:space="1" w:color="000000"/>
              </w:rPr>
            </w:pPr>
            <w:r>
              <w:rPr>
                <w:bdr w:val="single" w:sz="2" w:space="1" w:color="000000"/>
              </w:rPr>
              <w:t> </w:t>
            </w:r>
          </w:p>
        </w:tc>
        <w:tc>
          <w:tcPr>
            <w:tcW w:w="9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jc w:val="left"/>
              <w:rPr>
                <w:bdr w:val="single" w:sz="2" w:space="1" w:color="000000"/>
              </w:rPr>
            </w:pPr>
            <w:r>
              <w:rPr>
                <w:bdr w:val="single" w:sz="2" w:space="1" w:color="000000"/>
              </w:rPr>
              <w:t> </w:t>
            </w:r>
          </w:p>
        </w:tc>
        <w:tc>
          <w:tcPr>
            <w:tcW w:w="9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w:t>
            </w:r>
          </w:p>
        </w:tc>
        <w:tc>
          <w:tcPr>
            <w:tcW w:w="926" w:type="dxa"/>
            <w:tcBorders/>
            <w:vAlign w:val="center"/>
          </w:tcPr>
          <w:p>
            <w:pPr>
              <w:pStyle w:val="TableContents"/>
              <w:bidi w:val="0"/>
              <w:spacing w:before="0" w:after="283"/>
              <w:jc w:val="right"/>
              <w:rPr/>
            </w:pPr>
            <w:r>
              <w:rPr/>
              <w:t> —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93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93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double" w:sz="6" w:space="1" w:color="000000"/>
              </w:rPr>
            </w:pPr>
            <w:r>
              <w:rPr>
                <w:bdr w:val="double" w:sz="6" w:space="1" w:color="000000"/>
              </w:rPr>
              <w:t> </w:t>
            </w:r>
          </w:p>
        </w:tc>
        <w:tc>
          <w:tcPr>
            <w:tcW w:w="92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jc w:val="left"/>
              <w:rPr>
                <w:bdr w:val="double" w:sz="6" w:space="1" w:color="000000"/>
              </w:rPr>
            </w:pPr>
            <w:r>
              <w:rPr>
                <w:bdr w:val="double" w:sz="6" w:space="1" w:color="000000"/>
              </w:rPr>
              <w:t> </w:t>
            </w:r>
          </w:p>
        </w:tc>
        <w:tc>
          <w:tcPr>
            <w:tcW w:w="93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jc w:val="left"/>
              <w:rPr>
                <w:bdr w:val="double" w:sz="6" w:space="1" w:color="000000"/>
              </w:rPr>
            </w:pPr>
            <w:r>
              <w:rPr>
                <w:bdr w:val="double" w:sz="6" w:space="1" w:color="000000"/>
              </w:rPr>
              <w:t> </w:t>
            </w:r>
          </w:p>
        </w:tc>
        <w:tc>
          <w:tcPr>
            <w:tcW w:w="93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Simple Agreement for Future Equity (“SAFE”)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2019 SAFE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2019, the Company entered into a SAFE agreement (“2019 SAFE”) with an investor. At the issuance date, the Company received $0.1 million in cash. The SAFE is classified as a liability in the scope of Accounting Standards Codification Topic 480 (“ASC 480”),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Distinguishing Liabilities from Equity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as the SAFE is redeemable upon events that are outside the control of the issuer. The 2019 SAFE converts to equity at the lower of $50.0 million divided by the fully diluted capitalization table (“2019 SAFE Valuation Cap Conversion”) and a 20% discount from the share price paid by other investors upon the Next Equity Financing. The SAFE also contains features that allow for cash settlement at the $0.1 million purchase price in the event of a liquidation or dissolution event.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2019 SAFE was determined based on the probability-weighted expected return method (“PWERM”), which assigns value to the multiple settlement scenarios based on the probability of occurrence. The significant assumptions included in the fair value of the 2019 SAFE include the probability of conversion under a next equity financing (estimated between 60% at issuance and 80% as of December 31, 2022) and the realizable value upon a Next Equity Financing. The realizable value upon the Next Equity Financing was determined based on the following inputs that were included in a Black-Scholes model, which contains the following inputs: </w:t>
      </w:r>
    </w:p>
    <w:p>
      <w:pPr>
        <w:pStyle w:val="TextBody"/>
        <w:bidi w:val="0"/>
        <w:spacing w:before="0" w:after="0"/>
        <w:jc w:val="left"/>
        <w:rPr>
          <w:shd w:fill="FFFFFF" w:val="clear"/>
        </w:rPr>
      </w:pPr>
      <w:r>
        <w:rPr>
          <w:shd w:fill="FFFFFF" w:val="clear"/>
        </w:rPr>
        <w:t> </w:t>
      </w:r>
    </w:p>
    <w:tbl>
      <w:tblPr>
        <w:tblW w:w="5110" w:type="dxa"/>
        <w:jc w:val="left"/>
        <w:tblInd w:w="0" w:type="dxa"/>
        <w:tblLayout w:type="fixed"/>
        <w:tblCellMar>
          <w:top w:w="0" w:type="dxa"/>
          <w:left w:w="0" w:type="dxa"/>
          <w:bottom w:w="0" w:type="dxa"/>
          <w:right w:w="0" w:type="dxa"/>
        </w:tblCellMar>
      </w:tblPr>
      <w:tblGrid>
        <w:gridCol w:w="3065"/>
        <w:gridCol w:w="120"/>
        <w:gridCol w:w="500"/>
        <w:gridCol w:w="120"/>
        <w:gridCol w:w="140"/>
        <w:gridCol w:w="875"/>
        <w:gridCol w:w="290"/>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5"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29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29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fair value of preferred stock</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4.84</w:t>
            </w:r>
          </w:p>
        </w:tc>
        <w:tc>
          <w:tcPr>
            <w:tcW w:w="29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N/A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 years</w:t>
            </w:r>
          </w:p>
        </w:tc>
        <w:tc>
          <w:tcPr>
            <w:tcW w:w="29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76.4</w:t>
            </w:r>
          </w:p>
        </w:tc>
        <w:tc>
          <w:tcPr>
            <w:tcW w:w="29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N/A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2019 SAFE was measured at fair value at the issuance date and as of each subsequent fiscal year end with changes in the fair value recorded within other income (expense), net in the consolidated statements of operations and comprehensive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March 2022, as part of the Company’s Series D preferred stock financing, the 2019 SAFE converted into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As part of the extinguishment of the 2019 SAFE, the Company recorded a gain of less than $0.1 million in other income (expense), net in the consolidated statements of operations and comprehensive loss.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2021 SAFE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2021, the Company entered into a SAFE agreement (“2021 SAFE”) with an investor. At the issuance date, the Company received $5.0 million in cash. The SAFE is classified as a liability in the scope of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Accounting Standards Codification Topic 480 (“ASC 480”), </w:t>
      </w:r>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Distinguishing Liabilities from Equity</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 as the SAFE is redeemable upon events that are outside the control of the issuer. The 2021 SAFE converts to equity at the lower of $175.0 million divided by the fully diluted capitalization table (“2021 SAFE Valuation Cap Conversion”) and a 20% discount from the share price paid by other investors upon the Next Equity Financing. At the time of negotiating the SAFE, the Company was in advanced negotiations to raise its next equity financing. As such, the Company recorded the fair value of the 2021 SAFE based on the value to be received upon a conversion at a 20% discount from the Next Equity Financing. As a result, the Company recorded $1.3 million to other income (expense), net for the increase in the fair value of the 2021 SAFE over its issuance price.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March 2022, as part of the Company’s Series D preferred stock financing, the 2021 SAFE converted into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As part of the extinguishment of the 2021 SAFE, the Company recorded a gain of $1.4 million in other income (expense), net in the consolidated statements of operations and comprehensive loss.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2022 SAFE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connection with the Solaria acquisition, Complete Solar Holdings entered into the SAFE Amendment, Assignment and Assumption Agreement whereby Complete Solar Holdings assumed the rights and interests in and obligations under the SAFE from Solaria immediately at the effective time of the acquisition of Solaria. In accordance with the terms and conditions of the Merger Agreement, the SAFE was required to be converted into redeemable convertible preferred stock of the Company within 10 business days of the close of the acquisition. Immediately subsequent to acquisition close, the SAFE converted into 8,171,662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D-8</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w:t>
      </w:r>
    </w:p>
    <w:p>
      <w:pPr>
        <w:pStyle w:val="TextBody"/>
        <w:bidi w:val="0"/>
        <w:spacing w:before="0" w:after="0"/>
        <w:jc w:val="left"/>
        <w:rPr>
          <w:shd w:fill="FFFFFF" w:val="clear"/>
        </w:rPr>
      </w:pPr>
      <w:r>
        <w:rPr>
          <w:shd w:fill="FFFFFF" w:val="clear"/>
        </w:rPr>
        <w:t> </w:t>
      </w:r>
    </w:p>
    <w:tbl>
      <w:tblPr>
        <w:tblW w:w="2440" w:type="dxa"/>
        <w:jc w:val="left"/>
        <w:tblInd w:w="0" w:type="dxa"/>
        <w:tblLayout w:type="fixed"/>
        <w:tblCellMar>
          <w:top w:w="0" w:type="dxa"/>
          <w:left w:w="0" w:type="dxa"/>
          <w:bottom w:w="0" w:type="dxa"/>
          <w:right w:w="0" w:type="dxa"/>
        </w:tblCellMar>
      </w:tblPr>
      <w:tblGrid>
        <w:gridCol w:w="425"/>
        <w:gridCol w:w="2015"/>
      </w:tblGrid>
      <w:tr>
        <w:trPr/>
        <w:tc>
          <w:tcPr>
            <w:tcW w:w="425" w:type="dxa"/>
            <w:tcBorders/>
            <w:vAlign w:val="center"/>
          </w:tcPr>
          <w:p>
            <w:pPr>
              <w:pStyle w:val="TableContents"/>
              <w:bidi w:val="0"/>
              <w:spacing w:before="0" w:after="0"/>
              <w:jc w:val="left"/>
              <w:rPr>
                <w:b/>
                <w:spacing w:val="0"/>
              </w:rPr>
            </w:pPr>
            <w:r>
              <w:rPr>
                <w:b/>
                <w:spacing w:val="0"/>
              </w:rPr>
              <w:t>(11)</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 Plan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sponsors a 401(k) defined contribution and profit-sharing plan (“401(k) Plan”) for its eligible employees. This 401(k) Plan provides for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tax-deferred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years ended December 31, 2022, 2021 and 2020. </w:t>
      </w:r>
    </w:p>
    <w:p>
      <w:pPr>
        <w:pStyle w:val="TextBody"/>
        <w:bidi w:val="0"/>
        <w:spacing w:before="0" w:after="0"/>
        <w:jc w:val="left"/>
        <w:rPr>
          <w:shd w:fill="FFFFFF" w:val="clear"/>
        </w:rPr>
      </w:pPr>
      <w:r>
        <w:rPr>
          <w:shd w:fill="FFFFFF" w:val="clear"/>
        </w:rPr>
        <w:t> </w:t>
      </w:r>
    </w:p>
    <w:tbl>
      <w:tblPr>
        <w:tblW w:w="2920" w:type="dxa"/>
        <w:jc w:val="left"/>
        <w:tblInd w:w="0" w:type="dxa"/>
        <w:tblLayout w:type="fixed"/>
        <w:tblCellMar>
          <w:top w:w="0" w:type="dxa"/>
          <w:left w:w="0" w:type="dxa"/>
          <w:bottom w:w="0" w:type="dxa"/>
          <w:right w:w="0" w:type="dxa"/>
        </w:tblCellMar>
      </w:tblPr>
      <w:tblGrid>
        <w:gridCol w:w="425"/>
        <w:gridCol w:w="2495"/>
      </w:tblGrid>
      <w:tr>
        <w:trPr/>
        <w:tc>
          <w:tcPr>
            <w:tcW w:w="425" w:type="dxa"/>
            <w:tcBorders/>
            <w:vAlign w:val="center"/>
          </w:tcPr>
          <w:p>
            <w:pPr>
              <w:pStyle w:val="TableContents"/>
              <w:bidi w:val="0"/>
              <w:spacing w:before="0" w:after="0"/>
              <w:jc w:val="left"/>
              <w:rPr>
                <w:b/>
                <w:spacing w:val="0"/>
              </w:rPr>
            </w:pPr>
            <w:r>
              <w:rPr>
                <w:b/>
                <w:spacing w:val="0"/>
              </w:rPr>
              <w:t>(12)</w:t>
            </w:r>
          </w:p>
        </w:tc>
        <w:tc>
          <w:tcPr>
            <w:tcW w:w="24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Income (Expense), Net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Other income (expense), net consists of the following (in thousands): </w:t>
      </w:r>
    </w:p>
    <w:p>
      <w:pPr>
        <w:pStyle w:val="TextBody"/>
        <w:bidi w:val="0"/>
        <w:spacing w:before="0" w:after="0"/>
        <w:jc w:val="left"/>
        <w:rPr>
          <w:shd w:fill="FFFFFF" w:val="clear"/>
        </w:rPr>
      </w:pPr>
      <w:r>
        <w:rPr>
          <w:shd w:fill="FFFFFF" w:val="clear"/>
        </w:rPr>
        <w:t> </w:t>
      </w:r>
    </w:p>
    <w:tbl>
      <w:tblPr>
        <w:tblW w:w="8573" w:type="dxa"/>
        <w:jc w:val="left"/>
        <w:tblInd w:w="0" w:type="dxa"/>
        <w:tblLayout w:type="fixed"/>
        <w:tblCellMar>
          <w:top w:w="0" w:type="dxa"/>
          <w:left w:w="0" w:type="dxa"/>
          <w:bottom w:w="0" w:type="dxa"/>
          <w:right w:w="0" w:type="dxa"/>
        </w:tblCellMar>
      </w:tblPr>
      <w:tblGrid>
        <w:gridCol w:w="5480"/>
        <w:gridCol w:w="120"/>
        <w:gridCol w:w="145"/>
        <w:gridCol w:w="724"/>
        <w:gridCol w:w="161"/>
        <w:gridCol w:w="125"/>
        <w:gridCol w:w="145"/>
        <w:gridCol w:w="724"/>
        <w:gridCol w:w="161"/>
        <w:gridCol w:w="62"/>
        <w:gridCol w:w="145"/>
        <w:gridCol w:w="411"/>
        <w:gridCol w:w="170"/>
      </w:tblGrid>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3"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61"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5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SAFE agreements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 </w:t>
            </w:r>
            <w:r>
              <w:rPr/>
              <w:t>(1,306</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411" w:type="dxa"/>
            <w:tcBorders/>
            <w:shd w:fill="CCEEFF" w:val="clear"/>
            <w:vAlign w:val="center"/>
          </w:tcPr>
          <w:p>
            <w:pPr>
              <w:pStyle w:val="TableContents"/>
              <w:bidi w:val="0"/>
              <w:spacing w:before="0" w:after="283"/>
              <w:jc w:val="right"/>
              <w:rPr/>
            </w:pPr>
            <w:r>
              <w:rPr/>
              <w:t> </w:t>
            </w:r>
            <w:r>
              <w:rPr/>
              <w:t>(15</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liabilities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(336</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right"/>
              <w:rPr/>
            </w:pPr>
            <w:r>
              <w:rPr/>
              <w:t>(50</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(5,211</w:t>
            </w:r>
          </w:p>
        </w:tc>
        <w:tc>
          <w:tcPr>
            <w:tcW w:w="16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(330</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24</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extinguishment of convertible notes and SAFE agreements</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3,235</w:t>
            </w:r>
          </w:p>
        </w:tc>
        <w:tc>
          <w:tcPr>
            <w:tcW w:w="161"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Forgiveness of Paycheck Protection Plan loan</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1,754</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118</w:t>
            </w:r>
          </w:p>
        </w:tc>
        <w:tc>
          <w:tcPr>
            <w:tcW w:w="161"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(22</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724" w:type="dxa"/>
            <w:tcBorders/>
            <w:vAlign w:val="center"/>
          </w:tcPr>
          <w:p>
            <w:pPr>
              <w:pStyle w:val="TableContents"/>
              <w:bidi w:val="0"/>
              <w:spacing w:before="0" w:after="0"/>
              <w:jc w:val="left"/>
              <w:rPr>
                <w:bdr w:val="single" w:sz="2" w:space="1" w:color="000000"/>
              </w:rPr>
            </w:pPr>
            <w:r>
              <w:rPr>
                <w:bdr w:val="single" w:sz="2" w:space="1" w:color="000000"/>
              </w:rPr>
              <w:t> </w:t>
            </w:r>
          </w:p>
        </w:tc>
        <w:tc>
          <w:tcPr>
            <w:tcW w:w="161"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724" w:type="dxa"/>
            <w:tcBorders/>
            <w:vAlign w:val="center"/>
          </w:tcPr>
          <w:p>
            <w:pPr>
              <w:pStyle w:val="TableContents"/>
              <w:bidi w:val="0"/>
              <w:spacing w:before="0" w:after="0"/>
              <w:jc w:val="left"/>
              <w:rPr>
                <w:bdr w:val="single" w:sz="2" w:space="1" w:color="000000"/>
              </w:rPr>
            </w:pPr>
            <w:r>
              <w:rPr>
                <w:bdr w:val="single" w:sz="2"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41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 </w:t>
            </w:r>
            <w:r>
              <w:rPr/>
              <w:t>(1,858</w:t>
            </w:r>
          </w:p>
        </w:tc>
        <w:tc>
          <w:tcPr>
            <w:tcW w:w="161"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(240)</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411" w:type="dxa"/>
            <w:tcBorders/>
            <w:shd w:fill="CCEEFF" w:val="clear"/>
            <w:vAlign w:val="center"/>
          </w:tcPr>
          <w:p>
            <w:pPr>
              <w:pStyle w:val="TableContents"/>
              <w:bidi w:val="0"/>
              <w:spacing w:before="0" w:after="283"/>
              <w:jc w:val="right"/>
              <w:rPr/>
            </w:pPr>
            <w:r>
              <w:rPr/>
              <w:t> </w:t>
            </w:r>
            <w:r>
              <w:rPr/>
              <w:t>(41</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double" w:sz="6" w:space="1" w:color="000000"/>
              </w:rPr>
            </w:pPr>
            <w:r>
              <w:rPr>
                <w:bdr w:val="double" w:sz="6" w:space="1" w:color="000000"/>
              </w:rPr>
              <w:t> </w:t>
            </w:r>
          </w:p>
        </w:tc>
        <w:tc>
          <w:tcPr>
            <w:tcW w:w="724" w:type="dxa"/>
            <w:tcBorders/>
            <w:vAlign w:val="center"/>
          </w:tcPr>
          <w:p>
            <w:pPr>
              <w:pStyle w:val="TableContents"/>
              <w:bidi w:val="0"/>
              <w:spacing w:before="0" w:after="0"/>
              <w:jc w:val="left"/>
              <w:rPr>
                <w:bdr w:val="double" w:sz="6" w:space="1" w:color="000000"/>
              </w:rPr>
            </w:pPr>
            <w:r>
              <w:rPr>
                <w:bdr w:val="double" w:sz="6" w:space="1" w:color="000000"/>
              </w:rPr>
              <w:t> </w:t>
            </w:r>
          </w:p>
        </w:tc>
        <w:tc>
          <w:tcPr>
            <w:tcW w:w="161"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double" w:sz="6" w:space="1" w:color="000000"/>
              </w:rPr>
            </w:pPr>
            <w:r>
              <w:rPr>
                <w:bdr w:val="double" w:sz="6" w:space="1" w:color="000000"/>
              </w:rPr>
              <w:t> </w:t>
            </w:r>
          </w:p>
        </w:tc>
        <w:tc>
          <w:tcPr>
            <w:tcW w:w="724" w:type="dxa"/>
            <w:tcBorders/>
            <w:vAlign w:val="center"/>
          </w:tcPr>
          <w:p>
            <w:pPr>
              <w:pStyle w:val="TableContents"/>
              <w:bidi w:val="0"/>
              <w:spacing w:before="0" w:after="0"/>
              <w:jc w:val="left"/>
              <w:rPr>
                <w:bdr w:val="double" w:sz="6" w:space="1" w:color="000000"/>
              </w:rPr>
            </w:pPr>
            <w:r>
              <w:rPr>
                <w:bdr w:val="double" w:sz="6"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double" w:sz="6" w:space="1" w:color="000000"/>
              </w:rPr>
            </w:pPr>
            <w:r>
              <w:rPr>
                <w:bdr w:val="double" w:sz="6" w:space="1" w:color="000000"/>
              </w:rPr>
              <w:t> </w:t>
            </w:r>
          </w:p>
        </w:tc>
        <w:tc>
          <w:tcPr>
            <w:tcW w:w="41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5920" w:type="dxa"/>
        <w:jc w:val="left"/>
        <w:tblInd w:w="0" w:type="dxa"/>
        <w:tblLayout w:type="fixed"/>
        <w:tblCellMar>
          <w:top w:w="0" w:type="dxa"/>
          <w:left w:w="0" w:type="dxa"/>
          <w:bottom w:w="0" w:type="dxa"/>
          <w:right w:w="0" w:type="dxa"/>
        </w:tblCellMar>
      </w:tblPr>
      <w:tblGrid>
        <w:gridCol w:w="185"/>
        <w:gridCol w:w="5735"/>
      </w:tblGrid>
      <w:tr>
        <w:trPr/>
        <w:tc>
          <w:tcPr>
            <w:tcW w:w="185" w:type="dxa"/>
            <w:tcBorders/>
            <w:vAlign w:val="center"/>
          </w:tcPr>
          <w:p>
            <w:pPr>
              <w:pStyle w:val="TableContents"/>
              <w:bidi w:val="0"/>
              <w:spacing w:before="0" w:after="0"/>
              <w:jc w:val="left"/>
              <w:rPr>
                <w:sz w:val="12"/>
              </w:rPr>
            </w:pPr>
            <w:r>
              <w:rPr>
                <w:sz w:val="12"/>
              </w:rPr>
              <w:t>(1)</w:t>
            </w:r>
          </w:p>
        </w:tc>
        <w:tc>
          <w:tcPr>
            <w:tcW w:w="5735" w:type="dxa"/>
            <w:tcBorders/>
            <w:vAlign w:val="center"/>
          </w:tcPr>
          <w:p>
            <w:pPr>
              <w:pStyle w:val="TableContents"/>
              <w:bidi w:val="0"/>
              <w:spacing w:before="0" w:after="0"/>
              <w:jc w:val="left"/>
              <w:rPr>
                <w:rFonts w:ascii="Times New Roman" w:hAnsi="Times New Roman"/>
                <w:sz w:val="12"/>
              </w:rPr>
            </w:pPr>
            <w:r>
              <w:rPr>
                <w:rFonts w:ascii="Times New Roman" w:hAnsi="Times New Roman"/>
                <w:sz w:val="12"/>
              </w:rPr>
              <w:t xml:space="preserve">Includes $1.4 million of other income recognized upon the conversion of related party convertible notes and SAFEs </w:t>
            </w:r>
          </w:p>
        </w:tc>
      </w:tr>
    </w:tbl>
    <w:p>
      <w:pPr>
        <w:pStyle w:val="TextBody"/>
        <w:bidi w:val="0"/>
        <w:spacing w:before="0" w:after="0"/>
        <w:jc w:val="left"/>
        <w:rPr>
          <w:shd w:fill="FFFFFF" w:val="clear"/>
        </w:rPr>
      </w:pPr>
      <w:r>
        <w:rPr>
          <w:shd w:fill="FFFFFF" w:val="clear"/>
        </w:rPr>
        <w:t> </w:t>
      </w:r>
    </w:p>
    <w:tbl>
      <w:tblPr>
        <w:tblW w:w="1795" w:type="dxa"/>
        <w:jc w:val="left"/>
        <w:tblInd w:w="0" w:type="dxa"/>
        <w:tblLayout w:type="fixed"/>
        <w:tblCellMar>
          <w:top w:w="0" w:type="dxa"/>
          <w:left w:w="0" w:type="dxa"/>
          <w:bottom w:w="0" w:type="dxa"/>
          <w:right w:w="0" w:type="dxa"/>
        </w:tblCellMar>
      </w:tblPr>
      <w:tblGrid>
        <w:gridCol w:w="425"/>
        <w:gridCol w:w="1370"/>
      </w:tblGrid>
      <w:tr>
        <w:trPr/>
        <w:tc>
          <w:tcPr>
            <w:tcW w:w="425" w:type="dxa"/>
            <w:tcBorders/>
            <w:vAlign w:val="center"/>
          </w:tcPr>
          <w:p>
            <w:pPr>
              <w:pStyle w:val="TableContents"/>
              <w:bidi w:val="0"/>
              <w:spacing w:before="0" w:after="0"/>
              <w:jc w:val="left"/>
              <w:rPr>
                <w:b/>
                <w:spacing w:val="0"/>
              </w:rPr>
            </w:pPr>
            <w:r>
              <w:rPr>
                <w:b/>
                <w:spacing w:val="0"/>
              </w:rPr>
              <w:t>(13)</w:t>
            </w:r>
          </w:p>
        </w:tc>
        <w:tc>
          <w:tcPr>
            <w:tcW w:w="13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authorized the issuance of 28,978,046 and 13,547,878 shares of common stock as of December 31, 2022 and December 31, 2021, respectively.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has reserved shares of common stock for issuance related to the following redeemable convertible preferred stock, stock options, common stock warrants, redeemable convertible preferred stock warrants, and future grants: </w:t>
      </w:r>
    </w:p>
    <w:p>
      <w:pPr>
        <w:pStyle w:val="TextBody"/>
        <w:bidi w:val="0"/>
        <w:spacing w:before="0" w:after="0"/>
        <w:jc w:val="left"/>
        <w:rPr>
          <w:shd w:fill="FFFFFF" w:val="clear"/>
        </w:rPr>
      </w:pPr>
      <w:r>
        <w:rPr>
          <w:shd w:fill="FFFFFF" w:val="clear"/>
        </w:rPr>
        <w:t> </w:t>
      </w:r>
    </w:p>
    <w:tbl>
      <w:tblPr>
        <w:tblW w:w="6105" w:type="dxa"/>
        <w:jc w:val="left"/>
        <w:tblInd w:w="0" w:type="dxa"/>
        <w:tblLayout w:type="fixed"/>
        <w:tblCellMar>
          <w:top w:w="0" w:type="dxa"/>
          <w:left w:w="0" w:type="dxa"/>
          <w:bottom w:w="0" w:type="dxa"/>
          <w:right w:w="0" w:type="dxa"/>
        </w:tblCellMar>
      </w:tblPr>
      <w:tblGrid>
        <w:gridCol w:w="3650"/>
        <w:gridCol w:w="120"/>
        <w:gridCol w:w="60"/>
        <w:gridCol w:w="980"/>
        <w:gridCol w:w="60"/>
        <w:gridCol w:w="120"/>
        <w:gridCol w:w="60"/>
        <w:gridCol w:w="980"/>
        <w:gridCol w:w="75"/>
      </w:tblGrid>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3,389,005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690,236</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issued and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4,970,395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2,135,454</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authorized for future issuance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369,907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141,644</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SAFE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341,604</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1,621,299</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reserved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8,729,307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4,930,237</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330" w:type="dxa"/>
        <w:jc w:val="left"/>
        <w:tblInd w:w="0" w:type="dxa"/>
        <w:tblLayout w:type="fixed"/>
        <w:tblCellMar>
          <w:top w:w="0" w:type="dxa"/>
          <w:left w:w="0" w:type="dxa"/>
          <w:bottom w:w="0" w:type="dxa"/>
          <w:right w:w="0" w:type="dxa"/>
        </w:tblCellMar>
      </w:tblPr>
      <w:tblGrid>
        <w:gridCol w:w="425"/>
        <w:gridCol w:w="905"/>
      </w:tblGrid>
      <w:tr>
        <w:trPr/>
        <w:tc>
          <w:tcPr>
            <w:tcW w:w="425" w:type="dxa"/>
            <w:tcBorders/>
            <w:vAlign w:val="center"/>
          </w:tcPr>
          <w:p>
            <w:pPr>
              <w:pStyle w:val="TableContents"/>
              <w:bidi w:val="0"/>
              <w:spacing w:before="0" w:after="0"/>
              <w:jc w:val="left"/>
              <w:rPr>
                <w:b/>
                <w:spacing w:val="0"/>
              </w:rPr>
            </w:pPr>
            <w:r>
              <w:rPr>
                <w:b/>
                <w:spacing w:val="0"/>
              </w:rPr>
              <w:t>(14)</w:t>
            </w:r>
          </w:p>
        </w:tc>
        <w:tc>
          <w:tcPr>
            <w:tcW w:w="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Warrants </w:t>
            </w:r>
          </w:p>
        </w:tc>
      </w:tr>
    </w:tbl>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B Warrants (Converted to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February 2016, the Company issued a warrant to purchase 5,054 shares of Series B preferred stock (the “Series B warrant”) in connection with the 2016 Credit Facility. The Series B warrant is immediately exercisable at an exercise price of $4.30 per share and has an expiration date of February 2026. The fair value of the Series B warrant, as determined in accordance with the methodology described in Note 10 – Fair Value Measurements, was less than $0.1 million as of December 31, 2022 and December 31, 2021, respectively. The relative fair value of the Series B warrant at issuance was recorded into debt issuance costs and other non-current liabilities on the accompanying consolidated balance sheets, and changes in fair value have been recorded in other income (expense), net on the accompanying consolidated statements of operations and comprehensive loss for the years ended December 31, 2022, 2021 and 2020.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C Warrants (Converted to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2016, the Company issued a warrant to purchase 148,477 shares of Series C preferred stock (the “Series C warrant”) in connection with the Series C financing. The Series C warrant agreement also provided for an additional number of Series C shares calculated on a monthly basis commencing on June 2016 based on the principal balance outstanding of the notes payable outstanding. The maximum number of shares exercisable under the Series C warrant agreement is 482,969 shares of Series C preferred stock. The Series C warrant was immediately exercisable at an exercise price of $1.00 per share and has an expiration date of July 2026. The fair value of the Series C warrant, as determined in accordance with the methodology described in Note 10 – Fair Value Measurements, was $6.3 million and $1.1 million as of December 31, 2022 and December 31, 2021, respectively. The relative fair value of the Series C warrant at issuance as recorded as Series C preferred stock issuance costs and other non-current liabilities on the accompanying consolidated balance sheets, and changes in fair value have been recorded in other income (expense), net on the accompanying consolidated statements of operations and comprehensive loss for the years ended December 31, 2022, 2021 and 2020.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C-1 Warrants (Converted to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January 2020, the Company issued a warrant to purchase 173,067 shares of common stock in conjunction with the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financing. The warrant is immediately exercisable at an exercise price of $0.01 per share and has an expiration date of January 2030. The warrant remains outstanding as of December 31, 2022. At issuance, the relative fair value of the warrant was determined to be $0.1 million using the Black-Scholes model, which was recorded within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on the consolidated balance sheets. The warrant is not remeasured in future periods as it meets the conditions for equity classification.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SVB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May and August 2021, the Company issued warrants to purchase 2,472 and 2,525 shares of common stock, respectively, in conjunction with the Fifth and Sixth Amendments to the Loan and Security Agreement with Silicon Valley Bank. The warrants are immediately exercisable at exercise prices of $0.38 and $0.62 per share, respectively, and have expiration dates in 2033. The warrants remain outstanding as of December 31, 2022. At issuance, the relative fair value of the warrants were determined to be less than $0.1 million in aggregate using the Black-Scholes model, which was recorded within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paid-in-capital</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the accompanying consolidated balance sheets. The warrants are not remeasured in future periods as they meet the conditions for equity classification.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Promissory Notes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2021, the Company issued a warrant to purchase 24,148 shares of common stock in conjunction with the issuance of a short-term promissory note. The warrant is immediately exercisable at an exercise price of $0.01 per share and has an expiration date of October 2031. The warrant remains outstanding as of December 31, 2022. At issuance, the relative fair value of the warrant was determined to be less than $0.1 million using the Black-Scholes model, which was recorded within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on the consolidated balance sheets. The warrant is not remeasured in future periods as it meets the conditions for equity classification.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Carlyle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February 2022, as part of a debt financing from CRSEF Solis Holdings, LLC (“Carlyle”) (refer to Note 13 – Borrowing Arrangements), the Company issued a warrant to purchase 2,887,643 shares of common stock in conjunction with the redeemable investment in CS Solis. The warrant contains two tranches, the first of which is immediately exercisable for 1,995,870 shares. The second tranche, which was determined to be a separate unit of account, was exercisable upon a subsequent investment from Carlyle in CS Solis. No subsequent investment was made and investment period expired on December 31, 2022 and the second tranche of warrants expired prior to becoming exercisable. The vested warrant has an exercise price of $0.01 per share and has an expiration date of February 2029. The warrant remains outstanding as of December 31, 2022. At issuance, the relative fair value of the warrant was determined to be $3.4 million using the Black-Scholes model, which was recorded within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and as a discount on the long-term debt in CS Solis on the consolidated balance sheets. The warrant is not remeasured in future periods as it meets the conditions for equity classification.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D-7 Warrants (Converted to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In November 2022, the company issued warrants to purchase 656,630 shares of Series D-7 preferred stock (the “Series D-7 warrants”) in conjunction with the merger agreement with Solaria. The warrant contains two tranches. The first tranche of 518,752 shares of Series D-7 preferred stock is exercisable at an exercise price of $2.50 per share upon consummation of a deSPAC transaction, or at an exercise price of $2.04 per share upon remaining private and has an expiration date of April 2024. The second tranche of 137,878 shares of Series D-7 preferred stock is exercisable at an exercise price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5.00</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per share upon consummation of a deSPAC transaction, or at an exercise price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4.09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per share upon remaining private and has an expiration date of April 2024. The warrants remain outstanding as of December 31, 2022. The fair value of the Series D-7 warrants, as determined in accordance with the methodology described in Note 10 – Fair Value Measurements, was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7.8</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million as of December 31, 2022. All of the Series B, Series C, and Series D preferred stock warrants remained outstanding as of December 31, 2022 and December 31, 2021.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November 2022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2022, the Company issued a warrant to a third-party service provider to purchase 38,136 shares of common stock in conjunction with the Business Combination. The warrant is immediately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exercisable at an exercise price of $8.00 per share and has an expiration date of April 2024. The warrant remains outstanding as of December 31, 2022. At issuance, the relative fair value of the warrant was determined to be $0.1 million using the Black-Scholes model, which was recorded within additional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capital on the consolidated balance sheets. The warrant is not remeasured in future periods as it meets the conditions for equity classification.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assumptions were used to calculate the fair value of the common stock warrants issued: </w:t>
      </w:r>
    </w:p>
    <w:p>
      <w:pPr>
        <w:pStyle w:val="TextBody"/>
        <w:bidi w:val="0"/>
        <w:spacing w:before="0" w:after="0"/>
        <w:jc w:val="left"/>
        <w:rPr>
          <w:shd w:fill="FFFFFF" w:val="clear"/>
        </w:rPr>
      </w:pPr>
      <w:r>
        <w:rPr>
          <w:shd w:fill="FFFFFF" w:val="clear"/>
        </w:rPr>
        <w:t> </w:t>
      </w:r>
    </w:p>
    <w:tbl>
      <w:tblPr>
        <w:tblW w:w="4815" w:type="dxa"/>
        <w:jc w:val="left"/>
        <w:tblInd w:w="0" w:type="dxa"/>
        <w:tblLayout w:type="fixed"/>
        <w:tblCellMar>
          <w:top w:w="0" w:type="dxa"/>
          <w:left w:w="0" w:type="dxa"/>
          <w:bottom w:w="0" w:type="dxa"/>
          <w:right w:w="0" w:type="dxa"/>
        </w:tblCellMar>
      </w:tblPr>
      <w:tblGrid>
        <w:gridCol w:w="1760"/>
        <w:gridCol w:w="120"/>
        <w:gridCol w:w="1250"/>
        <w:gridCol w:w="60"/>
        <w:gridCol w:w="162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3"/>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pPr>
            <w:r>
              <w:rPr/>
              <w:t>2022</w:t>
            </w:r>
          </w:p>
        </w:tc>
        <w:tc>
          <w:tcPr>
            <w:tcW w:w="60" w:type="dxa"/>
            <w:tcBorders/>
            <w:vAlign w:val="center"/>
          </w:tcPr>
          <w:p>
            <w:pPr>
              <w:pStyle w:val="TableContents"/>
              <w:bidi w:val="0"/>
              <w:spacing w:before="0" w:after="283"/>
              <w:jc w:val="left"/>
              <w:rPr/>
            </w:pPr>
            <w:r>
              <w:rPr/>
              <w:t> </w:t>
            </w:r>
          </w:p>
        </w:tc>
        <w:tc>
          <w:tcPr>
            <w:tcW w:w="1625" w:type="dxa"/>
            <w:tcBorders>
              <w:bottom w:val="single" w:sz="8" w:space="0" w:color="000000"/>
            </w:tcBorders>
            <w:tcMar>
              <w:bottom w:w="28" w:type="dxa"/>
            </w:tcMar>
            <w:vAlign w:val="center"/>
          </w:tcPr>
          <w:p>
            <w:pPr>
              <w:pStyle w:val="TableContents"/>
              <w:bidi w:val="0"/>
              <w:spacing w:before="0" w:after="283"/>
              <w:jc w:val="center"/>
              <w:rPr/>
            </w:pPr>
            <w:r>
              <w:rPr/>
              <w:t>2021</w:t>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center"/>
              <w:rPr>
                <w:spacing w:val="0"/>
              </w:rPr>
            </w:pPr>
            <w:r>
              <w:rPr>
                <w:spacing w:val="0"/>
              </w:rPr>
              <w:t>1.5 </w:t>
            </w:r>
          </w:p>
          <w:p>
            <w:pPr>
              <w:pStyle w:val="TableContents"/>
              <w:bidi w:val="0"/>
              <w:spacing w:before="0" w:after="0"/>
              <w:jc w:val="center"/>
              <w:rPr>
                <w:spacing w:val="0"/>
              </w:rPr>
            </w:pPr>
            <w:r>
              <w:rPr>
                <w:spacing w:val="0"/>
              </w:rPr>
              <w:t>- 7.0 years</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0"/>
              <w:jc w:val="center"/>
              <w:rPr>
                <w:spacing w:val="0"/>
              </w:rPr>
            </w:pPr>
            <w:r>
              <w:rPr>
                <w:spacing w:val="0"/>
              </w:rPr>
              <w:t>10.0 - 12.0 years</w:t>
            </w:r>
          </w:p>
        </w:tc>
      </w:tr>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center"/>
              <w:rPr>
                <w:spacing w:val="0"/>
              </w:rPr>
            </w:pPr>
            <w:r>
              <w:rPr>
                <w:spacing w:val="0"/>
              </w:rPr>
              <w:t>73.0 - 78.5%</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73.0%</w:t>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1.9 - 4.7%</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pPr>
            <w:r>
              <w:rPr/>
              <w:t>1.3% - 1.7%</w:t>
            </w:r>
          </w:p>
        </w:tc>
      </w:tr>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dividends</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0.0%</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0.0%</w:t>
            </w:r>
          </w:p>
        </w:tc>
      </w:tr>
    </w:tbl>
    <w:p>
      <w:pPr>
        <w:pStyle w:val="TextBody"/>
        <w:bidi w:val="0"/>
        <w:spacing w:before="0" w:after="0"/>
        <w:jc w:val="left"/>
        <w:rPr>
          <w:shd w:fill="FFFFFF" w:val="clear"/>
        </w:rPr>
      </w:pPr>
      <w:r>
        <w:rPr>
          <w:shd w:fill="FFFFFF" w:val="clear"/>
        </w:rPr>
        <w:t> </w:t>
      </w:r>
    </w:p>
    <w:tbl>
      <w:tblPr>
        <w:tblW w:w="2695" w:type="dxa"/>
        <w:jc w:val="left"/>
        <w:tblInd w:w="0" w:type="dxa"/>
        <w:tblLayout w:type="fixed"/>
        <w:tblCellMar>
          <w:top w:w="0" w:type="dxa"/>
          <w:left w:w="0" w:type="dxa"/>
          <w:bottom w:w="0" w:type="dxa"/>
          <w:right w:w="0" w:type="dxa"/>
        </w:tblCellMar>
      </w:tblPr>
      <w:tblGrid>
        <w:gridCol w:w="425"/>
        <w:gridCol w:w="2270"/>
      </w:tblGrid>
      <w:tr>
        <w:trPr/>
        <w:tc>
          <w:tcPr>
            <w:tcW w:w="425" w:type="dxa"/>
            <w:tcBorders/>
            <w:vAlign w:val="center"/>
          </w:tcPr>
          <w:p>
            <w:pPr>
              <w:pStyle w:val="TableContents"/>
              <w:bidi w:val="0"/>
              <w:spacing w:before="0" w:after="0"/>
              <w:jc w:val="left"/>
              <w:rPr>
                <w:b/>
                <w:spacing w:val="0"/>
              </w:rPr>
            </w:pPr>
            <w:r>
              <w:rPr>
                <w:b/>
                <w:spacing w:val="0"/>
              </w:rPr>
              <w:t>(15)</w:t>
            </w:r>
          </w:p>
        </w:tc>
        <w:tc>
          <w:tcPr>
            <w:tcW w:w="22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Borrowing Arrangements </w:t>
            </w:r>
          </w:p>
        </w:tc>
      </w:tr>
    </w:tbl>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Convertible notes, net and convertible notes, net due to related parties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2022 and December 31, 2021, the Company’s convertible notes consisted of the following (in thousands): </w:t>
      </w:r>
    </w:p>
    <w:p>
      <w:pPr>
        <w:pStyle w:val="TextBody"/>
        <w:bidi w:val="0"/>
        <w:spacing w:before="0" w:after="0"/>
        <w:jc w:val="left"/>
        <w:rPr>
          <w:shd w:fill="FFFFFF" w:val="clear"/>
        </w:rPr>
      </w:pPr>
      <w:r>
        <w:rPr>
          <w:shd w:fill="FFFFFF" w:val="clear"/>
        </w:rPr>
        <w:t> </w:t>
      </w:r>
    </w:p>
    <w:tbl>
      <w:tblPr>
        <w:tblW w:w="7657" w:type="dxa"/>
        <w:jc w:val="left"/>
        <w:tblInd w:w="0" w:type="dxa"/>
        <w:tblLayout w:type="fixed"/>
        <w:tblCellMar>
          <w:top w:w="0" w:type="dxa"/>
          <w:left w:w="0" w:type="dxa"/>
          <w:bottom w:w="0" w:type="dxa"/>
          <w:right w:w="0" w:type="dxa"/>
        </w:tblCellMar>
      </w:tblPr>
      <w:tblGrid>
        <w:gridCol w:w="5525"/>
        <w:gridCol w:w="60"/>
        <w:gridCol w:w="164"/>
        <w:gridCol w:w="800"/>
        <w:gridCol w:w="70"/>
        <w:gridCol w:w="141"/>
        <w:gridCol w:w="164"/>
        <w:gridCol w:w="658"/>
        <w:gridCol w:w="75"/>
      </w:tblGrid>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65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2019-A</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658" w:type="dxa"/>
            <w:tcBorders/>
            <w:vAlign w:val="center"/>
          </w:tcPr>
          <w:p>
            <w:pPr>
              <w:pStyle w:val="TableContents"/>
              <w:bidi w:val="0"/>
              <w:spacing w:before="0" w:after="283"/>
              <w:jc w:val="right"/>
              <w:rPr/>
            </w:pPr>
            <w:r>
              <w:rPr/>
              <w:t>115</w:t>
            </w:r>
          </w:p>
        </w:tc>
        <w:tc>
          <w:tcPr>
            <w:tcW w:w="7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2020-A</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630</w:t>
            </w:r>
          </w:p>
        </w:tc>
        <w:tc>
          <w:tcPr>
            <w:tcW w:w="7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2021-A</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1,145</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65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1,890</w:t>
            </w:r>
          </w:p>
        </w:tc>
        <w:tc>
          <w:tcPr>
            <w:tcW w:w="7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65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net due to related parties</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2020-A</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3,260</w:t>
            </w:r>
          </w:p>
        </w:tc>
        <w:tc>
          <w:tcPr>
            <w:tcW w:w="7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2021-A</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3,050</w:t>
            </w:r>
          </w:p>
        </w:tc>
        <w:tc>
          <w:tcPr>
            <w:tcW w:w="7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Promissory Notes with Ecosystem Integrity Fund II, LP.</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510</w:t>
            </w:r>
          </w:p>
        </w:tc>
        <w:tc>
          <w:tcPr>
            <w:tcW w:w="7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65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net due to related parties</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6,820</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65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net, noncurrent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65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 Convertible Notes</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3,434</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65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net, noncurrent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3,434</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65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net due to related parties, noncurrent</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2022 Convertible Notes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15,510</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65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net due to related parties, noncurrent</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15,510</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65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convertible notes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18,944</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8,710</w:t>
            </w:r>
          </w:p>
        </w:tc>
        <w:tc>
          <w:tcPr>
            <w:tcW w:w="7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65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Promissory Notes with Ecosystem Integrity Fund II, LP.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April 30, 2021, the Company issued a short-term Subordinated Convertible Promissory Note to Ecosystem Integrity Fund II, LP (“EIF”) for a total principal of $0.5 million plus accrued interest of 3.0% per annum due on June 30, 2021. The Note included a conversion feature which allows the holder to convert any portion of the note plus any unpaid accrued interest (“Conversion Amount”) into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on the maturity date of June 30, 2021 or thereafter. As of December 31, 2021 the principal and accrued interest remained outstanding and the holder did not elect to covert the note into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shares. The principal and accrued interest of $0.5 million was repaid in February 2022.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2019-A</w:t>
      </w:r>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2019, the Company issued a series of convertible notes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for $0.1 million in proceeds, with immaterial debt issuance costs, and which were due and payable on demand by the holders after August 2020. The notes carried simple interest of 6.0% and contained a conversion feature whereby the 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valued and bifurcated the share-settled redemption feature, which enabled the holders to convert the notes to the preferred shares at a predefined discount from the issuance price and recorded its initial fair value of less than $0.1 million as a discount on the convertible notes face amount. The debt discount was amortized to interest expense at a weighted-average effective interest rate of 17.6% through the maturity dates of the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share-settled redemption feature was determined in accordance with the methodology described in Note 8 – Fair Value Measurements, and the changes in fair value were recognized as a component of other income (expense), net in the accompanying consolidated statements of operations and comprehensive loss. The Company recorded zero, less than $0.1 million, and less than $0.1 million in expense during the years ended December 31, 2022, 2021 and 2020, respectively, related to the change in the fair value of the convertible notes embedded derivative liability. The convertible notes were carried within the accompanying consolidated balance sheets at their original issuance value, net of unamortized debt discount and issuance costs. In March 2022, as part of the Company’s Series D Preferred Stock issuance,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converted into 62,500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The Company recognized a loss on the conversion of less than $0.1 million in other income (expense), net on the consolidated statements of operations and comprehensive loss.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net carrying amount of the convertible notes was as follows (in thousands): </w:t>
      </w:r>
    </w:p>
    <w:p>
      <w:pPr>
        <w:pStyle w:val="TextBody"/>
        <w:bidi w:val="0"/>
        <w:spacing w:before="0" w:after="0"/>
        <w:jc w:val="left"/>
        <w:rPr>
          <w:shd w:fill="FFFFFF" w:val="clear"/>
        </w:rPr>
      </w:pPr>
      <w:r>
        <w:rPr>
          <w:shd w:fill="FFFFFF" w:val="clear"/>
        </w:rPr>
        <w:t> </w:t>
      </w:r>
    </w:p>
    <w:tbl>
      <w:tblPr>
        <w:tblW w:w="7447" w:type="dxa"/>
        <w:jc w:val="left"/>
        <w:tblInd w:w="0" w:type="dxa"/>
        <w:tblLayout w:type="fixed"/>
        <w:tblCellMar>
          <w:top w:w="0" w:type="dxa"/>
          <w:left w:w="0" w:type="dxa"/>
          <w:bottom w:w="0" w:type="dxa"/>
          <w:right w:w="0" w:type="dxa"/>
        </w:tblCellMar>
      </w:tblPr>
      <w:tblGrid>
        <w:gridCol w:w="5255"/>
        <w:gridCol w:w="120"/>
        <w:gridCol w:w="210"/>
        <w:gridCol w:w="683"/>
        <w:gridCol w:w="232"/>
        <w:gridCol w:w="89"/>
        <w:gridCol w:w="210"/>
        <w:gridCol w:w="573"/>
        <w:gridCol w:w="75"/>
      </w:tblGrid>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Principal</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100</w:t>
            </w:r>
          </w:p>
        </w:tc>
        <w:tc>
          <w:tcPr>
            <w:tcW w:w="23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Unamortized debt discount</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PIK interest added to principal balance</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16</w:t>
            </w:r>
          </w:p>
        </w:tc>
        <w:tc>
          <w:tcPr>
            <w:tcW w:w="23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Conversion to Series D-2 redeemable convertible preferred stock</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(116</w:t>
            </w:r>
          </w:p>
        </w:tc>
        <w:tc>
          <w:tcPr>
            <w:tcW w:w="2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683" w:type="dxa"/>
            <w:tcBorders/>
            <w:vAlign w:val="center"/>
          </w:tcPr>
          <w:p>
            <w:pPr>
              <w:pStyle w:val="TableContents"/>
              <w:bidi w:val="0"/>
              <w:spacing w:before="0" w:after="0"/>
              <w:jc w:val="left"/>
              <w:rPr>
                <w:bdr w:val="single" w:sz="2" w:space="1" w:color="000000"/>
              </w:rPr>
            </w:pPr>
            <w:r>
              <w:rPr>
                <w:bdr w:val="single" w:sz="2" w:space="1" w:color="000000"/>
              </w:rPr>
              <w:t> </w:t>
            </w:r>
          </w:p>
        </w:tc>
        <w:tc>
          <w:tcPr>
            <w:tcW w:w="2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573"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carrying amount</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115</w:t>
            </w:r>
          </w:p>
        </w:tc>
        <w:tc>
          <w:tcPr>
            <w:tcW w:w="75"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683" w:type="dxa"/>
            <w:tcBorders/>
            <w:vAlign w:val="center"/>
          </w:tcPr>
          <w:p>
            <w:pPr>
              <w:pStyle w:val="TableContents"/>
              <w:bidi w:val="0"/>
              <w:spacing w:before="0" w:after="0"/>
              <w:jc w:val="left"/>
              <w:rPr>
                <w:bdr w:val="double" w:sz="6" w:space="1" w:color="000000"/>
              </w:rPr>
            </w:pPr>
            <w:r>
              <w:rPr>
                <w:bdr w:val="double" w:sz="6" w:space="1" w:color="000000"/>
              </w:rPr>
              <w:t> </w:t>
            </w:r>
          </w:p>
        </w:tc>
        <w:tc>
          <w:tcPr>
            <w:tcW w:w="2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573"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Interest expense related to the convertible notes was as follows (in thousands): </w:t>
      </w:r>
    </w:p>
    <w:p>
      <w:pPr>
        <w:pStyle w:val="TextBody"/>
        <w:bidi w:val="0"/>
        <w:spacing w:before="0" w:after="0"/>
        <w:jc w:val="left"/>
        <w:rPr>
          <w:shd w:fill="FFFFFF" w:val="clear"/>
        </w:rPr>
      </w:pPr>
      <w:r>
        <w:rPr>
          <w:shd w:fill="FFFFFF" w:val="clear"/>
        </w:rPr>
        <w:t> </w:t>
      </w:r>
    </w:p>
    <w:tbl>
      <w:tblPr>
        <w:tblW w:w="4837" w:type="dxa"/>
        <w:jc w:val="left"/>
        <w:tblInd w:w="0" w:type="dxa"/>
        <w:tblLayout w:type="fixed"/>
        <w:tblCellMar>
          <w:top w:w="0" w:type="dxa"/>
          <w:left w:w="0" w:type="dxa"/>
          <w:bottom w:w="0" w:type="dxa"/>
          <w:right w:w="0" w:type="dxa"/>
        </w:tblCellMar>
      </w:tblPr>
      <w:tblGrid>
        <w:gridCol w:w="2480"/>
        <w:gridCol w:w="120"/>
        <w:gridCol w:w="166"/>
        <w:gridCol w:w="452"/>
        <w:gridCol w:w="71"/>
        <w:gridCol w:w="142"/>
        <w:gridCol w:w="166"/>
        <w:gridCol w:w="452"/>
        <w:gridCol w:w="71"/>
        <w:gridCol w:w="142"/>
        <w:gridCol w:w="250"/>
        <w:gridCol w:w="250"/>
        <w:gridCol w:w="75"/>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62"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1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debt discount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250"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PIK interest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1</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12</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452" w:type="dxa"/>
            <w:tcBorders/>
            <w:vAlign w:val="center"/>
          </w:tcPr>
          <w:p>
            <w:pPr>
              <w:pStyle w:val="TableContents"/>
              <w:bidi w:val="0"/>
              <w:spacing w:before="0" w:after="0"/>
              <w:jc w:val="left"/>
              <w:rPr>
                <w:bdr w:val="single" w:sz="2" w:space="1" w:color="000000"/>
              </w:rPr>
            </w:pPr>
            <w:r>
              <w:rPr>
                <w:bdr w:val="single" w:sz="2" w:space="1" w:color="000000"/>
              </w:rPr>
              <w:t> </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452" w:type="dxa"/>
            <w:tcBorders/>
            <w:vAlign w:val="center"/>
          </w:tcPr>
          <w:p>
            <w:pPr>
              <w:pStyle w:val="TableContents"/>
              <w:bidi w:val="0"/>
              <w:spacing w:before="0" w:after="0"/>
              <w:jc w:val="left"/>
              <w:rPr>
                <w:bdr w:val="single" w:sz="2" w:space="1" w:color="000000"/>
              </w:rPr>
            </w:pPr>
            <w:r>
              <w:rPr>
                <w:bdr w:val="single" w:sz="2" w:space="1" w:color="000000"/>
              </w:rPr>
              <w:t> </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1</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12</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250"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452" w:type="dxa"/>
            <w:tcBorders/>
            <w:vAlign w:val="center"/>
          </w:tcPr>
          <w:p>
            <w:pPr>
              <w:pStyle w:val="TableContents"/>
              <w:bidi w:val="0"/>
              <w:spacing w:before="0" w:after="0"/>
              <w:jc w:val="left"/>
              <w:rPr>
                <w:bdr w:val="single" w:sz="2" w:space="1" w:color="000000"/>
              </w:rPr>
            </w:pPr>
            <w:r>
              <w:rPr>
                <w:bdr w:val="single" w:sz="2" w:space="1" w:color="000000"/>
              </w:rPr>
              <w:t> </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452" w:type="dxa"/>
            <w:tcBorders/>
            <w:vAlign w:val="center"/>
          </w:tcPr>
          <w:p>
            <w:pPr>
              <w:pStyle w:val="TableContents"/>
              <w:bidi w:val="0"/>
              <w:spacing w:before="0" w:after="0"/>
              <w:jc w:val="left"/>
              <w:rPr>
                <w:bdr w:val="single" w:sz="2" w:space="1" w:color="000000"/>
              </w:rPr>
            </w:pPr>
            <w:r>
              <w:rPr>
                <w:bdr w:val="single" w:sz="2" w:space="1" w:color="000000"/>
              </w:rPr>
              <w:t> </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2020-A</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2020, the Company issued a series of convertible notes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for $3.8 million in proceeds, with immaterial debt issuance costs, and which are due and payable on demand by the holders after April 2021. The notes carried simple interest of 2.0% and contained a conversion feature whereby the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valued and bifurcated the share-settled redemption feature, which enables the holders to convert the notes to the preferred shares at a predefined discount from the issuance price and recorded its initial fair value of $0.5 million as a discount on the convertible notes face amount. The debt discount was amortized to interest expense at a weighted-average effective interest rate of 25.6% through the maturity dates of the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share-settled redemption feature was determined in accordance with the methodology described in Note 8 – Fair Value Measurements, and the changes in fair value were recognized as a component of other income (expense), net in the accompanying consolidated statements of operations and comprehensive loss. The Company recorded zero, less than $0.1 million, and less than $0.1 million in expense during the years ended December 31, 2022, 2021 and 2020 respectively, related to the change in the fair value of the convertible notes embedded derivative liability. The convertible notes were carried within the accompanying consolidated balance sheets at their original issuance value, net of unamortized debt discount and issuance costs. In March 2022, as part of the Company’s Series D Preferred Stock issuance,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converted into 785,799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The Company recognized a gain on the conversion of $0.9 million in other income (expense), net on the consolidated statements of operations and comprehensive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net carrying amount of the convertible notes was as follows (in thousands): </w:t>
      </w:r>
    </w:p>
    <w:p>
      <w:pPr>
        <w:pStyle w:val="TextBody"/>
        <w:bidi w:val="0"/>
        <w:spacing w:before="0" w:after="0"/>
        <w:jc w:val="left"/>
        <w:rPr>
          <w:shd w:fill="FFFFFF" w:val="clear"/>
        </w:rPr>
      </w:pPr>
      <w:r>
        <w:rPr>
          <w:shd w:fill="FFFFFF" w:val="clear"/>
        </w:rPr>
        <w:t> </w:t>
      </w:r>
    </w:p>
    <w:tbl>
      <w:tblPr>
        <w:tblW w:w="5379" w:type="dxa"/>
        <w:jc w:val="left"/>
        <w:tblInd w:w="0" w:type="dxa"/>
        <w:tblLayout w:type="fixed"/>
        <w:tblCellMar>
          <w:top w:w="0" w:type="dxa"/>
          <w:left w:w="0" w:type="dxa"/>
          <w:bottom w:w="0" w:type="dxa"/>
          <w:right w:w="0" w:type="dxa"/>
        </w:tblCellMar>
      </w:tblPr>
      <w:tblGrid>
        <w:gridCol w:w="3185"/>
        <w:gridCol w:w="120"/>
        <w:gridCol w:w="160"/>
        <w:gridCol w:w="725"/>
        <w:gridCol w:w="177"/>
        <w:gridCol w:w="137"/>
        <w:gridCol w:w="160"/>
        <w:gridCol w:w="640"/>
        <w:gridCol w:w="75"/>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Principal</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3,784</w:t>
            </w:r>
          </w:p>
        </w:tc>
        <w:tc>
          <w:tcPr>
            <w:tcW w:w="17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3,784</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Unamortized debt discount</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PIK interest added to principal balance</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122</w:t>
            </w:r>
          </w:p>
        </w:tc>
        <w:tc>
          <w:tcPr>
            <w:tcW w:w="17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106</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Conversion to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D-1</w:t>
            </w:r>
          </w:p>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(3,906</w:t>
            </w:r>
          </w:p>
        </w:tc>
        <w:tc>
          <w:tcPr>
            <w:tcW w:w="17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725"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carrying amount</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3,890</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725"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Interest expense related to the convertible notes was as follows (in thousands): </w:t>
      </w:r>
    </w:p>
    <w:p>
      <w:pPr>
        <w:pStyle w:val="TextBody"/>
        <w:bidi w:val="0"/>
        <w:spacing w:before="0" w:after="0"/>
        <w:jc w:val="left"/>
        <w:rPr>
          <w:shd w:fill="FFFFFF" w:val="clear"/>
        </w:rPr>
      </w:pPr>
      <w:r>
        <w:rPr>
          <w:shd w:fill="FFFFFF" w:val="clear"/>
        </w:rPr>
        <w:t> </w:t>
      </w:r>
    </w:p>
    <w:tbl>
      <w:tblPr>
        <w:tblW w:w="6919" w:type="dxa"/>
        <w:jc w:val="left"/>
        <w:tblInd w:w="0" w:type="dxa"/>
        <w:tblLayout w:type="fixed"/>
        <w:tblCellMar>
          <w:top w:w="0" w:type="dxa"/>
          <w:left w:w="0" w:type="dxa"/>
          <w:bottom w:w="0" w:type="dxa"/>
          <w:right w:w="0" w:type="dxa"/>
        </w:tblCellMar>
      </w:tblPr>
      <w:tblGrid>
        <w:gridCol w:w="4730"/>
        <w:gridCol w:w="120"/>
        <w:gridCol w:w="145"/>
        <w:gridCol w:w="395"/>
        <w:gridCol w:w="62"/>
        <w:gridCol w:w="125"/>
        <w:gridCol w:w="145"/>
        <w:gridCol w:w="395"/>
        <w:gridCol w:w="62"/>
        <w:gridCol w:w="125"/>
        <w:gridCol w:w="145"/>
        <w:gridCol w:w="395"/>
        <w:gridCol w:w="75"/>
      </w:tblGrid>
      <w:tr>
        <w:trPr/>
        <w:tc>
          <w:tcPr>
            <w:tcW w:w="4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4"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7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debt discount . . . . . . . . . . . . . . . . . . . . . . . .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281</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235</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PIK interest . . . . . . . . . . . . . . . . . . . . . . . . . . . . . . . . . . . . . .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16</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74</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interest expense . . . . . . . . . . . . . . . . . . . . . . .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16</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355</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267</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2021-A</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2020, the Company issued a series of convertible notes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for $4.3 million in proceeds, with immaterial debt issuance costs, and which are due and payable on demand by the holders after February 2022. The holders are existing investors and are not expected to demand cash settlement, as the Company expects to raise additional preferred financing under which the notes will convert into preferred shares. The notes carry simple interest of 2.0% and contained a conversion feature whereby the 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valued and bifurcated the share-settled redemption feature, which enables the holders to convert the notes to the preferred shares at a predefined discount from the issuance price and recorded its initial fair value of $0.6 million as a discount on the convertible notes face amount. The debt discount is amortized to interest expense at a weighted-average effective interest rate of 18.1% through the maturity dates of the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share-settled redemption feature was determined in accordance with the methodology described in Note 10 – Fair Value Measurements, and the changes in fair value were recognized as a component of other income (expense), net in the consolidated statements of operations and comprehensive loss. The Company recorded zero and $0.2 million and in expense during the year ended December 31, 2022 and December 31, 2021, respectively, related to the change in the fair value of the convertible notes embedded derivative liability. The convertible notes were carried on the consolidated balance sheets at their original issuance value, net of unamortized debt discount and issuance costs. In March 2022, as part of the Company’s Series D Preferred Stock issuance,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converted into 869,640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The Company recognized a gain on the conversion of $0.8 million in other income (expense), net on the consolidated statements of operations and comprehensive loss.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net carrying amount of the convertible notes was as follows (in thousands): </w:t>
      </w:r>
    </w:p>
    <w:p>
      <w:pPr>
        <w:pStyle w:val="TextBody"/>
        <w:bidi w:val="0"/>
        <w:spacing w:before="0" w:after="0"/>
        <w:jc w:val="left"/>
        <w:rPr>
          <w:shd w:fill="FFFFFF" w:val="clear"/>
        </w:rPr>
      </w:pPr>
      <w:r>
        <w:rPr>
          <w:shd w:fill="FFFFFF" w:val="clear"/>
        </w:rPr>
        <w:t> </w:t>
      </w:r>
    </w:p>
    <w:tbl>
      <w:tblPr>
        <w:tblW w:w="5474" w:type="dxa"/>
        <w:jc w:val="left"/>
        <w:tblInd w:w="0" w:type="dxa"/>
        <w:tblLayout w:type="fixed"/>
        <w:tblCellMar>
          <w:top w:w="0" w:type="dxa"/>
          <w:left w:w="0" w:type="dxa"/>
          <w:bottom w:w="0" w:type="dxa"/>
          <w:right w:w="0" w:type="dxa"/>
        </w:tblCellMar>
      </w:tblPr>
      <w:tblGrid>
        <w:gridCol w:w="3185"/>
        <w:gridCol w:w="120"/>
        <w:gridCol w:w="160"/>
        <w:gridCol w:w="725"/>
        <w:gridCol w:w="177"/>
        <w:gridCol w:w="137"/>
        <w:gridCol w:w="160"/>
        <w:gridCol w:w="640"/>
        <w:gridCol w:w="170"/>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Principal</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4,250</w:t>
            </w:r>
          </w:p>
        </w:tc>
        <w:tc>
          <w:tcPr>
            <w:tcW w:w="17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4,250</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Unamortized debt discount</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(112</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PIK interest added to principal balance</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74</w:t>
            </w:r>
          </w:p>
        </w:tc>
        <w:tc>
          <w:tcPr>
            <w:tcW w:w="17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57</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Conversion to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D-1</w:t>
            </w:r>
          </w:p>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(4,324</w:t>
            </w:r>
          </w:p>
        </w:tc>
        <w:tc>
          <w:tcPr>
            <w:tcW w:w="17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725"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carrying amount</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4,195</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725"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Interest expense related to the convertible notes was as follows (in thousands): </w:t>
      </w:r>
    </w:p>
    <w:p>
      <w:pPr>
        <w:pStyle w:val="TextBody"/>
        <w:bidi w:val="0"/>
        <w:spacing w:before="0" w:after="0"/>
        <w:jc w:val="left"/>
        <w:rPr>
          <w:shd w:fill="FFFFFF" w:val="clear"/>
        </w:rPr>
      </w:pPr>
      <w:r>
        <w:rPr>
          <w:shd w:fill="FFFFFF" w:val="clear"/>
        </w:rPr>
        <w:t> </w:t>
      </w:r>
    </w:p>
    <w:tbl>
      <w:tblPr>
        <w:tblW w:w="6919" w:type="dxa"/>
        <w:jc w:val="left"/>
        <w:tblInd w:w="0" w:type="dxa"/>
        <w:tblLayout w:type="fixed"/>
        <w:tblCellMar>
          <w:top w:w="0" w:type="dxa"/>
          <w:left w:w="0" w:type="dxa"/>
          <w:bottom w:w="0" w:type="dxa"/>
          <w:right w:w="0" w:type="dxa"/>
        </w:tblCellMar>
      </w:tblPr>
      <w:tblGrid>
        <w:gridCol w:w="4730"/>
        <w:gridCol w:w="120"/>
        <w:gridCol w:w="145"/>
        <w:gridCol w:w="395"/>
        <w:gridCol w:w="62"/>
        <w:gridCol w:w="125"/>
        <w:gridCol w:w="145"/>
        <w:gridCol w:w="395"/>
        <w:gridCol w:w="62"/>
        <w:gridCol w:w="125"/>
        <w:gridCol w:w="145"/>
        <w:gridCol w:w="395"/>
        <w:gridCol w:w="75"/>
      </w:tblGrid>
      <w:tr>
        <w:trPr/>
        <w:tc>
          <w:tcPr>
            <w:tcW w:w="4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4"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7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debt discount . . . . . . . . . . . . . . . . . . . . . . . .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112</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454</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PIK interest . . . . . . . . . . . . . . . . . . . . . . . . . . . . . . . . . . . . . .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17</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57</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interest expense . . . . . . . . . . . . . . . . . . . . . . .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129</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511</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part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financing, the Company entered into an additional convertible note with an existing investor for $0.5 million. The note carries PIK interest of 3.0% and is due and payable on demand at any time after June 30, 2021. The note contains an embedded conversion feature, which allows the holder to convert the note into a fixed number of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at any time after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June 30, 2021. The Company concluded the conversion feature is not required to be bifurcated as an embedded derivative liability, and the note is carried at its principal plus accrued PIK interest.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net carrying amount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 without an embedded derivative liability was as follows (in thousands): </w:t>
      </w:r>
    </w:p>
    <w:p>
      <w:pPr>
        <w:pStyle w:val="TextBody"/>
        <w:bidi w:val="0"/>
        <w:spacing w:before="0" w:after="0"/>
        <w:jc w:val="left"/>
        <w:rPr>
          <w:shd w:fill="FFFFFF" w:val="clear"/>
        </w:rPr>
      </w:pPr>
      <w:r>
        <w:rPr>
          <w:shd w:fill="FFFFFF" w:val="clear"/>
        </w:rPr>
        <w:t> </w:t>
      </w:r>
    </w:p>
    <w:tbl>
      <w:tblPr>
        <w:tblW w:w="5812" w:type="dxa"/>
        <w:jc w:val="left"/>
        <w:tblInd w:w="0" w:type="dxa"/>
        <w:tblLayout w:type="fixed"/>
        <w:tblCellMar>
          <w:top w:w="0" w:type="dxa"/>
          <w:left w:w="0" w:type="dxa"/>
          <w:bottom w:w="0" w:type="dxa"/>
          <w:right w:w="0" w:type="dxa"/>
        </w:tblCellMar>
      </w:tblPr>
      <w:tblGrid>
        <w:gridCol w:w="3620"/>
        <w:gridCol w:w="120"/>
        <w:gridCol w:w="210"/>
        <w:gridCol w:w="683"/>
        <w:gridCol w:w="232"/>
        <w:gridCol w:w="89"/>
        <w:gridCol w:w="210"/>
        <w:gridCol w:w="573"/>
        <w:gridCol w:w="75"/>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Principal</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500</w:t>
            </w:r>
          </w:p>
        </w:tc>
        <w:tc>
          <w:tcPr>
            <w:tcW w:w="23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Unamortized debt discount</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PIK interest added to principal balance</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10</w:t>
            </w:r>
          </w:p>
        </w:tc>
        <w:tc>
          <w:tcPr>
            <w:tcW w:w="23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principal and accrued interest</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(510</w:t>
            </w:r>
          </w:p>
        </w:tc>
        <w:tc>
          <w:tcPr>
            <w:tcW w:w="2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683" w:type="dxa"/>
            <w:tcBorders/>
            <w:vAlign w:val="center"/>
          </w:tcPr>
          <w:p>
            <w:pPr>
              <w:pStyle w:val="TableContents"/>
              <w:bidi w:val="0"/>
              <w:spacing w:before="0" w:after="0"/>
              <w:jc w:val="left"/>
              <w:rPr>
                <w:bdr w:val="single" w:sz="2" w:space="1" w:color="000000"/>
              </w:rPr>
            </w:pPr>
            <w:r>
              <w:rPr>
                <w:bdr w:val="single" w:sz="2" w:space="1" w:color="000000"/>
              </w:rPr>
              <w:t> </w:t>
            </w:r>
          </w:p>
        </w:tc>
        <w:tc>
          <w:tcPr>
            <w:tcW w:w="2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573"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carrying amount</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510</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683" w:type="dxa"/>
            <w:tcBorders/>
            <w:vAlign w:val="center"/>
          </w:tcPr>
          <w:p>
            <w:pPr>
              <w:pStyle w:val="TableContents"/>
              <w:bidi w:val="0"/>
              <w:spacing w:before="0" w:after="0"/>
              <w:jc w:val="left"/>
              <w:rPr>
                <w:bdr w:val="double" w:sz="6" w:space="1" w:color="000000"/>
              </w:rPr>
            </w:pPr>
            <w:r>
              <w:rPr>
                <w:bdr w:val="double" w:sz="6" w:space="1" w:color="000000"/>
              </w:rPr>
              <w:t> </w:t>
            </w:r>
          </w:p>
        </w:tc>
        <w:tc>
          <w:tcPr>
            <w:tcW w:w="23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573"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Interest expense related to the note was as follows (in thousands): </w:t>
      </w:r>
    </w:p>
    <w:p>
      <w:pPr>
        <w:pStyle w:val="TextBody"/>
        <w:bidi w:val="0"/>
        <w:spacing w:before="0" w:after="0"/>
        <w:jc w:val="left"/>
        <w:rPr>
          <w:shd w:fill="FFFFFF" w:val="clear"/>
        </w:rPr>
      </w:pPr>
      <w:r>
        <w:rPr>
          <w:shd w:fill="FFFFFF" w:val="clear"/>
        </w:rPr>
        <w:t> </w:t>
      </w:r>
    </w:p>
    <w:tbl>
      <w:tblPr>
        <w:tblW w:w="4669" w:type="dxa"/>
        <w:jc w:val="left"/>
        <w:tblInd w:w="0" w:type="dxa"/>
        <w:tblLayout w:type="fixed"/>
        <w:tblCellMar>
          <w:top w:w="0" w:type="dxa"/>
          <w:left w:w="0" w:type="dxa"/>
          <w:bottom w:w="0" w:type="dxa"/>
          <w:right w:w="0" w:type="dxa"/>
        </w:tblCellMar>
      </w:tblPr>
      <w:tblGrid>
        <w:gridCol w:w="2480"/>
        <w:gridCol w:w="120"/>
        <w:gridCol w:w="145"/>
        <w:gridCol w:w="395"/>
        <w:gridCol w:w="62"/>
        <w:gridCol w:w="125"/>
        <w:gridCol w:w="145"/>
        <w:gridCol w:w="395"/>
        <w:gridCol w:w="62"/>
        <w:gridCol w:w="125"/>
        <w:gridCol w:w="145"/>
        <w:gridCol w:w="395"/>
        <w:gridCol w:w="75"/>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4"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debt discount</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PIK interest</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10</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10</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2022 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connection with the Business Combination Agreement, the Company has raised a series of convertible notes (“2022 Convertible Notes”) in November 2022, December 2022, and February 2023 with additional investors, with an aggregate purchase price of $12.0 million. Additionally, as part of the acquisition of Solaria, the Company assumed a note from an existing investor for its fair value of $6.7 million. The note contains the same terms as the other 2022 Convertible Notes. The Company did not incur significant issuance costs associated with the 2022 Convertible Notes. The 2022 Convertible Notes will convert to common shares of Complete Solaria, Inc. at the close of the deSPAC transaction. The 2022 Convertible Notes accrue interest at a rate of 5% per annum. Immediately prior to the closing of the expected deSPAC transaction, the 2022 Convertible Notes will be converted into that number of shares of common stock of Complete Solaria equal to (x) the principal amount together with all accrued interest of the 2022 Convertible Notes divided by 0.75, divided by (y) the price of a share of common stock of Complete Solaria used to determine the conversion ratio in the Business Combination Agreement. As of December 31, 2022, the 2022 Convertible Notes have accrued $0.2 million. The carrying values of $15.5 million and $3.4 million are recorded within convertible notes, net due to related parties and convertible notes, net on the consolidated balance sheets, respectively, as of December 31, 2022. As of December 31, 2022, the total estimated fair value of the Company’s 2022 Convertible Notes was $19.8 million, which was estimated based on Level 3 inputs.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SAFE Agreements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2019 SAFE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September 2019, the Company issued the 2019 SAFE for $0.1 million in proceeds, with immaterial debt issuance costs. No interest was accrued on the 2019 SAFE. The 2019 SAFE contained conversion features that allowed the holder to convert the 2019 SAFE into shares of preferred stock upon the next equity financing, subject to a valuation cap. The 2019 SAFE was reported at fair value in accordance with the methodology described in Note 8 – Fair Value Measurements. The fair value of the 2019 SAFE was $0.2 million as of December 31, 2021 which is recorded in SAFE Agreements in the accompanying consolidated balance sheets. In March 2022, the Company converted the 2019 SAFE into 48,258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The Company recognized a gain on the conversion of the 2019 SAFE of less than $0.1 million in other income (expense), net on the consolidated statements of operations and comprehensive loss.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2021 SAFE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2021, the Company issued the 2021 SAFE for $5.0 million in proceeds, with immaterial debt issuance costs. No interest is accrued on the 2021 SAFE. The 2021 SAFE contained conversion features that allowed the holder to convert the 2021 SAFE into shares of preferred stock upon the next equity financing, subject to a valuation cap. The 2021 SAFE was reported at fair value in accordance with the methodology described in Note 10 – Fair Value Measurements. The fair value of the 2021 SAFE was $6.3 million as of December 31, 2021 which is recorded in SAFE Agreements in the accompanying consolidated balance sheets. In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March 2022, the Company converted the 2021 SAFE into 1,005,366 shares of Series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D-1</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The Company recognized a gain on the conversion of the 2021 SAFE of $1.4 million in other income (expense), net on the consolidated statements of operations and comprehensive loss.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Solaria SAFE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part of the acquisition of Solaria (refer to Note 4 – Business Combination) the Company acquired the Solaria SAFEs. The number of shares to be issued upon conversion of the SAFE notes contained various features to convert or redeem the Solaria SAFEs in the event of an equity financing, public offering, change of control or a dissolution event.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historically elected to account for all of the SAFE notes at estimated fair value pursuant to the fair value option and recorded the change in estimated fair value as other income (expense), net in the consolidated statements of operations and comprehensive loss until the notes are converted or settled. The SAFE notes were amended through the SAFE Assumption Amendment, Assignment and Assumption Agreement on November 4, 2022, as part of the merger with Complete Solar, whereby all the SAFE notes were assumed by Complete Solar. As part of the purchase price accounting discussed in Note 4 - Business Combination, the estimated fair value of the SAFE notes was determined to be $60.5 million. Post consummation of the merger the SAFE notes were converted to 8,171,662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D-8</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as discussed in Note 4 - Business Combination.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Notes Payable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Loan and Security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January 2020, the Company entered into a Loan and Security Agreement (the “Loan Agreement”) with Silicon Valley Bank (“SVB”). The Loan Agreement, as amended, provided for a line of credit up to $7.0 million and has a maturity date of February 2022. Advances under the line of credit bore interest at the greater of 5.25% or the prime rate (as published in the Wall Street Journal) plus 3.5% per annum. All borrowings under the line of credit were to be secured by substantially all of the Company’s assets. As of December 31, 2021, the Company had outstanding borrowings under the line of credit of $7.0 million.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During 2021, the Company entered into several amendments to the Loan Agreement, and in May and August 2021 in connection with the Fifth and Sixth Amendments, the Company issued warrants to purchase 5,122 shares and 5,229 shares of common stock at exercise prices of $0.38 per share and $0.62 per share, respectively. The fair value of the warrants were recorded as deferred issuance costs and amortized to interest expense. As of December 31, 2022 and December 31, 2021, there were no unamortized debt issuance costs.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Under the Loan Agreement, the Company was subject to certain reporting covenants, such as a requirement for the Company’s monthly unaudited financial statements and Compliance Certificate, as well as a financial covenant to maintain a minimum liquidity ratio of 1.75 to 1.00. In 2021, the Loan Agreement was amended to add a new financial covenant, requiring the Company to obtain new equity of at least $15.0 million by a specified date, which the Company did not meet; however, the default was later waived by SVB. The Company was in compliance with all reporting and financial covenants as of December 31, 2021.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February 2022, as part of the transaction to raise long-term debt in CS Solis, the Company repaid the principal and accrued interest of the Loan Agreement of $6.7 million, which terminated the agreement with SVB.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2021 Promissory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2021, the Company issued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short-term</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promissory note for $0.5 million in proceeds, with immaterial debt issuance costs. The promissory note carried simple interest of 2.0% and were due and payable after February 2022. As of December 31, 2021, the carrying value of the promissory note was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$0.5 million and was recorded in Notes Payable in the accompanying consolidated balance sheets. In February 2022, the Company repaid the 2021 Promissory Note, and no amounts remain outstanding as of December 31, 2022.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2021, the Company issued a short-term promissory note for $2.0 million in proceeds, with immaterial debt issuance costs. The promissory note contained a financing fee of $0.3 million, which was due and payable along with the principal amount in January 2022. In connection with the promissory note, the Company issued a warrant to purchase 50,000 shares of common stock at an exercise price of $0.01 per share. The fair value of the warrant was recorded as a debt discount and amortized to interest expense. As of December 31, 2021, the carrying value of the promissory note was $2.0 million, which was recorded in Notes Payable in the accompanying consolidated balance sheets, and the remaining unamortized debt discount was nil. The principal and accrued interest of the note payable was repaid in January 2022, and no amounts remain outstanding as of December 31, 2022.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Paycheck Protection Program Loan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April 2020 and April 2021, the Company received loans in principal amounts of $0.9 million and $0.9 million, respectively, under the Paycheck Protection Program (the “PPP Loans”), which was established under the Coronavirus Aid, Relief, and Economic Security Act (the “CARES Act”) administered by the U.S. Small Business Administration (the “SBA”). The PPP Loans were evidenced by promissory notes and bore interest at 1% with no payments for the first 6 months. The PPP Loans were subject to partial or full forgiveness if the Company used all proceeds for eligible purposes, maintained certain employment levels and maintained certain compensation levels in accordance with and subject to the CARES Act and the rules, regulations and guidance. In June and October 2021, the principal and accrued interest on the PPP Loans were forgiven.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Current Insight Promissory Note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January 2021, the Company issued a promissory note for principal of $0.1 million in connection with the purchase of Current Insight, with immaterial debt issuance costs. The promissory note bears interest at 0.14% per annum and has equal monthly installments due and payable through the maturity date of January 2022. As of December 31, 2021, the carrying value of the promissory note was less than $0.1 million. The principal and accrued interest was repaid in January 2022 and no amounts remain outstanding as of December 31, 2022.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Company’s outstanding notes payable (in thousands): </w:t>
      </w:r>
    </w:p>
    <w:p>
      <w:pPr>
        <w:pStyle w:val="TextBody"/>
        <w:bidi w:val="0"/>
        <w:spacing w:before="0" w:after="0"/>
        <w:jc w:val="left"/>
        <w:rPr>
          <w:shd w:fill="FFFFFF" w:val="clear"/>
        </w:rPr>
      </w:pPr>
      <w:r>
        <w:rPr>
          <w:shd w:fill="FFFFFF" w:val="clear"/>
        </w:rPr>
        <w:t> </w:t>
      </w:r>
    </w:p>
    <w:tbl>
      <w:tblPr>
        <w:tblW w:w="6504" w:type="dxa"/>
        <w:jc w:val="left"/>
        <w:tblInd w:w="0" w:type="dxa"/>
        <w:tblLayout w:type="fixed"/>
        <w:tblCellMar>
          <w:top w:w="0" w:type="dxa"/>
          <w:left w:w="0" w:type="dxa"/>
          <w:bottom w:w="0" w:type="dxa"/>
          <w:right w:w="0" w:type="dxa"/>
        </w:tblCellMar>
      </w:tblPr>
      <w:tblGrid>
        <w:gridCol w:w="4310"/>
        <w:gridCol w:w="120"/>
        <w:gridCol w:w="200"/>
        <w:gridCol w:w="542"/>
        <w:gridCol w:w="85"/>
        <w:gridCol w:w="171"/>
        <w:gridCol w:w="200"/>
        <w:gridCol w:w="801"/>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2022  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2021  </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Loan and Security Agreement</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6,987</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2021 Promissory Notes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2,500</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Insight Promissory Note</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42" w:type="dxa"/>
            <w:tcBorders/>
            <w:vAlign w:val="center"/>
          </w:tcPr>
          <w:p>
            <w:pPr>
              <w:pStyle w:val="TableContents"/>
              <w:bidi w:val="0"/>
              <w:spacing w:before="0" w:after="0"/>
              <w:jc w:val="left"/>
              <w:rPr>
                <w:bdr w:val="single" w:sz="2" w:space="1" w:color="000000"/>
              </w:rPr>
            </w:pPr>
            <w:r>
              <w:rPr>
                <w:bdr w:val="single" w:sz="2" w:space="1" w:color="000000"/>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80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9,507</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Unamortized debt issuance costs and discounts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42" w:type="dxa"/>
            <w:tcBorders/>
            <w:vAlign w:val="center"/>
          </w:tcPr>
          <w:p>
            <w:pPr>
              <w:pStyle w:val="TableContents"/>
              <w:bidi w:val="0"/>
              <w:spacing w:before="0" w:after="0"/>
              <w:jc w:val="left"/>
              <w:rPr>
                <w:bdr w:val="single" w:sz="2" w:space="1" w:color="000000"/>
              </w:rPr>
            </w:pPr>
            <w:r>
              <w:rPr>
                <w:bdr w:val="single" w:sz="2" w:space="1" w:color="000000"/>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80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2"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1" w:type="dxa"/>
            <w:tcBorders/>
            <w:vAlign w:val="center"/>
          </w:tcPr>
          <w:p>
            <w:pPr>
              <w:pStyle w:val="TableContents"/>
              <w:bidi w:val="0"/>
              <w:spacing w:before="0" w:after="283"/>
              <w:jc w:val="right"/>
              <w:rPr/>
            </w:pPr>
            <w:r>
              <w:rPr/>
              <w:t>9,507</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42" w:type="dxa"/>
            <w:tcBorders/>
            <w:vAlign w:val="center"/>
          </w:tcPr>
          <w:p>
            <w:pPr>
              <w:pStyle w:val="TableContents"/>
              <w:bidi w:val="0"/>
              <w:spacing w:before="0" w:after="0"/>
              <w:jc w:val="left"/>
              <w:rPr>
                <w:bdr w:val="single" w:sz="2" w:space="1" w:color="000000"/>
              </w:rPr>
            </w:pPr>
            <w:r>
              <w:rPr>
                <w:bdr w:val="single" w:sz="2" w:space="1" w:color="000000"/>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80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2018 Bridge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2018, Solaria Corporation issued senior subordinated convertible secured notes (“2018 Notes”) totaling approximately $3.4 million in exchange for cash. The notes bear interest at the rate of 8% per annum and the investors are entitled to receive twice of the face value of the notes at maturity. The 2018 Notes are secured by substantially all of the assets of Solaria Corporation. In 2021, the 2018 Notes were amended extending the maturity date to December 13, 2022. In connection with the 2021 amendment,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Solaria had issued warrants to purchase shares of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Series E-1</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of Solaria. The warrants were exercisable immediately in whole or in part at and expire on December 13, 2031. As part of the merger with Complete Solar, all the outstanding warrants issued to the lenders were assumed by the parent company, Complete Solaria as discussed in Note 4 – Business Combination.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part of the purchase price accounting discussed in Note 4 – Business Combination, the estimated fair value of the 2018 Notes was determined to be $9.1 million.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2022, the Company entered into an amendment to the 2018 Notes extending the maturity date from December 13, 2022 to December 13, 2023. In connection with the amendment, the notes will continue to bear interest at 8% per annum and are entitled to an increased repayment premium from 110% to 120% of the principal and accrued interest at the time of repayment.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concluded that the modification was a troubled debt restructuring as the Company was experiencing financial difficulty and the amended terms resulted in a concession to the Company. As the future undiscounted cash payments under the modified terms exceeded the carrying amount of the Solaria 2018 Notes on the date of modification, the modification was accounted for prospectively. The incremental repayment premium is being amortized to interest expense using the effective interest rate method. As of December 31, 2022, the carrying value of the 2018 Notes was $9.8 million. Interest expense recognized from the date of the acquisition through December 31, 2022 was $0.7 million. As of December 31, 2022, the total estimated fair value of the Company’s 2018 Bridge Notes was $9.1 million, which was estimated based on Level 3 inputs.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SCI Term Loan and Revolver Loan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2020, Solaria entered into a loan agreement (“Loan Agreement”) with Structural Capital Investments III, LP (“SCI”).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Loan Agreement with SCI comprises of two facilities, a term loan (the “Term Loan”) and a revolving loan (the “Revolving Loan”) (together “Original Agreement”) for $5.0 million each with a maturity date of October 31, 2023. Both the Term Loan and the Revolving Loan were fully drawn upon closing. The Term Loan was repaid prior to the acquisition of Solaria by Complete Solar and was not included in the business combination.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Revolving Loan also has a term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thirty-six</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months, principal repayments at the end of the term and an annual interest rate of 7.75% or Prime rate plus 4.5%, whichever is higher. The Loan Agreement required the Company to meet certain financial covenants relating to maintenance of specified restricted cash balance, achieving specified revenue target and maintaining specified contribution margin (“Financial covenants”) over the term of each of the Revolving Loan. The Revolving Loan is collateralized substantially by all assets and property of the Company.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the years ended December 31, 2022 and December 31, 2021, Solaria entered into several Amended and Restated Loan and Security Agreements as a forbearance agreement for SCI to forbear from exercising any rights and remedies available to it as a result of Company not meeting certain Financial Covenants required by the Original Agreement. As a result of these amendment changes were made to the financial covenants and Solaria recorded a total of $1.9 million amendment fees in Other Liabilities and was included in the acquired liabilities for purchase price accounting.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Solaria had historically issued warrants to purchase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E-1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of Solaria (“SCI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E-1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warrants”). The warrants were fully exercisable in whole or in part at any time during the term of the Original agreement. As part of the merger with Complete Solar, all the outstanding SCI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E-1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warrants were assumed by the parent company, Complete Solaria as discussed in Note 4 – Business Combination.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Revolving loan outstanding on the date of merger was fair valued at $5.0 million for the purpose of purchase price accounting discussed in Note 3. The revolving loan principal balance at December 31, 2022 amounted to $5.0 million and is due on October 2023. Interest expense recognized from the date of merger to December 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2022 amounted to $0.1 million. The Company was in compliance with all the covenants as of December 31, 2022. As of December 31, 2022, the fair value of the Revolving Loan approximates its carrying value.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Secured Credit Facility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2022, the Company entered into a secured credit facility agreement with Kline Hill Partners IV SPV LLC and Kline Hill Partners Opportunity IV SPV LLC. The secured credit facility agreement matures in April 2023, which allows the Company to borrow up to 70% of the net amount of its eligible vendor purchase orders with a maximum amount of $10.0 million at any point in time. The purchase orders are backed by relevant customer sales orders which serves as a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The Company may prepay any borrowed amount without premium or penalty.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2022, the Company borrowed an amount of $5.5 million against the secured credit facility. In February 2023, the Company made a repayment of $6.3 million which included aggregate financing cost amounting to $0.8 million. At December 31, 2022, the outstanding net Debt amounted to $5.6 million, including accrued financing cost of $0.1 million. As of December 31, 2022, the fair value of the Secured Credit Facility approximates its carrying value.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Long-term debt in CS Solis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described above, as part of the reorganization in February 2022 of the Company, the Company received an investment from CRSEF. The investment was made pursuant to a subscription agreement, under which Carlyle contributed $25.6 million in exchange for 100 Class B Membership Units of CS Solis and the Company contributed the net assets of Complete Solar, Inc. in exchange for 100 Class A Membership. The Class B Membership Units are mandatorily redeemable by the Company on the three-year anniversary of the effective date of the CS Solis amended and restated LLC agreement (February 14, 2025). The Class B Membership Units accrue interest that is payable upon redemption at a rate of 10.5% (which is structured as a dividend payable based on 25% of the investment amount measured quarterly), compounded annually, and subject to increases in the event the Company declares any dividends. In connection with the investment, the Company issued a warrant to purchase 5,978,960 shares of the Company’s common stock at a price of $0.01 per share, of which, 4,132,513 shares are immediately exercisable. The Company has accounted for the mandatorily redeemable investment from Carlyle in accordance with ASC 480,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Distinguishing Liabilities from Equity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and has recorded the investment as a liability, which is accreted to its redemption value under the effective interest method. The Company has recorded the warrants as a discount to the liability. Refer to Note 13 – Common Stock, for further discussion of the warrants issued in connection with the Class B Membership Units. As of December 31, 2022, the Company has recorded a liability of $25.2 million included in long-term debt in CS Solis on the consolidated balance sheets. For the year ended December 31, 2022, the Company has recorded accretion of the liability as interest expense of $2.4 million, and the Company has recorded the amortization of issuance costs as interest expense of $1.2 million. As of December 31, 2022, the total estimated fair value of the Company’s 2018 long-term debt in CS Solis was $24.0 million, which was estimated based on Level 3 inputs. </w:t>
      </w:r>
    </w:p>
    <w:p>
      <w:pPr>
        <w:pStyle w:val="TextBody"/>
        <w:bidi w:val="0"/>
        <w:spacing w:before="0" w:after="0"/>
        <w:jc w:val="left"/>
        <w:rPr>
          <w:shd w:fill="FFFFFF" w:val="clear"/>
        </w:rPr>
      </w:pPr>
      <w:r>
        <w:rPr>
          <w:shd w:fill="FFFFFF" w:val="clear"/>
        </w:rPr>
        <w:t> </w:t>
      </w:r>
    </w:p>
    <w:tbl>
      <w:tblPr>
        <w:tblW w:w="2800" w:type="dxa"/>
        <w:jc w:val="left"/>
        <w:tblInd w:w="0" w:type="dxa"/>
        <w:tblLayout w:type="fixed"/>
        <w:tblCellMar>
          <w:top w:w="0" w:type="dxa"/>
          <w:left w:w="0" w:type="dxa"/>
          <w:bottom w:w="0" w:type="dxa"/>
          <w:right w:w="0" w:type="dxa"/>
        </w:tblCellMar>
      </w:tblPr>
      <w:tblGrid>
        <w:gridCol w:w="425"/>
        <w:gridCol w:w="2375"/>
      </w:tblGrid>
      <w:tr>
        <w:trPr/>
        <w:tc>
          <w:tcPr>
            <w:tcW w:w="425" w:type="dxa"/>
            <w:tcBorders/>
            <w:vAlign w:val="center"/>
          </w:tcPr>
          <w:p>
            <w:pPr>
              <w:pStyle w:val="TableContents"/>
              <w:bidi w:val="0"/>
              <w:spacing w:before="0" w:after="0"/>
              <w:jc w:val="left"/>
              <w:rPr>
                <w:b/>
                <w:spacing w:val="0"/>
              </w:rPr>
            </w:pPr>
            <w:r>
              <w:rPr>
                <w:b/>
                <w:spacing w:val="0"/>
              </w:rPr>
              <w:t>(16)</w:t>
            </w:r>
          </w:p>
        </w:tc>
        <w:tc>
          <w:tcPr>
            <w:tcW w:w="23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2011, the Company’s Board of Directors and stockholders approved the adoption of the 2011 Stock Plan (the “2011 Plan”). The 2011 Plan provides for the granting of incentive stock options, nonstatutory stock options, and restricted stock to employees,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directors, and consultants of the Company. Options may be granted at a price per share not less than 100% of the fair market value at date of grant. If an incentive stock option is granted to a 10% stockholder, then the purchase or exercise price per share shall not be less than 110% of the fair market value per share of common stock on the grant date. Options granted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under the 2011 Plan continue to vest until the last day of employment and generally vest over four years and expire 10 years from the date of grant. A total of 2,596,764 shares of common stock was reserved for the 2011 Plan, as amended, as of December 31, 2022 and December 31, 2021.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2021, the Company’s Board of Directors and stockholders approved the adoption of the 2021 Stock Plan (the “2021 Plan”). The 2021 Plan provides for the granting of incentive stock options, nonstatutory stock options, and restricted stock to employees,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directors, and consultants of the Company. Options may be granted at a price per share not less than 100% of the fair market value at date of grant. If an incentive stock option is granted to a 10% stockholder, then the purchase or exercise price per share shall not be less than 110% of the fair market value per share of common stock on the grant date. Options granted under the 2021 Plan continue to vest until the last day of employment and generally vest over four years and expire 10 years from the date of grant. A total of 241,484 shares of common stock was initially reserved for the 2021 Plan. Any shares of common stock that would have otherwise been returned to the Company’s 2011 Plan as a result of forfeiture, expiration, cancellation, termination or net issuances of awards thereunder shall be returned to the share reserve under the 2021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2022, the Company’s Board of Directors and stockholders approved the adoption of the 2022 Stock Plan (the “2022 Plan”). The 2022 Plan provides for the granting of incentive stock options, nonstatutory stock options, and restricted stock to employees,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directors, and consultants of the Company. Options may be granted at a price per share not less than 100% of the fair market value at date of grant. If an incentive stock option is granted to a 10% stockholder, then the purchase or exercise price per share shall not be less than 110% of the fair market value per share of common stock on the grant date. Options granted under the 2022 Plan continue to vest until the last day of employment and generally vest over four years and expire 10 years from the date of grant. A total of 3,225,237 shares of common stock was initially reserved for the 2022 Plan. Any shares of common stock that would have otherwise been returned to the Company’s 2011 Plan and 2021 Plan as a result of forfeiture, expiration, cancellation, termination or net issuances of awards thereunder shall be returned to the share reserve under the 2022 Plan. The 2011 Plan, 2021 Plan, and 2022 Plan are collectively referred to as the “Plans” in the notes to the financial statements, unless otherwise noted.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 summary of stock option activity for the years ended December 31, 2022 and December 31, 2021 under the Plans is as follows: </w:t>
      </w:r>
    </w:p>
    <w:p>
      <w:pPr>
        <w:pStyle w:val="TextBody"/>
        <w:bidi w:val="0"/>
        <w:spacing w:before="0" w:after="0"/>
        <w:jc w:val="left"/>
        <w:rPr>
          <w:shd w:fill="FFFFFF" w:val="clear"/>
        </w:rPr>
      </w:pPr>
      <w:r>
        <w:rPr>
          <w:shd w:fill="FFFFFF" w:val="clear"/>
        </w:rPr>
        <w:t> </w:t>
      </w:r>
    </w:p>
    <w:tbl>
      <w:tblPr>
        <w:tblW w:w="9418" w:type="dxa"/>
        <w:jc w:val="left"/>
        <w:tblInd w:w="0" w:type="dxa"/>
        <w:tblLayout w:type="fixed"/>
        <w:tblCellMar>
          <w:top w:w="0" w:type="dxa"/>
          <w:left w:w="0" w:type="dxa"/>
          <w:bottom w:w="0" w:type="dxa"/>
          <w:right w:w="0" w:type="dxa"/>
        </w:tblCellMar>
      </w:tblPr>
      <w:tblGrid>
        <w:gridCol w:w="4070"/>
        <w:gridCol w:w="60"/>
        <w:gridCol w:w="65"/>
        <w:gridCol w:w="1064"/>
        <w:gridCol w:w="155"/>
        <w:gridCol w:w="60"/>
        <w:gridCol w:w="240"/>
        <w:gridCol w:w="755"/>
        <w:gridCol w:w="60"/>
        <w:gridCol w:w="60"/>
        <w:gridCol w:w="141"/>
        <w:gridCol w:w="1034"/>
        <w:gridCol w:w="60"/>
        <w:gridCol w:w="60"/>
        <w:gridCol w:w="248"/>
        <w:gridCol w:w="1211"/>
        <w:gridCol w:w="7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3"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Options outstanding</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contractual</w:t>
              <w:br/>
              <w:t>term</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Aggregate</w:t>
              <w:br/>
              <w:t>intrinsic</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br/>
              <w:t>(in thousands)</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Outstanding—January 1, 2021</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1,968,580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1,044</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granted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212,434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(7,245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0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canceled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(38,315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6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103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bdr w:val="single" w:sz="2" w:space="1" w:color="000000"/>
              </w:rPr>
            </w:pPr>
            <w:r>
              <w:rPr>
                <w:bdr w:val="single" w:sz="2" w:space="1" w:color="000000"/>
              </w:rPr>
              <w:t> </w:t>
            </w:r>
          </w:p>
        </w:tc>
        <w:tc>
          <w:tcPr>
            <w:tcW w:w="121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Outstanding—December 31, 2021</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2,135,454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2,263</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granted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3,088,350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(162,034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0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canceled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(91,376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6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103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bdr w:val="single" w:sz="2" w:space="1" w:color="000000"/>
              </w:rPr>
            </w:pPr>
            <w:r>
              <w:rPr>
                <w:bdr w:val="single" w:sz="2" w:space="1" w:color="000000"/>
              </w:rPr>
              <w:t> </w:t>
            </w:r>
          </w:p>
        </w:tc>
        <w:tc>
          <w:tcPr>
            <w:tcW w:w="121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Outstanding—December 31, 2022</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4,970,395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34,180</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6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03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21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 and expected to vest—December 31, 2022</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4,970,395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6.99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283"/>
              <w:jc w:val="right"/>
              <w:rPr/>
            </w:pPr>
            <w:r>
              <w:rPr/>
              <w:t>34,180</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6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03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21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and exercisable—December 31, 2022</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2,794,862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22,204</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6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103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21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weighted-average grant-date fair value of options granted for the years ended December 31, 2022 and December 31, 2021, was $7.99 per share and $0.72 per share, respectively. The total fair value of options vested for the years ended December 31, 2022 and December 31, 2021, was $10.5 million and $0.2 million, respectively. The aggregate intrinsic value of options exercised for the years ended December 31, 2022 and December 31, 2021, was $0.2 million and less than $0.1 million, respectively.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Determination of Fair Value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Prior to the Mergers, the Company estimated grant-date fair value of stock options using the Black-Scholes-Merton option- 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assumptions were used to calculate the fair value of stock-based compensation: </w:t>
      </w:r>
    </w:p>
    <w:p>
      <w:pPr>
        <w:pStyle w:val="TextBody"/>
        <w:bidi w:val="0"/>
        <w:spacing w:before="0" w:after="0"/>
        <w:jc w:val="left"/>
        <w:rPr>
          <w:shd w:fill="FFFFFF" w:val="clear"/>
        </w:rPr>
      </w:pPr>
      <w:r>
        <w:rPr>
          <w:shd w:fill="FFFFFF" w:val="clear"/>
        </w:rPr>
        <w:t> </w:t>
      </w:r>
    </w:p>
    <w:tbl>
      <w:tblPr>
        <w:tblW w:w="4995" w:type="dxa"/>
        <w:jc w:val="left"/>
        <w:tblInd w:w="0" w:type="dxa"/>
        <w:tblLayout w:type="fixed"/>
        <w:tblCellMar>
          <w:top w:w="0" w:type="dxa"/>
          <w:left w:w="0" w:type="dxa"/>
          <w:bottom w:w="0" w:type="dxa"/>
          <w:right w:w="0" w:type="dxa"/>
        </w:tblCellMar>
      </w:tblPr>
      <w:tblGrid>
        <w:gridCol w:w="1760"/>
        <w:gridCol w:w="120"/>
        <w:gridCol w:w="1490"/>
        <w:gridCol w:w="120"/>
        <w:gridCol w:w="150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15" w:type="dxa"/>
            <w:gridSpan w:val="3"/>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20" w:type="dxa"/>
            <w:tcBorders/>
            <w:vAlign w:val="center"/>
          </w:tcPr>
          <w:p>
            <w:pPr>
              <w:pStyle w:val="TableContents"/>
              <w:bidi w:val="0"/>
              <w:spacing w:before="0" w:after="283"/>
              <w:jc w:val="left"/>
              <w:rPr/>
            </w:pPr>
            <w:r>
              <w:rPr/>
              <w:t>  </w:t>
            </w:r>
          </w:p>
        </w:tc>
        <w:tc>
          <w:tcPr>
            <w:tcW w:w="150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1.0 – 7.5 years</w:t>
            </w:r>
          </w:p>
        </w:tc>
        <w:tc>
          <w:tcPr>
            <w:tcW w:w="12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5.0 – 6.1 years</w:t>
            </w:r>
          </w:p>
        </w:tc>
      </w:tr>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60.0% – 78.5%</w:t>
            </w:r>
          </w:p>
        </w:tc>
        <w:tc>
          <w:tcPr>
            <w:tcW w:w="12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52.6% – 56.7%</w:t>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3.4% – 4.8%</w:t>
            </w:r>
          </w:p>
        </w:tc>
        <w:tc>
          <w:tcPr>
            <w:tcW w:w="12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0.8% – 1.3%</w:t>
            </w:r>
          </w:p>
        </w:tc>
      </w:tr>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dividends</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0.0%</w:t>
            </w:r>
          </w:p>
        </w:tc>
        <w:tc>
          <w:tcPr>
            <w:tcW w:w="12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0.0%</w:t>
            </w:r>
          </w:p>
        </w:tc>
      </w:tr>
    </w:tbl>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Expected term </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 xml:space="preserve">The Company has opted to use the “simplified method” for estimating the expected term of options, whereby the expected term equals the arithmetic average of the vesting term and the original contractual term of the option (generally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10</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years).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Expected volatility </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 xml:space="preserve">Due to the Company’s limited operating history and a lack of company specific historical and implied volatility data, the Company has based its estimate of 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Risk-free interest rate </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 xml:space="preserve">The risk-free rate assumption is based on U.S. Treasury instruments with maturities similar to the expected term of the Company’s stock options.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Expected dividends </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 xml:space="preserve">The Company has not issued any dividends in its history and does not expect to issue dividends over the life of the options and therefore has estimated the dividend yield to be zero.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Fair value of common stoc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k — The fair value of the shares of common stock underlying the stock-based awards has historically been determined by the Board of Directors, with input from management. Because there has been no public market for the Company’s common stock, the Board of Directors has determined the fair value of the common stock on the grant-date of the stock-based award by considering a number of objective and subjective factors. Such factors include a valuation of the Company’s common stock performed by an unrelated third-party specialist, valuations of comparable companies, sales of the Company’s redeemable convertible preferred stock to unrelated third-parties, operating and financial performance, the lack of liquidity of the Company’s capital stock, as well as general and industry-specific economic outlooks. For financial reporting purposes, the Company considers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Stock-based compensation expense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stock-based compensation expense and its allocation within the accompanying consolidated statements of operations and comprehensive loss (in thousands): </w:t>
      </w:r>
    </w:p>
    <w:p>
      <w:pPr>
        <w:pStyle w:val="TextBody"/>
        <w:bidi w:val="0"/>
        <w:spacing w:before="0" w:after="0"/>
        <w:jc w:val="left"/>
        <w:rPr>
          <w:shd w:fill="FFFFFF" w:val="clear"/>
        </w:rPr>
      </w:pPr>
      <w:r>
        <w:rPr>
          <w:shd w:fill="FFFFFF" w:val="clear"/>
        </w:rPr>
        <w:t> </w:t>
      </w:r>
    </w:p>
    <w:tbl>
      <w:tblPr>
        <w:tblW w:w="6694" w:type="dxa"/>
        <w:jc w:val="left"/>
        <w:tblInd w:w="0" w:type="dxa"/>
        <w:tblLayout w:type="fixed"/>
        <w:tblCellMar>
          <w:top w:w="0" w:type="dxa"/>
          <w:left w:w="0" w:type="dxa"/>
          <w:bottom w:w="0" w:type="dxa"/>
          <w:right w:w="0" w:type="dxa"/>
        </w:tblCellMar>
      </w:tblPr>
      <w:tblGrid>
        <w:gridCol w:w="3695"/>
        <w:gridCol w:w="120"/>
        <w:gridCol w:w="204"/>
        <w:gridCol w:w="555"/>
        <w:gridCol w:w="86"/>
        <w:gridCol w:w="174"/>
        <w:gridCol w:w="204"/>
        <w:gridCol w:w="555"/>
        <w:gridCol w:w="86"/>
        <w:gridCol w:w="174"/>
        <w:gridCol w:w="204"/>
        <w:gridCol w:w="562"/>
        <w:gridCol w:w="75"/>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4"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2022  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2021  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2020  </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22</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19</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168</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68</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243</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113</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64</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470</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55"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55"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6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903</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200</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109</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555" w:type="dxa"/>
            <w:tcBorders/>
            <w:vAlign w:val="center"/>
          </w:tcPr>
          <w:p>
            <w:pPr>
              <w:pStyle w:val="TableContents"/>
              <w:bidi w:val="0"/>
              <w:spacing w:before="0" w:after="0"/>
              <w:jc w:val="left"/>
              <w:rPr>
                <w:bdr w:val="double" w:sz="6" w:space="1" w:color="000000"/>
              </w:rPr>
            </w:pPr>
            <w:r>
              <w:rPr>
                <w:bdr w:val="double" w:sz="6"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555" w:type="dxa"/>
            <w:tcBorders/>
            <w:vAlign w:val="center"/>
          </w:tcPr>
          <w:p>
            <w:pPr>
              <w:pStyle w:val="TableContents"/>
              <w:bidi w:val="0"/>
              <w:spacing w:before="0" w:after="0"/>
              <w:jc w:val="left"/>
              <w:rPr>
                <w:bdr w:val="double" w:sz="6" w:space="1" w:color="000000"/>
              </w:rPr>
            </w:pPr>
            <w:r>
              <w:rPr>
                <w:bdr w:val="double" w:sz="6"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56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As of December 31, 2022 there was a total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5.4</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million of unrecognized stock-based compensation costs related to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non-vested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stock option awards, which is expected to be recognized over a weighted-average period of approximately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2.2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years. </w:t>
      </w:r>
    </w:p>
    <w:p>
      <w:pPr>
        <w:pStyle w:val="TextBody"/>
        <w:bidi w:val="0"/>
        <w:spacing w:before="0" w:after="0"/>
        <w:jc w:val="left"/>
        <w:rPr>
          <w:shd w:fill="FFFFFF" w:val="clear"/>
        </w:rPr>
      </w:pPr>
      <w:r>
        <w:rPr>
          <w:shd w:fill="FFFFFF" w:val="clear"/>
        </w:rPr>
        <w:t> </w:t>
      </w:r>
    </w:p>
    <w:tbl>
      <w:tblPr>
        <w:tblW w:w="3280" w:type="dxa"/>
        <w:jc w:val="left"/>
        <w:tblInd w:w="0" w:type="dxa"/>
        <w:tblLayout w:type="fixed"/>
        <w:tblCellMar>
          <w:top w:w="0" w:type="dxa"/>
          <w:left w:w="0" w:type="dxa"/>
          <w:bottom w:w="0" w:type="dxa"/>
          <w:right w:w="0" w:type="dxa"/>
        </w:tblCellMar>
      </w:tblPr>
      <w:tblGrid>
        <w:gridCol w:w="425"/>
        <w:gridCol w:w="2855"/>
      </w:tblGrid>
      <w:tr>
        <w:trPr/>
        <w:tc>
          <w:tcPr>
            <w:tcW w:w="425" w:type="dxa"/>
            <w:tcBorders/>
            <w:vAlign w:val="center"/>
          </w:tcPr>
          <w:p>
            <w:pPr>
              <w:pStyle w:val="TableContents"/>
              <w:bidi w:val="0"/>
              <w:spacing w:before="0" w:after="0"/>
              <w:jc w:val="left"/>
              <w:rPr>
                <w:b/>
                <w:spacing w:val="0"/>
              </w:rPr>
            </w:pPr>
            <w:r>
              <w:rPr>
                <w:b/>
                <w:spacing w:val="0"/>
              </w:rPr>
              <w:t>(17)</w:t>
            </w:r>
          </w:p>
        </w:tc>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Operating 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leases its facilities under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non-cancelable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operating lease agreements. The Company’s leases have remaining terms of 0.3 years to 3.8 years. Options to renew or extend leases beyond their initial term have been excluded from measurement of the ROU assets and lease liabilities as exercise is not reasonably certain. Operating leases are reflected on the consolidated balance sheets within operating lease ROU assets and the related current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non-current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operating lease liabilities. ROU assets represent the right to use an underlying asset for the lease term, and lease liabilities represent the obligation to make lease payments arising from lease agreement. Operating lease ROU assets and liabilities are recognized at the commencement date, or the date on which the lessor makes the underlying asset available for use, based upon the present value of the lease payments over the respective lease term. Lease expense is recognized on a straight-line basis over the lease term, subject to any changes in the lease or expectation regarding the terms. Variable lease costs such as common area maintenance, property taxes and insurance are expensed as incurred. Variable lease cost was $0.2 million for the year ended December 31, 2022 and immaterial for the year ended December 31, 2021. Total operating lease expense for the years ended December 31, 2022 and December 31, 2021 was $0.7 million and $0.4 million, respectively.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made $1.0 million and $0.4 million of cash payments related to operating leases during the years ended December 31, 2022 and December 31, 2021, respectively. New operating lease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assets obtained in exchange for operating lease liabilities were $1.9 million and $1.2 million during the years ended December 31, 2022 and December 31, 2021, respectively, including the impact of adopting ASC 842. On the date of adoption, January 1, 2021, the Company recognized right-of-use assets of approximately $1.1 million and lease liabilities of approximately $1.2 million, of which $0.4 million was included in accrued and other current liabilities and $0.8 million was included in operating lease liabilities, net of current portion on the consolidated balance sheets.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weighted average remaining lease term and the discount rate for the Company’s operating leases are as follows: </w:t>
      </w:r>
    </w:p>
    <w:p>
      <w:pPr>
        <w:pStyle w:val="TextBody"/>
        <w:bidi w:val="0"/>
        <w:spacing w:before="0" w:after="0"/>
        <w:jc w:val="left"/>
        <w:rPr>
          <w:shd w:fill="FFFFFF" w:val="clear"/>
        </w:rPr>
      </w:pPr>
      <w:r>
        <w:rPr>
          <w:shd w:fill="FFFFFF" w:val="clear"/>
        </w:rPr>
        <w:t> </w:t>
      </w:r>
    </w:p>
    <w:tbl>
      <w:tblPr>
        <w:tblW w:w="6285" w:type="dxa"/>
        <w:jc w:val="left"/>
        <w:tblInd w:w="0" w:type="dxa"/>
        <w:tblLayout w:type="fixed"/>
        <w:tblCellMar>
          <w:top w:w="0" w:type="dxa"/>
          <w:left w:w="0" w:type="dxa"/>
          <w:bottom w:w="0" w:type="dxa"/>
          <w:right w:w="0" w:type="dxa"/>
        </w:tblCellMar>
      </w:tblPr>
      <w:tblGrid>
        <w:gridCol w:w="3920"/>
        <w:gridCol w:w="120"/>
        <w:gridCol w:w="189"/>
        <w:gridCol w:w="1766"/>
        <w:gridCol w:w="290"/>
      </w:tblGrid>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2022</w:t>
            </w:r>
          </w:p>
        </w:tc>
        <w:tc>
          <w:tcPr>
            <w:tcW w:w="29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Remaining average remaining lease term (years)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pPr>
            <w:r>
              <w:rPr/>
              <w:t>3.24</w:t>
            </w:r>
          </w:p>
        </w:tc>
        <w:tc>
          <w:tcPr>
            <w:tcW w:w="29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766" w:type="dxa"/>
            <w:tcBorders/>
            <w:vAlign w:val="center"/>
          </w:tcPr>
          <w:p>
            <w:pPr>
              <w:pStyle w:val="TableContents"/>
              <w:bidi w:val="0"/>
              <w:spacing w:before="0" w:after="283"/>
              <w:jc w:val="right"/>
              <w:rPr/>
            </w:pPr>
            <w:r>
              <w:rPr/>
              <w:t>14.47</w:t>
            </w:r>
          </w:p>
        </w:tc>
        <w:tc>
          <w:tcPr>
            <w:tcW w:w="290"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Future minimum lease payments under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non-cancelable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operating leases, and future payments under the Lease Termination Agreement, as of December 31, 2022 are as follows (in thousands): </w:t>
      </w:r>
    </w:p>
    <w:p>
      <w:pPr>
        <w:pStyle w:val="TextBody"/>
        <w:bidi w:val="0"/>
        <w:spacing w:before="0" w:after="0"/>
        <w:jc w:val="left"/>
        <w:rPr>
          <w:shd w:fill="FFFFFF" w:val="clear"/>
        </w:rPr>
      </w:pPr>
      <w:r>
        <w:rPr>
          <w:shd w:fill="FFFFFF" w:val="clear"/>
        </w:rPr>
        <w:t> </w:t>
      </w:r>
    </w:p>
    <w:tbl>
      <w:tblPr>
        <w:tblW w:w="4415" w:type="dxa"/>
        <w:jc w:val="left"/>
        <w:tblInd w:w="0" w:type="dxa"/>
        <w:tblLayout w:type="fixed"/>
        <w:tblCellMar>
          <w:top w:w="0" w:type="dxa"/>
          <w:left w:w="0" w:type="dxa"/>
          <w:bottom w:w="0" w:type="dxa"/>
          <w:right w:w="0" w:type="dxa"/>
        </w:tblCellMar>
      </w:tblPr>
      <w:tblGrid>
        <w:gridCol w:w="3425"/>
        <w:gridCol w:w="120"/>
        <w:gridCol w:w="140"/>
        <w:gridCol w:w="560"/>
        <w:gridCol w:w="17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1,048</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743</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592</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477</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 and thereafter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undiscounted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2,860</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(628</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operation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2,232</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Accounting under ASC 840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Prior to the adoption of ASC 842, rent expense on operating leases was recognized on a straight-line basis over the term of the lease. In addition, certain of the Company’s operating lease agreements for facilities also include rent escalations or rent abatements during the initial lease term. The Company recorded the rent escalations as deferred rent, net of current portion on the accompanying balance sheets. The Company recognized the deferred rent liability on a straight-line basis into rent expense over the lease term commencing on the date the Company took possession of the leased space. Rent expense was $0.3 million for the year ended December 31, 2020.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Warranty Provision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accrues warranty costs when revenue is recognized for solar energy systems sales and panel sales, based on the estimated future costs of meeting its warranty obligations. Warranty costs primarily consist of replacement materials and equipment and labor costs for service personnel.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Activity by period relating to the Company’s warranty provision was as follows: </w:t>
      </w:r>
    </w:p>
    <w:p>
      <w:pPr>
        <w:pStyle w:val="TextBody"/>
        <w:bidi w:val="0"/>
        <w:spacing w:before="0" w:after="0"/>
        <w:jc w:val="left"/>
        <w:rPr>
          <w:shd w:fill="FFFFFF" w:val="clear"/>
        </w:rPr>
      </w:pPr>
      <w:r>
        <w:rPr>
          <w:shd w:fill="FFFFFF" w:val="clear"/>
        </w:rPr>
        <w:t> </w:t>
      </w:r>
    </w:p>
    <w:tbl>
      <w:tblPr>
        <w:tblW w:w="7194" w:type="dxa"/>
        <w:jc w:val="left"/>
        <w:tblInd w:w="0" w:type="dxa"/>
        <w:tblLayout w:type="fixed"/>
        <w:tblCellMar>
          <w:top w:w="0" w:type="dxa"/>
          <w:left w:w="0" w:type="dxa"/>
          <w:bottom w:w="0" w:type="dxa"/>
          <w:right w:w="0" w:type="dxa"/>
        </w:tblCellMar>
      </w:tblPr>
      <w:tblGrid>
        <w:gridCol w:w="4100"/>
        <w:gridCol w:w="120"/>
        <w:gridCol w:w="144"/>
        <w:gridCol w:w="654"/>
        <w:gridCol w:w="159"/>
        <w:gridCol w:w="123"/>
        <w:gridCol w:w="144"/>
        <w:gridCol w:w="577"/>
        <w:gridCol w:w="159"/>
        <w:gridCol w:w="123"/>
        <w:gridCol w:w="144"/>
        <w:gridCol w:w="577"/>
        <w:gridCol w:w="170"/>
      </w:tblGrid>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4"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beginning of period</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654" w:type="dxa"/>
            <w:tcBorders/>
            <w:shd w:fill="CCEEFF" w:val="clear"/>
            <w:vAlign w:val="center"/>
          </w:tcPr>
          <w:p>
            <w:pPr>
              <w:pStyle w:val="TableContents"/>
              <w:bidi w:val="0"/>
              <w:spacing w:before="0" w:after="283"/>
              <w:jc w:val="right"/>
              <w:rPr/>
            </w:pPr>
            <w:r>
              <w:rPr/>
              <w:t>2,281</w:t>
            </w:r>
          </w:p>
        </w:tc>
        <w:tc>
          <w:tcPr>
            <w:tcW w:w="15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1,652</w:t>
            </w:r>
          </w:p>
        </w:tc>
        <w:tc>
          <w:tcPr>
            <w:tcW w:w="15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1,816</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Warranty liability from the Business Combination</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1,943</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Accruals for new warranties issued</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1,492</w:t>
            </w:r>
          </w:p>
        </w:tc>
        <w:tc>
          <w:tcPr>
            <w:tcW w:w="15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1,516</w:t>
            </w:r>
          </w:p>
        </w:tc>
        <w:tc>
          <w:tcPr>
            <w:tcW w:w="15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607</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(1,735</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(887</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(771</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6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577" w:type="dxa"/>
            <w:tcBorders/>
            <w:vAlign w:val="center"/>
          </w:tcPr>
          <w:p>
            <w:pPr>
              <w:pStyle w:val="TableContents"/>
              <w:bidi w:val="0"/>
              <w:spacing w:before="0" w:after="0"/>
              <w:jc w:val="left"/>
              <w:rPr>
                <w:bdr w:val="single" w:sz="2" w:space="1" w:color="000000"/>
              </w:rPr>
            </w:pPr>
            <w:r>
              <w:rPr>
                <w:bdr w:val="single" w:sz="2" w:space="1" w:color="000000"/>
              </w:rPr>
              <w:t> </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5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end of period</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654" w:type="dxa"/>
            <w:tcBorders/>
            <w:shd w:fill="CCEEFF" w:val="clear"/>
            <w:vAlign w:val="center"/>
          </w:tcPr>
          <w:p>
            <w:pPr>
              <w:pStyle w:val="TableContents"/>
              <w:bidi w:val="0"/>
              <w:spacing w:before="0" w:after="283"/>
              <w:jc w:val="right"/>
              <w:rPr/>
            </w:pPr>
            <w:r>
              <w:rPr/>
              <w:t>3,981</w:t>
            </w:r>
          </w:p>
        </w:tc>
        <w:tc>
          <w:tcPr>
            <w:tcW w:w="15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2,281</w:t>
            </w:r>
          </w:p>
        </w:tc>
        <w:tc>
          <w:tcPr>
            <w:tcW w:w="15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1,652</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double" w:sz="6" w:space="1" w:color="000000"/>
              </w:rPr>
            </w:pPr>
            <w:r>
              <w:rPr>
                <w:bdr w:val="double" w:sz="6" w:space="1" w:color="000000"/>
              </w:rPr>
              <w:t> </w:t>
            </w:r>
          </w:p>
        </w:tc>
        <w:tc>
          <w:tcPr>
            <w:tcW w:w="654" w:type="dxa"/>
            <w:tcBorders/>
            <w:vAlign w:val="center"/>
          </w:tcPr>
          <w:p>
            <w:pPr>
              <w:pStyle w:val="TableContents"/>
              <w:bidi w:val="0"/>
              <w:spacing w:before="0" w:after="0"/>
              <w:jc w:val="left"/>
              <w:rPr>
                <w:bdr w:val="double" w:sz="6" w:space="1" w:color="000000"/>
              </w:rPr>
            </w:pPr>
            <w:r>
              <w:rPr>
                <w:bdr w:val="double" w:sz="6" w:space="1" w:color="000000"/>
              </w:rPr>
              <w:t> </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double" w:sz="6" w:space="1" w:color="000000"/>
              </w:rPr>
            </w:pPr>
            <w:r>
              <w:rPr>
                <w:bdr w:val="double" w:sz="6" w:space="1" w:color="000000"/>
              </w:rPr>
              <w:t> </w:t>
            </w:r>
          </w:p>
        </w:tc>
        <w:tc>
          <w:tcPr>
            <w:tcW w:w="577" w:type="dxa"/>
            <w:tcBorders/>
            <w:vAlign w:val="center"/>
          </w:tcPr>
          <w:p>
            <w:pPr>
              <w:pStyle w:val="TableContents"/>
              <w:bidi w:val="0"/>
              <w:spacing w:before="0" w:after="0"/>
              <w:jc w:val="left"/>
              <w:rPr>
                <w:bdr w:val="double" w:sz="6" w:space="1" w:color="000000"/>
              </w:rPr>
            </w:pPr>
            <w:r>
              <w:rPr>
                <w:bdr w:val="double" w:sz="6" w:space="1" w:color="000000"/>
              </w:rPr>
              <w:t> </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double" w:sz="6" w:space="1" w:color="000000"/>
              </w:rPr>
            </w:pPr>
            <w:r>
              <w:rPr>
                <w:bdr w:val="double" w:sz="6" w:space="1" w:color="000000"/>
              </w:rPr>
              <w:t> </w:t>
            </w:r>
          </w:p>
        </w:tc>
        <w:tc>
          <w:tcPr>
            <w:tcW w:w="57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current</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654" w:type="dxa"/>
            <w:tcBorders/>
            <w:vAlign w:val="center"/>
          </w:tcPr>
          <w:p>
            <w:pPr>
              <w:pStyle w:val="TableContents"/>
              <w:bidi w:val="0"/>
              <w:spacing w:before="0" w:after="283"/>
              <w:jc w:val="right"/>
              <w:rPr/>
            </w:pPr>
            <w:r>
              <w:rPr/>
              <w:t>767</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577" w:type="dxa"/>
            <w:tcBorders/>
            <w:vAlign w:val="center"/>
          </w:tcPr>
          <w:p>
            <w:pPr>
              <w:pStyle w:val="TableContents"/>
              <w:bidi w:val="0"/>
              <w:spacing w:before="0" w:after="283"/>
              <w:jc w:val="right"/>
              <w:rPr/>
            </w:pPr>
            <w:r>
              <w:rPr/>
              <w:t>600</w:t>
            </w:r>
          </w:p>
        </w:tc>
        <w:tc>
          <w:tcPr>
            <w:tcW w:w="159"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577" w:type="dxa"/>
            <w:tcBorders/>
            <w:vAlign w:val="center"/>
          </w:tcPr>
          <w:p>
            <w:pPr>
              <w:pStyle w:val="TableContents"/>
              <w:bidi w:val="0"/>
              <w:spacing w:before="0" w:after="283"/>
              <w:jc w:val="right"/>
              <w:rPr/>
            </w:pPr>
            <w:r>
              <w:rPr/>
              <w:t>497</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noncurrent</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654" w:type="dxa"/>
            <w:tcBorders/>
            <w:shd w:fill="CCEEFF" w:val="clear"/>
            <w:vAlign w:val="center"/>
          </w:tcPr>
          <w:p>
            <w:pPr>
              <w:pStyle w:val="TableContents"/>
              <w:bidi w:val="0"/>
              <w:spacing w:before="0" w:after="283"/>
              <w:jc w:val="right"/>
              <w:rPr/>
            </w:pPr>
            <w:r>
              <w:rPr/>
              <w:t>3,214</w:t>
            </w:r>
          </w:p>
        </w:tc>
        <w:tc>
          <w:tcPr>
            <w:tcW w:w="15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1,681</w:t>
            </w:r>
          </w:p>
        </w:tc>
        <w:tc>
          <w:tcPr>
            <w:tcW w:w="15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1,155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Indemnification Agreements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will not have a material adverse effect on the business, financial position, results of operations, or cash flows.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Legal Matters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have a material adverse effect on the business, financial position, results of operations, or cash flows. The Company has recorded $1.9 million and $0.2 million as a loss contingency in accrued expenses and other current liabilities on the consolidated balance sheets as of December 31, 2022 and December 31, 2021, respectively, primarily associated with the pending settlement of the following legal matters.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Katerra 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July 22, 2022, Katerra, Inc. filed a complaint for breach of contract and turnover of property under Section 542(b) of the Bankruptcy Code in the United States Bankruptcy Court for the Southern District of Texas. The complaint seeks damages for the amounts due under the Settlement Agreement and for attorney’s fees. The Company filed an answer to the complaint on September 6, 2022. No discovery has occurred.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Vendor Settlement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10, 2023, a vendor entered into an agreement with the Company to settle past due performance related payments related to various tools. As part of the agreement, the Company agreed to pay $0.9 million in three equal installments. The Company paid the first installment on January 12, 2023 and will pay the second and third installments on March 31, 2023 and June 30, 2023, respectively.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SolarPark 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In January 2023, SolarPark Korea Co., LTD (“</w:t>
      </w:r>
    </w:p>
    <w:p>
      <w:pPr>
        <w:pStyle w:val="TextBody"/>
        <w:bidi w:val="0"/>
        <w:spacing w:before="120" w:after="0"/>
        <w:jc w:val="left"/>
        <w:rPr>
          <w:rFonts w:ascii="Times New Roman" w:hAnsi="Times New Roman"/>
          <w:b/>
          <w:spacing w:val="0"/>
          <w:sz w:val="20"/>
          <w:shd w:fill="FFFFFF" w:val="clear"/>
        </w:rPr>
      </w:pPr>
      <w:r>
        <w:rPr>
          <w:rFonts w:ascii="Times New Roman" w:hAnsi="Times New Roman"/>
          <w:b/>
          <w:spacing w:val="0"/>
          <w:sz w:val="20"/>
          <w:shd w:fill="FFFFFF" w:val="clear"/>
        </w:rPr>
        <w:t>SolarPark</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consolidated financial statements as the likelihood of a loss is not probable at this time.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16, 2023, SolarPark filed a complaint against Solaria and the Company in the United States District Court for the Northern District of California.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 million in damages. The ultimate outcome of this litigation is currently unknown and could result in a material liability to the Company. However, the Company believes that the allegations lack merit and intends to vigorously defend all claims asserted. No liability has been recorded in the Company’s consolidated financial statements as the likelihood of a loss is not probable at this time.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Letters of Credit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had $3.5 million of outstanding letters of credit related to normal business transactions as of December 31, 2022. These agreements require the Company to maintain specified amounts of cash as collateral in segregated accounts to support the letters of credit issued thereunder. As discussed in Note 1, the cash collateral in these restricted cash accounts was $3.7 million as of December 31, 2022. The Company did not have any outstanding letters of credit as of December 31, 2021.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690" w:type="dxa"/>
        <w:jc w:val="left"/>
        <w:tblInd w:w="0" w:type="dxa"/>
        <w:tblLayout w:type="fixed"/>
        <w:tblCellMar>
          <w:top w:w="0" w:type="dxa"/>
          <w:left w:w="0" w:type="dxa"/>
          <w:bottom w:w="0" w:type="dxa"/>
          <w:right w:w="0" w:type="dxa"/>
        </w:tblCellMar>
      </w:tblPr>
      <w:tblGrid>
        <w:gridCol w:w="425"/>
        <w:gridCol w:w="1265"/>
      </w:tblGrid>
      <w:tr>
        <w:trPr/>
        <w:tc>
          <w:tcPr>
            <w:tcW w:w="425" w:type="dxa"/>
            <w:tcBorders/>
            <w:vAlign w:val="center"/>
          </w:tcPr>
          <w:p>
            <w:pPr>
              <w:pStyle w:val="TableContents"/>
              <w:bidi w:val="0"/>
              <w:spacing w:before="0" w:after="0"/>
              <w:jc w:val="left"/>
              <w:rPr>
                <w:b/>
                <w:spacing w:val="0"/>
              </w:rPr>
            </w:pPr>
            <w:r>
              <w:rPr>
                <w:b/>
                <w:spacing w:val="0"/>
              </w:rPr>
              <w:t>(18)</w:t>
            </w:r>
          </w:p>
        </w:tc>
        <w:tc>
          <w:tcPr>
            <w:tcW w:w="12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provision for income taxes consisted of the following (in thousands): </w:t>
      </w:r>
    </w:p>
    <w:p>
      <w:pPr>
        <w:pStyle w:val="TextBody"/>
        <w:bidi w:val="0"/>
        <w:spacing w:before="0" w:after="0"/>
        <w:jc w:val="left"/>
        <w:rPr>
          <w:shd w:fill="FFFFFF" w:val="clear"/>
        </w:rPr>
      </w:pPr>
      <w:r>
        <w:rPr>
          <w:shd w:fill="FFFFFF" w:val="clear"/>
        </w:rPr>
        <w:t> </w:t>
      </w:r>
    </w:p>
    <w:tbl>
      <w:tblPr>
        <w:tblW w:w="4294" w:type="dxa"/>
        <w:jc w:val="left"/>
        <w:tblInd w:w="0" w:type="dxa"/>
        <w:tblLayout w:type="fixed"/>
        <w:tblCellMar>
          <w:top w:w="0" w:type="dxa"/>
          <w:left w:w="0" w:type="dxa"/>
          <w:bottom w:w="0" w:type="dxa"/>
          <w:right w:w="0" w:type="dxa"/>
        </w:tblCellMar>
      </w:tblPr>
      <w:tblGrid>
        <w:gridCol w:w="1295"/>
        <w:gridCol w:w="120"/>
        <w:gridCol w:w="204"/>
        <w:gridCol w:w="555"/>
        <w:gridCol w:w="86"/>
        <w:gridCol w:w="174"/>
        <w:gridCol w:w="204"/>
        <w:gridCol w:w="555"/>
        <w:gridCol w:w="86"/>
        <w:gridCol w:w="174"/>
        <w:gridCol w:w="204"/>
        <w:gridCol w:w="562"/>
        <w:gridCol w:w="7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4"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2022  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2021  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2020  </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555" w:type="dxa"/>
            <w:tcBorders/>
            <w:shd w:fill="CCEEFF" w:val="clear"/>
            <w:vAlign w:val="center"/>
          </w:tcPr>
          <w:p>
            <w:pPr>
              <w:pStyle w:val="TableContents"/>
              <w:bidi w:val="0"/>
              <w:spacing w:before="0" w:after="283"/>
              <w:jc w:val="left"/>
              <w:rPr>
                <w:sz w:val="4"/>
                <w:szCs w:val="4"/>
              </w:rPr>
            </w:pPr>
            <w:r>
              <w:rPr>
                <w:sz w:val="4"/>
                <w:szCs w:val="4"/>
              </w:rPr>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555" w:type="dxa"/>
            <w:tcBorders/>
            <w:shd w:fill="CCEEFF" w:val="clear"/>
            <w:vAlign w:val="center"/>
          </w:tcPr>
          <w:p>
            <w:pPr>
              <w:pStyle w:val="TableContents"/>
              <w:bidi w:val="0"/>
              <w:spacing w:before="0" w:after="283"/>
              <w:jc w:val="left"/>
              <w:rPr>
                <w:sz w:val="4"/>
                <w:szCs w:val="4"/>
              </w:rPr>
            </w:pPr>
            <w:r>
              <w:rPr>
                <w:sz w:val="4"/>
                <w:szCs w:val="4"/>
              </w:rPr>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5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5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27</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3</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55"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55"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6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27</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3</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55"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55"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6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55"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55"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6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55"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55"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56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provision</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27</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3</w:t>
            </w:r>
          </w:p>
        </w:tc>
        <w:tc>
          <w:tcPr>
            <w:tcW w:w="86"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555" w:type="dxa"/>
            <w:tcBorders/>
            <w:vAlign w:val="center"/>
          </w:tcPr>
          <w:p>
            <w:pPr>
              <w:pStyle w:val="TableContents"/>
              <w:bidi w:val="0"/>
              <w:spacing w:before="0" w:after="0"/>
              <w:jc w:val="left"/>
              <w:rPr>
                <w:bdr w:val="double" w:sz="6" w:space="1" w:color="000000"/>
              </w:rPr>
            </w:pPr>
            <w:r>
              <w:rPr>
                <w:bdr w:val="double" w:sz="6"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555" w:type="dxa"/>
            <w:tcBorders/>
            <w:vAlign w:val="center"/>
          </w:tcPr>
          <w:p>
            <w:pPr>
              <w:pStyle w:val="TableContents"/>
              <w:bidi w:val="0"/>
              <w:spacing w:before="0" w:after="0"/>
              <w:jc w:val="left"/>
              <w:rPr>
                <w:bdr w:val="double" w:sz="6" w:space="1" w:color="000000"/>
              </w:rPr>
            </w:pPr>
            <w:r>
              <w:rPr>
                <w:bdr w:val="double" w:sz="6" w:space="1" w:color="000000"/>
              </w:rPr>
              <w:t> </w:t>
            </w:r>
          </w:p>
        </w:tc>
        <w:tc>
          <w:tcPr>
            <w:tcW w:w="8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56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reconciliation of federal statutory income tax rate to our effective income tax rate is as follows (in thousands): </w:t>
      </w:r>
    </w:p>
    <w:p>
      <w:pPr>
        <w:pStyle w:val="TextBody"/>
        <w:bidi w:val="0"/>
        <w:spacing w:before="0" w:after="0"/>
        <w:jc w:val="left"/>
        <w:rPr>
          <w:shd w:fill="FFFFFF" w:val="clear"/>
        </w:rPr>
      </w:pPr>
      <w:r>
        <w:rPr>
          <w:shd w:fill="FFFFFF" w:val="clear"/>
        </w:rPr>
        <w:t> </w:t>
      </w:r>
    </w:p>
    <w:tbl>
      <w:tblPr>
        <w:tblW w:w="6860" w:type="dxa"/>
        <w:jc w:val="left"/>
        <w:tblInd w:w="0" w:type="dxa"/>
        <w:tblLayout w:type="fixed"/>
        <w:tblCellMar>
          <w:top w:w="0" w:type="dxa"/>
          <w:left w:w="0" w:type="dxa"/>
          <w:bottom w:w="0" w:type="dxa"/>
          <w:right w:w="0" w:type="dxa"/>
        </w:tblCellMar>
      </w:tblPr>
      <w:tblGrid>
        <w:gridCol w:w="3695"/>
        <w:gridCol w:w="120"/>
        <w:gridCol w:w="140"/>
        <w:gridCol w:w="635"/>
        <w:gridCol w:w="155"/>
        <w:gridCol w:w="120"/>
        <w:gridCol w:w="140"/>
        <w:gridCol w:w="635"/>
        <w:gridCol w:w="155"/>
        <w:gridCol w:w="120"/>
        <w:gridCol w:w="140"/>
        <w:gridCol w:w="635"/>
        <w:gridCol w:w="170"/>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7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Statutory federal income tax</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(6,184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(1,918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(1,454</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tax benefits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(1,207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(336</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22</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Non-deductible</w:t>
            </w:r>
          </w:p>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257</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to market adjustments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Nondeductible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PPP Loan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earnings taxed at different rates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6,451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1,910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1,510</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Provision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Significant components of our deferred tax assets and liabilities are as follows (in thousands): </w:t>
      </w:r>
    </w:p>
    <w:p>
      <w:pPr>
        <w:pStyle w:val="TextBody"/>
        <w:bidi w:val="0"/>
        <w:spacing w:before="0" w:after="0"/>
        <w:jc w:val="left"/>
        <w:rPr>
          <w:shd w:fill="FFFFFF" w:val="clear"/>
        </w:rPr>
      </w:pPr>
      <w:r>
        <w:rPr>
          <w:shd w:fill="FFFFFF" w:val="clear"/>
        </w:rPr>
        <w:t> </w:t>
      </w:r>
    </w:p>
    <w:tbl>
      <w:tblPr>
        <w:tblW w:w="6241" w:type="dxa"/>
        <w:jc w:val="left"/>
        <w:tblInd w:w="0" w:type="dxa"/>
        <w:tblLayout w:type="fixed"/>
        <w:tblCellMar>
          <w:top w:w="0" w:type="dxa"/>
          <w:left w:w="0" w:type="dxa"/>
          <w:bottom w:w="0" w:type="dxa"/>
          <w:right w:w="0" w:type="dxa"/>
        </w:tblCellMar>
      </w:tblPr>
      <w:tblGrid>
        <w:gridCol w:w="3140"/>
        <w:gridCol w:w="120"/>
        <w:gridCol w:w="190"/>
        <w:gridCol w:w="1030"/>
        <w:gridCol w:w="209"/>
        <w:gridCol w:w="162"/>
        <w:gridCol w:w="189"/>
        <w:gridCol w:w="1031"/>
        <w:gridCol w:w="170"/>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2022      </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2021      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NOL carryforwards</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60,710</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7,931</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Credits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195</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Bad debt reserve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1,382</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946</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2,724</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680</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reserve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651</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631</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warranty</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155</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111</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 carryover</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3,445</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170</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678</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687</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195</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639</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ASC 842 leases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12</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Assembled workforce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15</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328</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509</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2,837</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28</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73,821</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11,855</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(63,737</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(11,348</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030" w:type="dxa"/>
            <w:tcBorders/>
            <w:vAlign w:val="center"/>
          </w:tcPr>
          <w:p>
            <w:pPr>
              <w:pStyle w:val="TableContents"/>
              <w:bidi w:val="0"/>
              <w:spacing w:before="0" w:after="0"/>
              <w:jc w:val="left"/>
              <w:rPr>
                <w:bdr w:val="single" w:sz="2" w:space="1" w:color="000000"/>
              </w:rPr>
            </w:pPr>
            <w:r>
              <w:rPr>
                <w:bdr w:val="single" w:sz="2" w:space="1" w:color="000000"/>
              </w:rPr>
              <w:t> </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single" w:sz="2" w:space="1" w:color="000000"/>
              </w:rPr>
            </w:pPr>
            <w:r>
              <w:rPr>
                <w:bdr w:val="single" w:sz="2" w:space="1" w:color="000000"/>
              </w:rPr>
              <w:t> </w:t>
            </w:r>
          </w:p>
        </w:tc>
        <w:tc>
          <w:tcPr>
            <w:tcW w:w="10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10,084</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507</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549"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Accounting method change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(18</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Capitalized software</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(234</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(468</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(9,084</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debt</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(748</w:t>
            </w:r>
          </w:p>
        </w:tc>
        <w:tc>
          <w:tcPr>
            <w:tcW w:w="2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030" w:type="dxa"/>
            <w:tcBorders/>
            <w:vAlign w:val="center"/>
          </w:tcPr>
          <w:p>
            <w:pPr>
              <w:pStyle w:val="TableContents"/>
              <w:bidi w:val="0"/>
              <w:spacing w:before="0" w:after="0"/>
              <w:jc w:val="left"/>
              <w:rPr>
                <w:bdr w:val="single" w:sz="2" w:space="1" w:color="000000"/>
              </w:rPr>
            </w:pPr>
            <w:r>
              <w:rPr>
                <w:bdr w:val="single" w:sz="2" w:space="1" w:color="000000"/>
              </w:rPr>
              <w:t> </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single" w:sz="2" w:space="1" w:color="000000"/>
              </w:rPr>
            </w:pPr>
            <w:r>
              <w:rPr>
                <w:bdr w:val="single" w:sz="2" w:space="1" w:color="000000"/>
              </w:rPr>
              <w:t> </w:t>
            </w:r>
          </w:p>
        </w:tc>
        <w:tc>
          <w:tcPr>
            <w:tcW w:w="10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Refundable and deferred income taxes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1030" w:type="dxa"/>
            <w:tcBorders/>
            <w:vAlign w:val="center"/>
          </w:tcPr>
          <w:p>
            <w:pPr>
              <w:pStyle w:val="TableContents"/>
              <w:bidi w:val="0"/>
              <w:spacing w:before="0" w:after="0"/>
              <w:jc w:val="left"/>
              <w:rPr>
                <w:bdr w:val="double" w:sz="6" w:space="1" w:color="000000"/>
              </w:rPr>
            </w:pPr>
            <w:r>
              <w:rPr>
                <w:bdr w:val="double" w:sz="6" w:space="1" w:color="000000"/>
              </w:rPr>
              <w:t> </w:t>
            </w:r>
          </w:p>
        </w:tc>
        <w:tc>
          <w:tcPr>
            <w:tcW w:w="2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double" w:sz="6" w:space="1" w:color="000000"/>
              </w:rPr>
            </w:pPr>
            <w:r>
              <w:rPr>
                <w:bdr w:val="double" w:sz="6" w:space="1" w:color="000000"/>
              </w:rPr>
              <w:t> </w:t>
            </w:r>
          </w:p>
        </w:tc>
        <w:tc>
          <w:tcPr>
            <w:tcW w:w="103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established a valuation allowance to offset the gross deferred tax assets as of December 31, 2022 and December 31, 2021, due to the uncertainty of realizing future tax benefits from its net operating loss carryforwards and other deferred tax assets. The valuation allowance balance was $63.7 million and $11.3 million for the years ended December 31, 2022 and December 31, 2021, respectively.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assessing the realizability of deferred income tax assets, the Company considered whether it is more likely than not that some portion or all of its deferred income tax assets will be realized. The ultimate realization of deferred income tax assets is dependent upon the generation of future taxable income during the periods in which those temporary differences become deductible. Due to the uncertainty surrounding the Company’s ability to realize such deferred income tax assets, a full valuation allowance has been established. The valuation allowance increased by $52.4 million during the year ended December 31, 2022, and $1.9 million during the year ended December 31, 2021. During 2022 the valuation allowance increased $45.9 million due to acquired deferred tax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2022 and 2021, the Company had federal net operating loss carryforwards of approximately $237.7 million and $28.0 million and state net operating loss carryforwards of approximately $157.1 million and $30.2 million, respectively. Federal net operating losses that will expire between the years 2030 and 2037 total $114.6 million.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2022 and 2021, the Company had state research and development credit carryforwards of approximately $1.6 million and zero, respectively. The credits do not expire.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utilization of the Company’s net operating loss and R&amp;D credit carryforwards may be subject to limitation due to the “change in ownership provisions” under Section 382 of the Internal Revenue Code and similar foreign provisions. Such limitations may result in the expiration of these carryforwards before their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utilization. The Company’s acquired net operating loss carryforwards have been reduced based on the estimated amount which will be lost due to these limitations.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is subject to income taxes in the U.S. federal jurisdiction, and various foreign jurisdictions. Tax regulations within each jurisdiction are subject to the interpretation of the related tax laws and regulations and require significant judgment to apply. The Company’s tax years remain open for examination by all tax authorities since inception. The Company is not currently under examination in any tax jurisdictions.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2022 and 2021, the Company had unrecognized tax benefits of $1.3 million and zero, respectively. The reversal of the uncertain tax benefits would not affect the Company’s effective tax rate to the extent that it continues to maintain a full valuation allowance against its deferred tax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is a tabular reconciliation of the total amounts of unrecognized tax benefits (in thousands): </w:t>
      </w:r>
    </w:p>
    <w:p>
      <w:pPr>
        <w:pStyle w:val="TextBody"/>
        <w:bidi w:val="0"/>
        <w:spacing w:before="0" w:after="0"/>
        <w:jc w:val="left"/>
        <w:rPr>
          <w:shd w:fill="FFFFFF" w:val="clear"/>
        </w:rPr>
      </w:pPr>
      <w:r>
        <w:rPr>
          <w:shd w:fill="FFFFFF" w:val="clear"/>
        </w:rPr>
        <w:t> </w:t>
      </w:r>
    </w:p>
    <w:tbl>
      <w:tblPr>
        <w:tblW w:w="7074" w:type="dxa"/>
        <w:jc w:val="left"/>
        <w:tblInd w:w="0" w:type="dxa"/>
        <w:tblLayout w:type="fixed"/>
        <w:tblCellMar>
          <w:top w:w="0" w:type="dxa"/>
          <w:left w:w="0" w:type="dxa"/>
          <w:bottom w:w="0" w:type="dxa"/>
          <w:right w:w="0" w:type="dxa"/>
        </w:tblCellMar>
      </w:tblPr>
      <w:tblGrid>
        <w:gridCol w:w="4070"/>
        <w:gridCol w:w="120"/>
        <w:gridCol w:w="281"/>
        <w:gridCol w:w="1124"/>
        <w:gridCol w:w="119"/>
        <w:gridCol w:w="240"/>
        <w:gridCol w:w="281"/>
        <w:gridCol w:w="764"/>
        <w:gridCol w:w="75"/>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2022    </w:t>
            </w:r>
          </w:p>
        </w:tc>
        <w:tc>
          <w:tcPr>
            <w:tcW w:w="119"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2021    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Unrecognized tax benefits as of beginning of year</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Increases related to prior year tax positions</w:t>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1,335</w:t>
            </w:r>
          </w:p>
        </w:tc>
        <w:tc>
          <w:tcPr>
            <w:tcW w:w="119"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Increases related to current year tax positions</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Decreases related to prior year tax positions</w:t>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Unrecognized tax benefits as of end of year</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124" w:type="dxa"/>
            <w:tcBorders/>
            <w:vAlign w:val="center"/>
          </w:tcPr>
          <w:p>
            <w:pPr>
              <w:pStyle w:val="TableContents"/>
              <w:bidi w:val="0"/>
              <w:spacing w:before="0" w:after="0"/>
              <w:jc w:val="left"/>
              <w:rPr>
                <w:bdr w:val="single" w:sz="2" w:space="1" w:color="000000"/>
              </w:rPr>
            </w:pPr>
            <w:r>
              <w:rPr>
                <w:bdr w:val="single" w:sz="2" w:space="1" w:color="000000"/>
              </w:rPr>
              <w:t> </w:t>
            </w:r>
          </w:p>
        </w:tc>
        <w:tc>
          <w:tcPr>
            <w:tcW w:w="119"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bdr w:val="single" w:sz="2" w:space="1" w:color="000000"/>
              </w:rPr>
            </w:pPr>
            <w:r>
              <w:rPr>
                <w:bdr w:val="single" w:sz="2" w:space="1" w:color="000000"/>
              </w:rPr>
              <w:t> </w:t>
            </w:r>
          </w:p>
        </w:tc>
        <w:tc>
          <w:tcPr>
            <w:tcW w:w="76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right"/>
              <w:rPr/>
            </w:pPr>
            <w:r>
              <w:rPr/>
              <w:t>1,335</w:t>
            </w:r>
          </w:p>
        </w:tc>
        <w:tc>
          <w:tcPr>
            <w:tcW w:w="119"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76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bdr w:val="double" w:sz="6" w:space="1" w:color="000000"/>
              </w:rPr>
            </w:pPr>
            <w:r>
              <w:rPr>
                <w:bdr w:val="double" w:sz="6" w:space="1" w:color="000000"/>
              </w:rPr>
              <w:t> </w:t>
            </w:r>
          </w:p>
        </w:tc>
        <w:tc>
          <w:tcPr>
            <w:tcW w:w="1124" w:type="dxa"/>
            <w:tcBorders/>
            <w:vAlign w:val="center"/>
          </w:tcPr>
          <w:p>
            <w:pPr>
              <w:pStyle w:val="TableContents"/>
              <w:bidi w:val="0"/>
              <w:spacing w:before="0" w:after="0"/>
              <w:jc w:val="left"/>
              <w:rPr>
                <w:bdr w:val="double" w:sz="6" w:space="1" w:color="000000"/>
              </w:rPr>
            </w:pPr>
            <w:r>
              <w:rPr>
                <w:bdr w:val="double" w:sz="6" w:space="1" w:color="000000"/>
              </w:rPr>
              <w:t> </w:t>
            </w:r>
          </w:p>
        </w:tc>
        <w:tc>
          <w:tcPr>
            <w:tcW w:w="119"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bdr w:val="double" w:sz="6" w:space="1" w:color="000000"/>
              </w:rPr>
            </w:pPr>
            <w:r>
              <w:rPr>
                <w:bdr w:val="double" w:sz="6" w:space="1" w:color="000000"/>
              </w:rPr>
              <w:t> </w:t>
            </w:r>
          </w:p>
        </w:tc>
        <w:tc>
          <w:tcPr>
            <w:tcW w:w="76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recognizes interest and penalties related to unrecognized tax benefits within the income tax expense line in the statements of operations and comprehensive loss. Accrued interest and penalties are included as part of income tax payable in the consolidated balance sheets. No accrued interest or penalties have been recorded for year ended December 31, 2022 or December 31, 2021.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not provided U.S. income or foreign withholding taxes on the undistributed earnings of its foreign subsidiary as of December 31, 2022 and December 31, 2021 because it intends to permanently reinvest such earnings outside of the United States. If these foreign earnings were to be repatriated in the future, the related U.S. tax liability will be immaterial, due to the participation exemption put in place under the 2017 Tax Cuts and Jobs Act.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18, 2020, the Families First Coronavirus Response Act (FFCR Act) and, on March 27, 2020, the Coronavirus Aid, Relief, and Economic Security Act (CARES Act) were each enacted in response to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COVID-19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analyzed the provisions of the Act and determined there was no significant impact to its 2022 or 2021 tax provision.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June 29, 2020, the California Governor signed Assembly Bill 85 (“A.B. 85”) which includes several tax measures, provides for a three-year suspension of the use of net operating losses for medium and large businesses and a three-year cap on the use of business incentive tax credits to offset no more than $5 million of tax per year. Generally, A.B. 85 suspends the use of net operating losses for taxable years 2020, 2021, and 2022 for taxpayers with taxable income of $1 million or more. The Company analyzed the provisions of the A.B. 85 and determined there was no significant impact to its 2022 or 2021 tax provision.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On December 27, 2020, the “Consolidated Appropriations Act, 2021” (the “CAA”) was signed into law. The CAA includes provisions meant to clarify and modify certain items put forth in CARES Act, while providing aid to businesses affected by the pandemic. The CAA allows deductions for expenses paid for by Paycheck Protection Program (“PPP”) and Economic Injury Disaster Loan (“EIDL”) . The Program, clarifies forgiveness of EIDL advances, and other business provisions. The Company analyzed the provisions of the CAA and determined there was no significant impact to its 2022 and 2021 tax provision. </w:t>
      </w:r>
    </w:p>
    <w:p>
      <w:pPr>
        <w:pStyle w:val="TextBody"/>
        <w:bidi w:val="0"/>
        <w:spacing w:before="0" w:after="0"/>
        <w:jc w:val="left"/>
        <w:rPr>
          <w:shd w:fill="FFFFFF" w:val="clear"/>
        </w:rPr>
      </w:pPr>
      <w:r>
        <w:rPr>
          <w:shd w:fill="FFFFFF" w:val="clear"/>
        </w:rPr>
        <w:t> </w:t>
      </w:r>
    </w:p>
    <w:tbl>
      <w:tblPr>
        <w:tblW w:w="3640" w:type="dxa"/>
        <w:jc w:val="left"/>
        <w:tblInd w:w="0" w:type="dxa"/>
        <w:tblLayout w:type="fixed"/>
        <w:tblCellMar>
          <w:top w:w="0" w:type="dxa"/>
          <w:left w:w="0" w:type="dxa"/>
          <w:bottom w:w="0" w:type="dxa"/>
          <w:right w:w="0" w:type="dxa"/>
        </w:tblCellMar>
      </w:tblPr>
      <w:tblGrid>
        <w:gridCol w:w="425"/>
        <w:gridCol w:w="3215"/>
      </w:tblGrid>
      <w:tr>
        <w:trPr/>
        <w:tc>
          <w:tcPr>
            <w:tcW w:w="425" w:type="dxa"/>
            <w:tcBorders/>
            <w:vAlign w:val="center"/>
          </w:tcPr>
          <w:p>
            <w:pPr>
              <w:pStyle w:val="TableContents"/>
              <w:bidi w:val="0"/>
              <w:spacing w:before="0" w:after="0"/>
              <w:jc w:val="left"/>
              <w:rPr>
                <w:b/>
                <w:spacing w:val="0"/>
              </w:rPr>
            </w:pPr>
            <w:r>
              <w:rPr>
                <w:b/>
                <w:spacing w:val="0"/>
              </w:rPr>
              <w:t>(19)</w:t>
            </w:r>
          </w:p>
        </w:tc>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Basic and Diluted Net Loss Per Share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computes net loss per share in accordance with ASC 260. No dividends were declared or paid for the years ended December 31, 2022 and December 31, 2021. Undistributed earnings for each period are allocated to participating securities, including the redeemable convertible preferred stock, based on the contractual participation rights of the security to share in the current earnings as if all current period earnings had been distributed. As there is no contractual obligation for the redeemable convertible preferred stock to share in losses, the Company’s basic net loss per share is computed by dividing the net loss attributable to common stockholders by the weighted-average shares of common stock outstanding during periods with undistributed losses.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the computation of the Company’s basic and diluted net loss per share attributable to common stockholders for the years ended December 31, 2022, 2021 and 2020 (in thousands, except share and per share amounts): </w:t>
      </w:r>
    </w:p>
    <w:p>
      <w:pPr>
        <w:pStyle w:val="TextBody"/>
        <w:bidi w:val="0"/>
        <w:spacing w:before="0" w:after="0"/>
        <w:jc w:val="left"/>
        <w:rPr>
          <w:shd w:fill="FFFFFF" w:val="clear"/>
        </w:rPr>
      </w:pPr>
      <w:r>
        <w:rPr>
          <w:shd w:fill="FFFFFF" w:val="clear"/>
        </w:rPr>
        <w:t> </w:t>
      </w:r>
    </w:p>
    <w:tbl>
      <w:tblPr>
        <w:tblW w:w="9740" w:type="dxa"/>
        <w:jc w:val="left"/>
        <w:tblInd w:w="0" w:type="dxa"/>
        <w:tblLayout w:type="fixed"/>
        <w:tblCellMar>
          <w:top w:w="0" w:type="dxa"/>
          <w:left w:w="0" w:type="dxa"/>
          <w:bottom w:w="0" w:type="dxa"/>
          <w:right w:w="0" w:type="dxa"/>
        </w:tblCellMar>
      </w:tblPr>
      <w:tblGrid>
        <w:gridCol w:w="5300"/>
        <w:gridCol w:w="120"/>
        <w:gridCol w:w="140"/>
        <w:gridCol w:w="1100"/>
        <w:gridCol w:w="155"/>
        <w:gridCol w:w="120"/>
        <w:gridCol w:w="140"/>
        <w:gridCol w:w="1100"/>
        <w:gridCol w:w="155"/>
        <w:gridCol w:w="120"/>
        <w:gridCol w:w="140"/>
        <w:gridCol w:w="980"/>
        <w:gridCol w:w="170"/>
      </w:tblGrid>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5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(28,023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(9,282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(5,682</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from discontinued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(29,477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(9,282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(5,682</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22,524,400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11,990,015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9,760,018</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 –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(0.58</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 –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(0.58</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Basic and diluted net loss per share attributable to common stockholders is the same for the years ended December 31, 2022, 2021 and 2020 because the inclusion of potential shares of common stock would have been anti-dilutive for the periods presented.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presents the potential common shares outstanding that were excluded from the computation of diluted net loss per share of common stock as of the periods presented because including them would have been antidilutive: </w:t>
      </w:r>
    </w:p>
    <w:p>
      <w:pPr>
        <w:pStyle w:val="TextBody"/>
        <w:bidi w:val="0"/>
        <w:spacing w:before="0" w:after="0"/>
        <w:jc w:val="left"/>
        <w:rPr>
          <w:shd w:fill="FFFFFF" w:val="clear"/>
        </w:rPr>
      </w:pPr>
      <w:r>
        <w:rPr>
          <w:shd w:fill="FFFFFF" w:val="clear"/>
        </w:rPr>
        <w:t> </w:t>
      </w:r>
    </w:p>
    <w:tbl>
      <w:tblPr>
        <w:tblW w:w="9005" w:type="dxa"/>
        <w:jc w:val="left"/>
        <w:tblInd w:w="0" w:type="dxa"/>
        <w:tblLayout w:type="fixed"/>
        <w:tblCellMar>
          <w:top w:w="0" w:type="dxa"/>
          <w:left w:w="0" w:type="dxa"/>
          <w:bottom w:w="0" w:type="dxa"/>
          <w:right w:w="0" w:type="dxa"/>
        </w:tblCellMar>
      </w:tblPr>
      <w:tblGrid>
        <w:gridCol w:w="5330"/>
        <w:gridCol w:w="120"/>
        <w:gridCol w:w="60"/>
        <w:gridCol w:w="980"/>
        <w:gridCol w:w="60"/>
        <w:gridCol w:w="120"/>
        <w:gridCol w:w="60"/>
        <w:gridCol w:w="980"/>
        <w:gridCol w:w="60"/>
        <w:gridCol w:w="120"/>
        <w:gridCol w:w="60"/>
        <w:gridCol w:w="980"/>
        <w:gridCol w:w="75"/>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2020</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issued and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4,970,419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2,135,464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1,968,590</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1,912,493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1,618,585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812,531</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1,152,790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488,024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488,024</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SAFE agreements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388,785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19,562</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43,135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Potential common shares excluded from diluted net loss per share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8,078,837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4,635,857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3,288,706</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2830" w:type="dxa"/>
        <w:jc w:val="left"/>
        <w:tblInd w:w="0" w:type="dxa"/>
        <w:tblLayout w:type="fixed"/>
        <w:tblCellMar>
          <w:top w:w="0" w:type="dxa"/>
          <w:left w:w="0" w:type="dxa"/>
          <w:bottom w:w="0" w:type="dxa"/>
          <w:right w:w="0" w:type="dxa"/>
        </w:tblCellMar>
      </w:tblPr>
      <w:tblGrid>
        <w:gridCol w:w="425"/>
        <w:gridCol w:w="2405"/>
      </w:tblGrid>
      <w:tr>
        <w:trPr/>
        <w:tc>
          <w:tcPr>
            <w:tcW w:w="425" w:type="dxa"/>
            <w:tcBorders/>
            <w:vAlign w:val="center"/>
          </w:tcPr>
          <w:p>
            <w:pPr>
              <w:pStyle w:val="TableContents"/>
              <w:bidi w:val="0"/>
              <w:spacing w:before="0" w:after="0"/>
              <w:jc w:val="left"/>
              <w:rPr>
                <w:b/>
                <w:spacing w:val="0"/>
              </w:rPr>
            </w:pPr>
            <w:r>
              <w:rPr>
                <w:b/>
                <w:spacing w:val="0"/>
              </w:rPr>
              <w:t>(20)</w:t>
            </w:r>
          </w:p>
        </w:tc>
        <w:tc>
          <w:tcPr>
            <w:tcW w:w="24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Related Party Convertible Promissory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2020, the Company issued convertible promissory notes (“2020 Convertible Notes”) of approximately $3.8 million to various investors, out of which $3.3 million was issued to nine related parties. The related party debt is presented as convertible notes, net in the accompanying consolidated balance sheets, adjusted for deferred interest, allocated debt financing costs and derivative liability recorded as debt discount. The principal amount of the outstanding balance accrued interest at 2.0% per annum.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2021, the Company issued convertible promissory notes (“2021 Convertible Notes”) of approximately $4.8 million to various investors, out of which $3.6 million was issued to four related parties. The related party debt is presented as convertible notes, net’ in the accompanying consolidated balance sheets, adjusted for deferred interest, and allocated debt financing costs. The principal amount of the outstanding balance accrued interest at 2.0% per annum.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March 2022, as part of the Company’s Series D redeemable convertible preferred stock issuance, the Company converted all of the outstanding convertible note series. As part of the conversion, the Company recognized a gain on the extinguishment of related party convertible notes of $1.4 million, which was recorded in other income (expense), net on the consolidated statements of operations and comprehensive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through December 2022, the Company issued convertible promissory notes (“2022 Convertible Notes”) of approximately $12.0 million to various investors, out of which $8.6 million was issued to four related parties. Additionally, the Company acquired a related party convertible note, on the same terms as the 2022 Convertible Notes as part of the acquisition of Solaria with a fair value of $6.7 million at the time of the acquisition. The related party debt is presented as convertible notes, net due to related parties, noncurrent in the accompanying consolidated balance sheets. The principal amount of the outstanding balance on the 2022 Convertible Notes accrues at 5.0%, compounded annually. For the year-ended December 31, 2022, the Company has recognized $0.2 million in interest expense related to the related party 2022 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There were no other material related party transactions during the years ended December 31, 2022, 2021 or 2020. </w:t>
      </w:r>
    </w:p>
    <w:p>
      <w:pPr>
        <w:pStyle w:val="TextBody"/>
        <w:bidi w:val="0"/>
        <w:spacing w:before="0" w:after="0"/>
        <w:jc w:val="left"/>
        <w:rPr>
          <w:shd w:fill="FFFFFF" w:val="clear"/>
        </w:rPr>
      </w:pPr>
      <w:r>
        <w:rPr>
          <w:shd w:fill="FFFFFF" w:val="clear"/>
        </w:rPr>
        <w:t> </w:t>
      </w:r>
    </w:p>
    <w:tbl>
      <w:tblPr>
        <w:tblW w:w="2065" w:type="dxa"/>
        <w:jc w:val="left"/>
        <w:tblInd w:w="0" w:type="dxa"/>
        <w:tblLayout w:type="fixed"/>
        <w:tblCellMar>
          <w:top w:w="0" w:type="dxa"/>
          <w:left w:w="0" w:type="dxa"/>
          <w:bottom w:w="0" w:type="dxa"/>
          <w:right w:w="0" w:type="dxa"/>
        </w:tblCellMar>
      </w:tblPr>
      <w:tblGrid>
        <w:gridCol w:w="425"/>
        <w:gridCol w:w="1640"/>
      </w:tblGrid>
      <w:tr>
        <w:trPr/>
        <w:tc>
          <w:tcPr>
            <w:tcW w:w="425" w:type="dxa"/>
            <w:tcBorders/>
            <w:vAlign w:val="center"/>
          </w:tcPr>
          <w:p>
            <w:pPr>
              <w:pStyle w:val="TableContents"/>
              <w:bidi w:val="0"/>
              <w:spacing w:before="0" w:after="0"/>
              <w:jc w:val="left"/>
              <w:rPr>
                <w:b/>
                <w:spacing w:val="0"/>
              </w:rPr>
            </w:pPr>
            <w:r>
              <w:rPr>
                <w:b/>
                <w:spacing w:val="0"/>
              </w:rPr>
              <w:t>(21)</w:t>
            </w:r>
          </w:p>
        </w:tc>
        <w:tc>
          <w:tcPr>
            <w:tcW w:w="1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connection with the Business Combination Agreement, the Company has raised a series of convertible notes (“2023 Convertible Notes”) in January 2023 and February 2023 with additional investors, with an aggregate purchase price of $11.0 million. The 2023 Convertible Notes will convert to common shares of Complete Solaria, Inc. at the Closing. The 2022 Notes accrue interest at a rate of 5% per annum. Immediately prior to the Closing, the 2023 Convertible Notes will be converted into that number of shares of common stock of Complete Solaria equal to (x) the principal amount together with all accrued interest of the 2023 Convertible Notes divided by 0.75, divided by (y) the price of a share of common stock of Complete Solaria used to determine the conversion ratio in the Business Combination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10, 2023, the Federal Deposit Insurance Corporation (“FDIC”) announced the closure of Silicon Valley Bank (“SVB”). On March 13, 2023, pursuant to a joint statement released by the U.S. Department of the Treasury, the U.S. Federal Reserve, and the FDIC, the U.S. government reassured that all depositors will be fully protected. As of the date the accompanying consolidated financial statements were issued, the Company has transferred substantially all of its cash out of SVB to other financial institutions. The Company does not currently anticipate any disruption to its ongoing operations.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jc w:val="center"/>
        <w:rPr>
          <w:rFonts w:ascii="Times New Roman" w:hAnsi="Times New Roman"/>
          <w:b/>
          <w:sz w:val="20"/>
        </w:rPr>
      </w:pPr>
      <w:r>
        <w:rPr>
          <w:rFonts w:ascii="Times New Roman" w:hAnsi="Times New Roman"/>
          <w:b/>
          <w:sz w:val="20"/>
        </w:rPr>
        <w:t xml:space="preserve">COMPLETE SOLARIA,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Unaudited Condensed Consolidated Balance Sheets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share and per share amounts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200"/>
        <w:gridCol w:w="120"/>
        <w:gridCol w:w="149"/>
        <w:gridCol w:w="936"/>
        <w:gridCol w:w="155"/>
        <w:gridCol w:w="60"/>
        <w:gridCol w:w="210"/>
        <w:gridCol w:w="1205"/>
        <w:gridCol w:w="170"/>
      </w:tblGrid>
      <w:tr>
        <w:trPr/>
        <w:tc>
          <w:tcPr>
            <w:tcW w:w="7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r>
          </w:p>
        </w:tc>
        <w:tc>
          <w:tcPr>
            <w:tcW w:w="170" w:type="dxa"/>
            <w:tcBorders/>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93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1,661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4,409</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Accounts receivable, net of allowance for credit losses of $10,425 and $5,396 as of October 1, 2023 and December 31, 2022, respectively</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26,003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27,717</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Inventories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12,503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13,059</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9,947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10,071</w:t>
            </w:r>
          </w:p>
        </w:tc>
        <w:tc>
          <w:tcPr>
            <w:tcW w:w="170" w:type="dxa"/>
            <w:tcBorders/>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9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50,114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55,256</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3,758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3,907</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4,185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3,476</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Operating lease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right-of-use</w:t>
            </w:r>
          </w:p>
          <w:p>
            <w:pPr>
              <w:pStyle w:val="TableContents"/>
              <w:bidi w:val="0"/>
              <w:spacing w:before="0" w:after="0"/>
              <w:jc w:val="left"/>
              <w:rPr>
                <w:rFonts w:ascii="Times New Roman" w:hAnsi="Times New Roman"/>
                <w:sz w:val="18"/>
              </w:rPr>
            </w:pPr>
            <w:r>
              <w:rPr>
                <w:rFonts w:ascii="Times New Roman" w:hAnsi="Times New Roman"/>
                <w:sz w:val="18"/>
              </w:rPr>
              <w:t>assets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1,465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2,182</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1,330</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Long-term assets held for sale – discontinued operations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12,299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162,032</w:t>
            </w:r>
          </w:p>
        </w:tc>
        <w:tc>
          <w:tcPr>
            <w:tcW w:w="170" w:type="dxa"/>
            <w:tcBorders/>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9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72,019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228,183</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9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Liabilities and stockholders’ (deficit) equity</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93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14,571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14,474</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26,674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19,830</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Notes payable, net</w:t>
            </w:r>
          </w:p>
          <w:p>
            <w:pPr>
              <w:pStyle w:val="TableContents"/>
              <w:bidi w:val="0"/>
              <w:spacing w:before="0" w:after="0"/>
              <w:jc w:val="left"/>
              <w:rPr>
                <w:rFonts w:ascii="Times New Roman" w:hAnsi="Times New Roman"/>
                <w:sz w:val="11"/>
              </w:rPr>
            </w:pPr>
            <w:r>
              <w:rPr>
                <w:rFonts w:ascii="Times New Roman" w:hAnsi="Times New Roman"/>
                <w:sz w:val="11"/>
              </w:rPr>
              <w:t>(1)</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27,934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20,403</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Deferred revenue, current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2,421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5,407</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Short-term debt with CS Solis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29,194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Forward purchase agreement liabilities</w:t>
            </w:r>
          </w:p>
          <w:p>
            <w:pPr>
              <w:pStyle w:val="TableContents"/>
              <w:bidi w:val="0"/>
              <w:spacing w:before="0" w:after="0"/>
              <w:jc w:val="left"/>
              <w:rPr>
                <w:rFonts w:ascii="Times New Roman" w:hAnsi="Times New Roman"/>
                <w:sz w:val="11"/>
              </w:rPr>
            </w:pPr>
            <w:r>
              <w:rPr>
                <w:rFonts w:ascii="Times New Roman" w:hAnsi="Times New Roman"/>
                <w:sz w:val="11"/>
              </w:rPr>
              <w:t>(2)</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9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107,380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60,114</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Warranty provision, noncurrent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3,416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3,214</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Warrant liability</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10,240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14,152</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Long-term debt with CS Solis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25,204</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Convertible notes, net, noncurrent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3,434</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Convertible notes due to related parties, noncurrent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15,510</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Deferred revenue, noncurrent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976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Operating lease liabilities, net of current portion</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790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1,274</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9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122,802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122,902</w:t>
            </w:r>
          </w:p>
        </w:tc>
        <w:tc>
          <w:tcPr>
            <w:tcW w:w="170" w:type="dxa"/>
            <w:tcBorders/>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9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Commitments and contingencies (Note 19)</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93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Stockholders’ (deficit) equity:</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Common stock, $0.0001 par value. 1,000,000,000 shares and 60,000,000 shares authorized at October 1, 2023 and December 31, 2022, respectively; 45,312,243 shares and 19,932,429 shares issued and outstanding at October 1, 2023 and December 31, 2022, respectively</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Additional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paid-in</w:t>
            </w:r>
          </w:p>
          <w:p>
            <w:pPr>
              <w:pStyle w:val="TableContents"/>
              <w:bidi w:val="0"/>
              <w:spacing w:before="0" w:after="0"/>
              <w:jc w:val="left"/>
              <w:rPr>
                <w:rFonts w:ascii="Times New Roman" w:hAnsi="Times New Roman"/>
                <w:sz w:val="18"/>
              </w:rPr>
            </w:pPr>
            <w:r>
              <w:rPr>
                <w:rFonts w:ascii="Times New Roman" w:hAnsi="Times New Roman"/>
                <w:sz w:val="18"/>
              </w:rPr>
              <w:t>capital</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276,438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190,624</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income</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(327,279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(85,373</w:t>
            </w:r>
          </w:p>
        </w:tc>
        <w:tc>
          <w:tcPr>
            <w:tcW w:w="170" w:type="dxa"/>
            <w:tcBorders/>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9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stockholders’ (deficit) equity</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(50,783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105,281</w:t>
            </w:r>
          </w:p>
        </w:tc>
        <w:tc>
          <w:tcPr>
            <w:tcW w:w="170" w:type="dxa"/>
            <w:tcBorders/>
            <w:shd w:fill="CCEEFF" w:val="clear"/>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9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 and stockholders’ deficit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72,019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228,183</w:t>
            </w:r>
          </w:p>
        </w:tc>
        <w:tc>
          <w:tcPr>
            <w:tcW w:w="170" w:type="dxa"/>
            <w:tcBorders/>
            <w:vAlign w:val="center"/>
          </w:tcPr>
          <w:p>
            <w:pPr>
              <w:pStyle w:val="TableContents"/>
              <w:bidi w:val="0"/>
              <w:spacing w:before="0" w:after="283"/>
              <w:jc w:val="left"/>
              <w:rPr/>
            </w:pPr>
            <w:r>
              <w:rPr/>
              <w:t> </w:t>
            </w:r>
          </w:p>
        </w:tc>
      </w:tr>
      <w:tr>
        <w:trPr/>
        <w:tc>
          <w:tcPr>
            <w:tcW w:w="7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9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8185" w:type="dxa"/>
        <w:jc w:val="left"/>
        <w:tblInd w:w="0" w:type="dxa"/>
        <w:tblLayout w:type="fixed"/>
        <w:tblCellMar>
          <w:top w:w="0" w:type="dxa"/>
          <w:left w:w="0" w:type="dxa"/>
          <w:bottom w:w="0" w:type="dxa"/>
          <w:right w:w="0" w:type="dxa"/>
        </w:tblCellMar>
      </w:tblPr>
      <w:tblGrid>
        <w:gridCol w:w="155"/>
        <w:gridCol w:w="8030"/>
      </w:tblGrid>
      <w:tr>
        <w:trPr/>
        <w:tc>
          <w:tcPr>
            <w:tcW w:w="155" w:type="dxa"/>
            <w:tcBorders/>
            <w:vAlign w:val="center"/>
          </w:tcPr>
          <w:p>
            <w:pPr>
              <w:pStyle w:val="TableContents"/>
              <w:bidi w:val="0"/>
              <w:spacing w:before="0" w:after="0"/>
              <w:jc w:val="left"/>
              <w:rPr>
                <w:sz w:val="11"/>
              </w:rPr>
            </w:pPr>
            <w:r>
              <w:rPr>
                <w:sz w:val="11"/>
              </w:rPr>
              <w:t>(1)</w:t>
            </w:r>
          </w:p>
          <w:p>
            <w:pPr>
              <w:pStyle w:val="TableContents"/>
              <w:bidi w:val="0"/>
              <w:spacing w:before="0" w:after="0"/>
              <w:jc w:val="left"/>
              <w:rPr/>
            </w:pPr>
            <w:r>
              <w:rPr/>
              <w:t> </w:t>
            </w:r>
          </w:p>
        </w:tc>
        <w:tc>
          <w:tcPr>
            <w:tcW w:w="80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$0.5 million and zero due to related parties as of October 1, 2023 and December 31, 2022, respectively. </w:t>
            </w:r>
          </w:p>
        </w:tc>
      </w:tr>
    </w:tbl>
    <w:tbl>
      <w:tblPr>
        <w:tblW w:w="9055" w:type="dxa"/>
        <w:jc w:val="left"/>
        <w:tblInd w:w="0" w:type="dxa"/>
        <w:tblLayout w:type="fixed"/>
        <w:tblCellMar>
          <w:top w:w="0" w:type="dxa"/>
          <w:left w:w="0" w:type="dxa"/>
          <w:bottom w:w="0" w:type="dxa"/>
          <w:right w:w="0" w:type="dxa"/>
        </w:tblCellMar>
      </w:tblPr>
      <w:tblGrid>
        <w:gridCol w:w="155"/>
        <w:gridCol w:w="8900"/>
      </w:tblGrid>
      <w:tr>
        <w:trPr/>
        <w:tc>
          <w:tcPr>
            <w:tcW w:w="155" w:type="dxa"/>
            <w:tcBorders/>
            <w:vAlign w:val="center"/>
          </w:tcPr>
          <w:p>
            <w:pPr>
              <w:pStyle w:val="TableContents"/>
              <w:bidi w:val="0"/>
              <w:spacing w:before="0" w:after="0"/>
              <w:jc w:val="left"/>
              <w:rPr>
                <w:sz w:val="11"/>
              </w:rPr>
            </w:pPr>
            <w:r>
              <w:rPr>
                <w:sz w:val="11"/>
              </w:rPr>
              <w:t>(2)</w:t>
            </w:r>
          </w:p>
          <w:p>
            <w:pPr>
              <w:pStyle w:val="TableContents"/>
              <w:bidi w:val="0"/>
              <w:spacing w:before="0" w:after="0"/>
              <w:jc w:val="left"/>
              <w:rPr/>
            </w:pPr>
            <w:r>
              <w:rPr/>
              <w:t> </w:t>
            </w:r>
          </w:p>
        </w:tc>
        <w:tc>
          <w:tcPr>
            <w:tcW w:w="89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$5.6 million and zero of liabilities due to related parties as of October 1, 2023 and December 31, 2022, respectively. </w:t>
            </w:r>
          </w:p>
        </w:tc>
      </w:tr>
    </w:tbl>
    <w:p>
      <w:pPr>
        <w:pStyle w:val="TextBody"/>
        <w:bidi w:val="0"/>
        <w:spacing w:before="240" w:after="0"/>
        <w:jc w:val="center"/>
        <w:rPr>
          <w:rFonts w:ascii="Times New Roman" w:hAnsi="Times New Roman"/>
          <w:sz w:val="18"/>
          <w:shd w:fill="FFFFFF" w:val="clear"/>
        </w:rPr>
      </w:pPr>
      <w:r>
        <w:rPr>
          <w:rFonts w:ascii="Times New Roman" w:hAnsi="Times New Roman"/>
          <w:sz w:val="18"/>
          <w:shd w:fill="FFFFFF" w:val="clear"/>
        </w:rPr>
        <w:t xml:space="preserve">The accompanying notes are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COMPLETE SOLARIA,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Unaudited Condensed Consolidated Statements of Operations and Comprehensive Income (Loss)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share and per share amounts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250"/>
        <w:gridCol w:w="120"/>
        <w:gridCol w:w="185"/>
        <w:gridCol w:w="1455"/>
        <w:gridCol w:w="155"/>
        <w:gridCol w:w="60"/>
        <w:gridCol w:w="166"/>
        <w:gridCol w:w="1309"/>
        <w:gridCol w:w="155"/>
        <w:gridCol w:w="60"/>
        <w:gridCol w:w="161"/>
        <w:gridCol w:w="1269"/>
        <w:gridCol w:w="155"/>
        <w:gridCol w:w="60"/>
        <w:gridCol w:w="166"/>
        <w:gridCol w:w="1309"/>
        <w:gridCol w:w="170"/>
      </w:tblGrid>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 Weeks</w:t>
              <w:br/>
              <w:t>Ended</w:t>
              <w:br/>
              <w:t>October 1,</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w:t>
              <w:br/>
              <w:t>September 30,</w:t>
              <w:b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w:t>
              <w:br/>
              <w:t>Weeks Ended</w:t>
              <w:br/>
              <w:t>October 1,</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w:t>
              <w:br/>
              <w:t>Ended</w:t>
              <w:br/>
              <w:t>September 30,</w:t>
              <w:br/>
              <w:t>2022</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Revenues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455" w:type="dxa"/>
            <w:tcBorders/>
            <w:shd w:fill="CCEEFF" w:val="clear"/>
            <w:vAlign w:val="center"/>
          </w:tcPr>
          <w:p>
            <w:pPr>
              <w:pStyle w:val="TableContents"/>
              <w:bidi w:val="0"/>
              <w:spacing w:before="0" w:after="283"/>
              <w:jc w:val="right"/>
              <w:rPr/>
            </w:pPr>
            <w:r>
              <w:rPr/>
              <w:t>24,590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12,260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66,887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48,974</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Cost of revenues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18,354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8,266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51,788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33,792</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Gross profit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6,236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3,994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15,099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15,182</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Operating expenses: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Sales commissions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8,755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3,572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23,221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15,694</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Sales and marketing</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2,214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1,604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5,216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4,607</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General and administrative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6,345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22,965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6,194</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operating expenses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17,314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7,203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51,402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26,495</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Loss from continuing operations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(11,078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(3,209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(36,303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(11,313</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Interest expense</w:t>
            </w:r>
          </w:p>
          <w:p>
            <w:pPr>
              <w:pStyle w:val="TableContents"/>
              <w:bidi w:val="0"/>
              <w:spacing w:before="0" w:after="0"/>
              <w:jc w:val="left"/>
              <w:rPr>
                <w:rFonts w:ascii="Times New Roman" w:hAnsi="Times New Roman"/>
                <w:sz w:val="11"/>
              </w:rPr>
            </w:pPr>
            <w:r>
              <w:rPr>
                <w:rFonts w:ascii="Times New Roman" w:hAnsi="Times New Roman"/>
                <w:sz w:val="11"/>
              </w:rPr>
              <w:t>(1)</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(1,902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(941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(8,870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(2,672</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Interest income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Other income (expense), net</w:t>
            </w:r>
          </w:p>
          <w:p>
            <w:pPr>
              <w:pStyle w:val="TableContents"/>
              <w:bidi w:val="0"/>
              <w:spacing w:before="0" w:after="0"/>
              <w:jc w:val="left"/>
              <w:rPr>
                <w:rFonts w:ascii="Times New Roman" w:hAnsi="Times New Roman"/>
                <w:sz w:val="11"/>
              </w:rPr>
            </w:pPr>
            <w:r>
              <w:rPr>
                <w:rFonts w:ascii="Times New Roman" w:hAnsi="Times New Roman"/>
                <w:sz w:val="11"/>
              </w:rPr>
              <w:t>(2)</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(38,003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(28,302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3,180</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Loss from continuing operations before income taxes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(50,974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(73,449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(10,805</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Income tax benefit (provision)</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loss from continuing operations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(50,973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(73,448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(10,809</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Discontinued operations (Note 8):</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(8,404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(20,953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Impairment loss from discontinued operations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(147,505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(147,505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loss from discontinued operations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(155,909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(168,458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455" w:type="dxa"/>
            <w:tcBorders/>
            <w:vAlign w:val="center"/>
          </w:tcPr>
          <w:p>
            <w:pPr>
              <w:pStyle w:val="TableContents"/>
              <w:bidi w:val="0"/>
              <w:spacing w:before="0" w:after="283"/>
              <w:jc w:val="right"/>
              <w:rPr/>
            </w:pPr>
            <w:r>
              <w:rPr/>
              <w:t>(206,882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(4,146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(241,906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(10,809</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Comprehensive income (loss):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4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Comprehensive income (loss), net of tax</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455" w:type="dxa"/>
            <w:tcBorders/>
            <w:shd w:fill="CCEEFF" w:val="clear"/>
            <w:vAlign w:val="center"/>
          </w:tcPr>
          <w:p>
            <w:pPr>
              <w:pStyle w:val="TableContents"/>
              <w:bidi w:val="0"/>
              <w:spacing w:before="0" w:after="283"/>
              <w:jc w:val="right"/>
              <w:rPr/>
            </w:pPr>
            <w:r>
              <w:rPr/>
              <w:t>(206,872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(4,146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(241,882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(10,809</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loss from continuing operations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455"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(4.33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(0.83</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loss from discontinued operations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455" w:type="dxa"/>
            <w:tcBorders/>
            <w:shd w:fill="CCEEFF" w:val="clear"/>
            <w:vAlign w:val="center"/>
          </w:tcPr>
          <w:p>
            <w:pPr>
              <w:pStyle w:val="TableContents"/>
              <w:bidi w:val="0"/>
              <w:spacing w:before="0" w:after="283"/>
              <w:jc w:val="right"/>
              <w:rPr/>
            </w:pPr>
            <w:r>
              <w:rPr/>
              <w:t>(3.92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(9.92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455" w:type="dxa"/>
            <w:tcBorders/>
            <w:vAlign w:val="center"/>
          </w:tcPr>
          <w:p>
            <w:pPr>
              <w:pStyle w:val="TableContents"/>
              <w:bidi w:val="0"/>
              <w:spacing w:before="0" w:after="283"/>
              <w:jc w:val="right"/>
              <w:rPr/>
            </w:pPr>
            <w:r>
              <w:rPr/>
              <w:t>(5.20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(14.25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(0.83</w:t>
            </w:r>
          </w:p>
        </w:tc>
        <w:tc>
          <w:tcPr>
            <w:tcW w:w="170" w:type="dxa"/>
            <w:tcBorders/>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2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Weighted-average shares used to compute 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39,821,078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13,431,410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16,969,979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13,053,367</w:t>
            </w:r>
          </w:p>
        </w:tc>
        <w:tc>
          <w:tcPr>
            <w:tcW w:w="170" w:type="dxa"/>
            <w:tcBorders/>
            <w:shd w:fill="CCEEFF" w:val="clear"/>
            <w:vAlign w:val="center"/>
          </w:tcPr>
          <w:p>
            <w:pPr>
              <w:pStyle w:val="TableContents"/>
              <w:bidi w:val="0"/>
              <w:spacing w:before="0" w:after="283"/>
              <w:jc w:val="left"/>
              <w:rPr/>
            </w:pPr>
            <w:r>
              <w:rPr/>
              <w:t> </w:t>
            </w:r>
          </w:p>
        </w:tc>
      </w:tr>
      <w:tr>
        <w:trPr/>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sz w:val="11"/>
              </w:rPr>
            </w:pPr>
            <w:r>
              <w:rPr>
                <w:sz w:val="11"/>
              </w:rPr>
              <w:t>(1)</w:t>
            </w:r>
          </w:p>
          <w:p>
            <w:pPr>
              <w:pStyle w:val="TableContents"/>
              <w:bidi w:val="0"/>
              <w:spacing w:before="0" w:after="0"/>
              <w:jc w:val="left"/>
              <w:rPr/>
            </w:pPr>
            <w:r>
              <w:rPr/>
              <w:t> </w:t>
            </w:r>
          </w:p>
        </w:tc>
        <w:tc>
          <w:tcPr>
            <w:tcW w:w="100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interest expense to related parties of less than $0.1 million and $0.4 million during the thirteen and thirty-nine weeks ended October 1, 2023, respectively, and zero and $0.1 million during the three and nine months ended September 30, 2022, respectively. </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sz w:val="11"/>
              </w:rPr>
            </w:pPr>
            <w:r>
              <w:rPr>
                <w:sz w:val="11"/>
              </w:rPr>
              <w:t>(2)</w:t>
            </w:r>
          </w:p>
          <w:p>
            <w:pPr>
              <w:pStyle w:val="TableContents"/>
              <w:bidi w:val="0"/>
              <w:spacing w:before="0" w:after="0"/>
              <w:jc w:val="left"/>
              <w:rPr/>
            </w:pPr>
            <w:r>
              <w:rPr/>
              <w:t> </w:t>
            </w:r>
          </w:p>
        </w:tc>
        <w:tc>
          <w:tcPr>
            <w:tcW w:w="1006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Other income (expense), net includes other expense, net to related parties of $36.9 million for each of the thirteen and thirty-nine weeks ended October 1, 2023, and other income, net of zero and $1.4 million during the three and nine months ended September 30, 2022, respectively. </w:t>
            </w:r>
          </w:p>
        </w:tc>
      </w:tr>
    </w:tbl>
    <w:p>
      <w:pPr>
        <w:pStyle w:val="TextBody"/>
        <w:bidi w:val="0"/>
        <w:spacing w:before="240" w:after="0"/>
        <w:jc w:val="center"/>
        <w:rPr>
          <w:rFonts w:ascii="Times New Roman" w:hAnsi="Times New Roman"/>
          <w:sz w:val="18"/>
          <w:shd w:fill="FFFFFF" w:val="clear"/>
        </w:rPr>
      </w:pPr>
      <w:r>
        <w:rPr>
          <w:rFonts w:ascii="Times New Roman" w:hAnsi="Times New Roman"/>
          <w:sz w:val="18"/>
          <w:shd w:fill="FFFFFF" w:val="clear"/>
        </w:rPr>
        <w:t xml:space="preserve">The accompanying notes are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COMPLETE SOLARIA,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Unaudited Condensed Consolidated Statements of Stockholders’ Deficit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number of shares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12605" w:type="dxa"/>
        <w:jc w:val="left"/>
        <w:tblInd w:w="0" w:type="dxa"/>
        <w:tblLayout w:type="fixed"/>
        <w:tblCellMar>
          <w:top w:w="0" w:type="dxa"/>
          <w:left w:w="0" w:type="dxa"/>
          <w:bottom w:w="0" w:type="dxa"/>
          <w:right w:w="0" w:type="dxa"/>
        </w:tblCellMar>
      </w:tblPr>
      <w:tblGrid>
        <w:gridCol w:w="1235"/>
        <w:gridCol w:w="60"/>
        <w:gridCol w:w="61"/>
        <w:gridCol w:w="1203"/>
        <w:gridCol w:w="158"/>
        <w:gridCol w:w="61"/>
        <w:gridCol w:w="143"/>
        <w:gridCol w:w="899"/>
        <w:gridCol w:w="155"/>
        <w:gridCol w:w="60"/>
        <w:gridCol w:w="60"/>
        <w:gridCol w:w="1100"/>
        <w:gridCol w:w="60"/>
        <w:gridCol w:w="60"/>
        <w:gridCol w:w="231"/>
        <w:gridCol w:w="629"/>
        <w:gridCol w:w="155"/>
        <w:gridCol w:w="60"/>
        <w:gridCol w:w="163"/>
        <w:gridCol w:w="937"/>
        <w:gridCol w:w="155"/>
        <w:gridCol w:w="60"/>
        <w:gridCol w:w="188"/>
        <w:gridCol w:w="1182"/>
        <w:gridCol w:w="155"/>
        <w:gridCol w:w="60"/>
        <w:gridCol w:w="433"/>
        <w:gridCol w:w="1177"/>
        <w:gridCol w:w="60"/>
        <w:gridCol w:w="60"/>
        <w:gridCol w:w="195"/>
        <w:gridCol w:w="1220"/>
        <w:gridCol w:w="17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0" w:type="dxa"/>
            <w:gridSpan w:val="3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 Week Period Ended October 1, 2023</w:t>
            </w:r>
          </w:p>
        </w:tc>
        <w:tc>
          <w:tcPr>
            <w:tcW w:w="17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 Convertible</w:t>
              <w:br/>
              <w:t>Preferred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br/>
              <w:t>(Deficit)</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0" w:type="dxa"/>
            <w:vMerge w:val="restart"/>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23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as of July 2, 2023, as previously reported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34,311,133</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jc w:val="right"/>
              <w:rPr/>
            </w:pPr>
            <w:r>
              <w:rPr/>
              <w:t>155,630</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7,089,948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37,096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(120,397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(83,260</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Retroactive application of recapitalization (Note 4)</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(34,311,133</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(155,630</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12,909,773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155,627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155,630</w:t>
            </w:r>
          </w:p>
        </w:tc>
        <w:tc>
          <w:tcPr>
            <w:tcW w:w="17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Balance as of July 2, 2023, as adjusted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19,999,721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192,723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(120,397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72,370</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Conversion of 2022 Convertible Notes into common stock</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5,460,075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40,950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40,952</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upon the reverse capitalization, net of offering costs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13,458,293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5,218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5,220</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Reclassification of prepaid PIPE</w:t>
            </w:r>
          </w:p>
          <w:p>
            <w:pPr>
              <w:pStyle w:val="TableContents"/>
              <w:bidi w:val="0"/>
              <w:spacing w:before="0" w:after="0"/>
              <w:jc w:val="left"/>
              <w:rPr>
                <w:rFonts w:ascii="Times New Roman" w:hAnsi="Times New Roman"/>
                <w:sz w:val="11"/>
              </w:rPr>
            </w:pPr>
            <w:r>
              <w:rPr>
                <w:rFonts w:ascii="Times New Roman" w:hAnsi="Times New Roman"/>
                <w:sz w:val="11"/>
              </w:rPr>
              <w:t>(2)</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3,500</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Reclassification of warrant liabilities to equity</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4,697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4,697</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Reclassification of Legacy Complete Solaria common stock into Complete Solaria Common Stock</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in connection with forward purchase agreements</w:t>
            </w:r>
          </w:p>
          <w:p>
            <w:pPr>
              <w:pStyle w:val="TableContents"/>
              <w:bidi w:val="0"/>
              <w:spacing w:before="0" w:after="0"/>
              <w:jc w:val="left"/>
              <w:rPr>
                <w:rFonts w:ascii="Times New Roman" w:hAnsi="Times New Roman"/>
                <w:sz w:val="11"/>
              </w:rPr>
            </w:pPr>
            <w:r>
              <w:rPr>
                <w:rFonts w:ascii="Times New Roman" w:hAnsi="Times New Roman"/>
                <w:sz w:val="11"/>
              </w:rPr>
              <w:t>(3)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5,558,488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35,489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35,490</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bonus shares in connection with Mergers</w:t>
            </w:r>
          </w:p>
          <w:p>
            <w:pPr>
              <w:pStyle w:val="TableContents"/>
              <w:bidi w:val="0"/>
              <w:spacing w:before="0" w:after="0"/>
              <w:jc w:val="left"/>
              <w:rPr>
                <w:rFonts w:ascii="Times New Roman" w:hAnsi="Times New Roman"/>
                <w:sz w:val="11"/>
              </w:rPr>
            </w:pPr>
            <w:r>
              <w:rPr>
                <w:rFonts w:ascii="Times New Roman" w:hAnsi="Times New Roman"/>
                <w:sz w:val="11"/>
              </w:rPr>
              <w:t>(4)</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463,976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2,394</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Residual Mergers proceeds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Modification of Carlyle warrant</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(10,862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(10,862</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2,114</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Vesting of restricted stock units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21,690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52</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(206,882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(206,882</w:t>
            </w:r>
          </w:p>
        </w:tc>
        <w:tc>
          <w:tcPr>
            <w:tcW w:w="17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as of October 1, 2023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45,312,243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276,438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(327,279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(50,783</w:t>
            </w:r>
          </w:p>
        </w:tc>
        <w:tc>
          <w:tcPr>
            <w:tcW w:w="17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03" w:type="dxa"/>
            <w:tcBorders/>
            <w:vAlign w:val="center"/>
          </w:tcPr>
          <w:p>
            <w:pPr>
              <w:pStyle w:val="TableContents"/>
              <w:bidi w:val="0"/>
              <w:spacing w:before="0" w:after="0"/>
              <w:jc w:val="left"/>
              <w:rPr>
                <w:bdr w:val="double" w:sz="6" w:space="1" w:color="000000"/>
              </w:rPr>
            </w:pPr>
            <w:r>
              <w:rPr>
                <w:bdr w:val="double" w:sz="6"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89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double" w:sz="6" w:space="1" w:color="000000"/>
              </w:rPr>
            </w:pPr>
            <w:r>
              <w:rPr>
                <w:bdr w:val="double" w:sz="6" w:space="1" w:color="000000"/>
              </w:rPr>
              <w:t> </w:t>
            </w:r>
          </w:p>
        </w:tc>
        <w:tc>
          <w:tcPr>
            <w:tcW w:w="117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18"/>
          <w:shd w:fill="FFFFFF" w:val="clear"/>
        </w:rPr>
      </w:pPr>
      <w:r>
        <w:rPr>
          <w:rFonts w:ascii="Times New Roman" w:hAnsi="Times New Roman"/>
          <w:sz w:val="18"/>
          <w:shd w:fill="FFFFFF" w:val="clear"/>
        </w:rPr>
        <w:t xml:space="preserve">The accompanying notes are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COMPLETE SOLARIA,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Unaudited Condensed Consolidated Statements of Stockholders’ Deficit (continued)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number of shares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12650" w:type="dxa"/>
        <w:jc w:val="left"/>
        <w:tblInd w:w="0" w:type="dxa"/>
        <w:tblLayout w:type="fixed"/>
        <w:tblCellMar>
          <w:top w:w="0" w:type="dxa"/>
          <w:left w:w="0" w:type="dxa"/>
          <w:bottom w:w="0" w:type="dxa"/>
          <w:right w:w="0" w:type="dxa"/>
        </w:tblCellMar>
      </w:tblPr>
      <w:tblGrid>
        <w:gridCol w:w="1280"/>
        <w:gridCol w:w="60"/>
        <w:gridCol w:w="61"/>
        <w:gridCol w:w="1203"/>
        <w:gridCol w:w="158"/>
        <w:gridCol w:w="61"/>
        <w:gridCol w:w="143"/>
        <w:gridCol w:w="899"/>
        <w:gridCol w:w="155"/>
        <w:gridCol w:w="60"/>
        <w:gridCol w:w="60"/>
        <w:gridCol w:w="1100"/>
        <w:gridCol w:w="60"/>
        <w:gridCol w:w="60"/>
        <w:gridCol w:w="231"/>
        <w:gridCol w:w="629"/>
        <w:gridCol w:w="155"/>
        <w:gridCol w:w="60"/>
        <w:gridCol w:w="163"/>
        <w:gridCol w:w="937"/>
        <w:gridCol w:w="155"/>
        <w:gridCol w:w="60"/>
        <w:gridCol w:w="188"/>
        <w:gridCol w:w="1182"/>
        <w:gridCol w:w="155"/>
        <w:gridCol w:w="60"/>
        <w:gridCol w:w="433"/>
        <w:gridCol w:w="1177"/>
        <w:gridCol w:w="60"/>
        <w:gridCol w:w="60"/>
        <w:gridCol w:w="195"/>
        <w:gridCol w:w="1220"/>
        <w:gridCol w:w="170"/>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0" w:type="dxa"/>
            <w:gridSpan w:val="3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 Week Period Ended October 1, 2023</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 Convertible</w:t>
              <w:br/>
              <w:t>Preferred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br/>
              <w:t>(Deficit)</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0" w:type="dxa"/>
            <w:vMerge w:val="restart"/>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28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as of December 31, 2022, as previously reported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34,311,133</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jc w:val="right"/>
              <w:rPr/>
            </w:pPr>
            <w:r>
              <w:rPr/>
              <w:t>155,630</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6,959,618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0"/>
              <w:jc w:val="left"/>
              <w:rPr>
                <w:rFonts w:ascii="Times New Roman" w:hAnsi="Times New Roman"/>
                <w:sz w:val="18"/>
              </w:rPr>
            </w:pPr>
            <w:r>
              <w:rPr>
                <w:rFonts w:ascii="Times New Roman" w:hAnsi="Times New Roman"/>
                <w:sz w:val="18"/>
              </w:rPr>
              <w:t>$</w:t>
            </w:r>
          </w:p>
        </w:tc>
        <w:tc>
          <w:tcPr>
            <w:tcW w:w="629" w:type="dxa"/>
            <w:tcBorders/>
            <w:shd w:fill="CCEEFF" w:val="clear"/>
            <w:vAlign w:val="center"/>
          </w:tcPr>
          <w:p>
            <w:pPr>
              <w:pStyle w:val="TableContents"/>
              <w:bidi w:val="0"/>
              <w:spacing w:before="0" w:after="20"/>
              <w:jc w:val="right"/>
              <w:rPr/>
            </w:pPr>
            <w:r>
              <w:rPr/>
              <w:t>—  </w:t>
            </w:r>
          </w:p>
        </w:tc>
        <w:tc>
          <w:tcPr>
            <w:tcW w:w="155" w:type="dxa"/>
            <w:tcBorders/>
            <w:shd w:fill="CCEEFF" w:val="clear"/>
            <w:vAlign w:val="center"/>
          </w:tcPr>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34,997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(85,373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(50,349</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Retroactive application of recapitalization (Note 4)</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(34,311,133</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(155,630</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12,972,811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155,627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155,630</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Balance as of December 31, 2022, as adjusted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19,932,429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190,624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(85,373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105,281</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Conversion of 2022 Convertible Notes into common stock</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5,460,075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40,950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40,952</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upon the reverse capitalization, net of offering costs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13,458,293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5,218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5,220</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Reclassification of prepaid PIPE</w:t>
            </w:r>
          </w:p>
          <w:p>
            <w:pPr>
              <w:pStyle w:val="TableContents"/>
              <w:bidi w:val="0"/>
              <w:spacing w:before="0" w:after="0"/>
              <w:jc w:val="left"/>
              <w:rPr>
                <w:rFonts w:ascii="Times New Roman" w:hAnsi="Times New Roman"/>
                <w:sz w:val="11"/>
              </w:rPr>
            </w:pPr>
            <w:r>
              <w:rPr>
                <w:rFonts w:ascii="Times New Roman" w:hAnsi="Times New Roman"/>
                <w:sz w:val="11"/>
              </w:rPr>
              <w:t>(2)</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3,500</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Reclassification of warrant liabilities to equity</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4,697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4,697</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Reclassification of Legacy Complete Solaria common stock into Complete Solaria Common Stock</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in connection with forward purchase agreements</w:t>
            </w:r>
          </w:p>
          <w:p>
            <w:pPr>
              <w:pStyle w:val="TableContents"/>
              <w:bidi w:val="0"/>
              <w:spacing w:before="0" w:after="0"/>
              <w:jc w:val="left"/>
              <w:rPr>
                <w:rFonts w:ascii="Times New Roman" w:hAnsi="Times New Roman"/>
                <w:sz w:val="11"/>
              </w:rPr>
            </w:pPr>
            <w:r>
              <w:rPr>
                <w:rFonts w:ascii="Times New Roman" w:hAnsi="Times New Roman"/>
                <w:sz w:val="11"/>
              </w:rPr>
              <w:t>(3)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5,558,488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35,489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35,490</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bonus shares in connection with Mergers</w:t>
            </w:r>
          </w:p>
          <w:p>
            <w:pPr>
              <w:pStyle w:val="TableContents"/>
              <w:bidi w:val="0"/>
              <w:spacing w:before="0" w:after="0"/>
              <w:jc w:val="left"/>
              <w:rPr>
                <w:rFonts w:ascii="Times New Roman" w:hAnsi="Times New Roman"/>
                <w:sz w:val="11"/>
              </w:rPr>
            </w:pPr>
            <w:r>
              <w:rPr>
                <w:rFonts w:ascii="Times New Roman" w:hAnsi="Times New Roman"/>
                <w:sz w:val="11"/>
              </w:rPr>
              <w:t>(4)</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463,976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2,394</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Residual Mergers proceeds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Modification of Carlyle warrant</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(10,862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(10,862</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Exercise of common stock options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57</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4,156</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52</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Foreign currency translation</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(241,906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(241,906</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as of October 1, 2023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89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45,312,243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276,438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(327,279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283"/>
              <w:jc w:val="right"/>
              <w:rPr/>
            </w:pPr>
            <w:r>
              <w:rPr/>
              <w:t>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(50,783</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03" w:type="dxa"/>
            <w:tcBorders/>
            <w:vAlign w:val="center"/>
          </w:tcPr>
          <w:p>
            <w:pPr>
              <w:pStyle w:val="TableContents"/>
              <w:bidi w:val="0"/>
              <w:spacing w:before="0" w:after="0"/>
              <w:jc w:val="left"/>
              <w:rPr>
                <w:bdr w:val="double" w:sz="6" w:space="1" w:color="000000"/>
              </w:rPr>
            </w:pPr>
            <w:r>
              <w:rPr>
                <w:bdr w:val="double" w:sz="6"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89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double" w:sz="6" w:space="1" w:color="000000"/>
              </w:rPr>
            </w:pPr>
            <w:r>
              <w:rPr>
                <w:bdr w:val="double" w:sz="6" w:space="1" w:color="000000"/>
              </w:rPr>
              <w:t> </w:t>
            </w:r>
          </w:p>
        </w:tc>
        <w:tc>
          <w:tcPr>
            <w:tcW w:w="117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18"/>
          <w:shd w:fill="FFFFFF" w:val="clear"/>
        </w:rPr>
      </w:pPr>
      <w:r>
        <w:rPr>
          <w:rFonts w:ascii="Times New Roman" w:hAnsi="Times New Roman"/>
          <w:sz w:val="18"/>
          <w:shd w:fill="FFFFFF" w:val="clear"/>
        </w:rPr>
        <w:t xml:space="preserve">The accompanying notes are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COMPLETE SOLARIA,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Unaudited Condensed Consolidated Statements of Stockholders’ Deficit (continued)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number of shares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12460" w:type="dxa"/>
        <w:jc w:val="left"/>
        <w:tblInd w:w="0" w:type="dxa"/>
        <w:tblLayout w:type="fixed"/>
        <w:tblCellMar>
          <w:top w:w="0" w:type="dxa"/>
          <w:left w:w="0" w:type="dxa"/>
          <w:bottom w:w="0" w:type="dxa"/>
          <w:right w:w="0" w:type="dxa"/>
        </w:tblCellMar>
      </w:tblPr>
      <w:tblGrid>
        <w:gridCol w:w="1280"/>
        <w:gridCol w:w="60"/>
        <w:gridCol w:w="64"/>
        <w:gridCol w:w="1265"/>
        <w:gridCol w:w="166"/>
        <w:gridCol w:w="64"/>
        <w:gridCol w:w="150"/>
        <w:gridCol w:w="816"/>
        <w:gridCol w:w="155"/>
        <w:gridCol w:w="60"/>
        <w:gridCol w:w="60"/>
        <w:gridCol w:w="1100"/>
        <w:gridCol w:w="60"/>
        <w:gridCol w:w="60"/>
        <w:gridCol w:w="231"/>
        <w:gridCol w:w="629"/>
        <w:gridCol w:w="60"/>
        <w:gridCol w:w="60"/>
        <w:gridCol w:w="187"/>
        <w:gridCol w:w="913"/>
        <w:gridCol w:w="60"/>
        <w:gridCol w:w="60"/>
        <w:gridCol w:w="214"/>
        <w:gridCol w:w="1156"/>
        <w:gridCol w:w="155"/>
        <w:gridCol w:w="60"/>
        <w:gridCol w:w="433"/>
        <w:gridCol w:w="1177"/>
        <w:gridCol w:w="60"/>
        <w:gridCol w:w="60"/>
        <w:gridCol w:w="221"/>
        <w:gridCol w:w="1194"/>
        <w:gridCol w:w="170"/>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50" w:type="dxa"/>
            <w:gridSpan w:val="3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 Period Ended September 30, 2022</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 Convertible</w:t>
              <w:br/>
              <w:t>Preferred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br/>
              <w:t>(Deficit)</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0" w:type="dxa"/>
            <w:vMerge w:val="restart"/>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28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as of June 30, 2022, as previously reported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19,335,921</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42,959</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3,931,068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6,703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(62,559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(55,856</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Retroactive application of recapitalization (Note 4)</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(19,335,921</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(42,959</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7,306,130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42,958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42,959</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81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Balance as of June 30, 2022, as adjusted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11,237,198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49,661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(62,559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(12,897</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Exercise of common stock options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9</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85</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(4,146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(4,146</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81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as of September 30, 2022, as adjusted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11,248,065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49,755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(66,705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(16,949</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double" w:sz="6" w:space="1" w:color="000000"/>
              </w:rPr>
            </w:pPr>
            <w:r>
              <w:rPr>
                <w:bdr w:val="double" w:sz="6" w:space="1" w:color="000000"/>
              </w:rPr>
              <w:t> </w:t>
            </w:r>
          </w:p>
        </w:tc>
        <w:tc>
          <w:tcPr>
            <w:tcW w:w="1265" w:type="dxa"/>
            <w:tcBorders/>
            <w:vAlign w:val="center"/>
          </w:tcPr>
          <w:p>
            <w:pPr>
              <w:pStyle w:val="TableContents"/>
              <w:bidi w:val="0"/>
              <w:spacing w:before="0" w:after="0"/>
              <w:jc w:val="left"/>
              <w:rPr>
                <w:bdr w:val="double" w:sz="6" w:space="1" w:color="000000"/>
              </w:rPr>
            </w:pPr>
            <w:r>
              <w:rPr>
                <w:bdr w:val="double" w:sz="6"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double" w:sz="6" w:space="1" w:color="000000"/>
              </w:rPr>
            </w:pPr>
            <w:r>
              <w:rPr>
                <w:bdr w:val="double" w:sz="6" w:space="1" w:color="000000"/>
              </w:rPr>
              <w:t> </w:t>
            </w:r>
          </w:p>
        </w:tc>
        <w:tc>
          <w:tcPr>
            <w:tcW w:w="81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11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double" w:sz="6" w:space="1" w:color="000000"/>
              </w:rPr>
            </w:pPr>
            <w:r>
              <w:rPr>
                <w:bdr w:val="double" w:sz="6" w:space="1" w:color="000000"/>
              </w:rPr>
              <w:t> </w:t>
            </w:r>
          </w:p>
        </w:tc>
        <w:tc>
          <w:tcPr>
            <w:tcW w:w="117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18"/>
          <w:shd w:fill="FFFFFF" w:val="clear"/>
        </w:rPr>
      </w:pPr>
      <w:r>
        <w:rPr>
          <w:rFonts w:ascii="Times New Roman" w:hAnsi="Times New Roman"/>
          <w:sz w:val="18"/>
          <w:shd w:fill="FFFFFF" w:val="clear"/>
        </w:rPr>
        <w:t xml:space="preserve">The accompanying notes are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COMPLETE SOLARIA,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Unaudited Condensed Consolidated Statements of Stockholders’ Deficit (continued)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number of shares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12520" w:type="dxa"/>
        <w:jc w:val="left"/>
        <w:tblInd w:w="0" w:type="dxa"/>
        <w:tblLayout w:type="fixed"/>
        <w:tblCellMar>
          <w:top w:w="0" w:type="dxa"/>
          <w:left w:w="0" w:type="dxa"/>
          <w:bottom w:w="0" w:type="dxa"/>
          <w:right w:w="0" w:type="dxa"/>
        </w:tblCellMar>
      </w:tblPr>
      <w:tblGrid>
        <w:gridCol w:w="1520"/>
        <w:gridCol w:w="60"/>
        <w:gridCol w:w="60"/>
        <w:gridCol w:w="1175"/>
        <w:gridCol w:w="155"/>
        <w:gridCol w:w="60"/>
        <w:gridCol w:w="140"/>
        <w:gridCol w:w="755"/>
        <w:gridCol w:w="155"/>
        <w:gridCol w:w="60"/>
        <w:gridCol w:w="60"/>
        <w:gridCol w:w="1100"/>
        <w:gridCol w:w="60"/>
        <w:gridCol w:w="60"/>
        <w:gridCol w:w="231"/>
        <w:gridCol w:w="629"/>
        <w:gridCol w:w="60"/>
        <w:gridCol w:w="60"/>
        <w:gridCol w:w="187"/>
        <w:gridCol w:w="913"/>
        <w:gridCol w:w="60"/>
        <w:gridCol w:w="60"/>
        <w:gridCol w:w="214"/>
        <w:gridCol w:w="1156"/>
        <w:gridCol w:w="155"/>
        <w:gridCol w:w="60"/>
        <w:gridCol w:w="433"/>
        <w:gridCol w:w="1177"/>
        <w:gridCol w:w="60"/>
        <w:gridCol w:w="60"/>
        <w:gridCol w:w="221"/>
        <w:gridCol w:w="1194"/>
        <w:gridCol w:w="17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70" w:type="dxa"/>
            <w:gridSpan w:val="3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 Period Ended September 30, 2022</w:t>
            </w:r>
          </w:p>
        </w:tc>
        <w:tc>
          <w:tcPr>
            <w:tcW w:w="17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 Convertible</w:t>
              <w:br/>
              <w:t>Preferred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br/>
              <w:t>(Deficit)</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0" w:type="dxa"/>
            <w:vMerge w:val="restart"/>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52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as of December 31, 2021, as previously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16,564,370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31,401</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3,739,572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(55,896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(52,791</w:t>
            </w:r>
          </w:p>
        </w:tc>
        <w:tc>
          <w:tcPr>
            <w:tcW w:w="170"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Retroactive application of recapitalization (Note 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(16,564,370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(31,401</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6,066,571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31,400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31,401</w:t>
            </w:r>
          </w:p>
        </w:tc>
        <w:tc>
          <w:tcPr>
            <w:tcW w:w="17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Balance at December 31, 2021, as adjusted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9,806,143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34,505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(55,896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(21,390</w:t>
            </w:r>
          </w:p>
        </w:tc>
        <w:tc>
          <w:tcPr>
            <w:tcW w:w="170"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Issuance of Series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D-1,</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D-2,</w:t>
            </w:r>
          </w:p>
          <w:p>
            <w:pPr>
              <w:pStyle w:val="TableContents"/>
              <w:bidi w:val="0"/>
              <w:spacing w:before="0" w:after="0"/>
              <w:jc w:val="left"/>
              <w:rPr>
                <w:rFonts w:ascii="Times New Roman" w:hAnsi="Times New Roman"/>
                <w:sz w:val="18"/>
              </w:rPr>
            </w:pPr>
            <w:r>
              <w:rPr>
                <w:rFonts w:ascii="Times New Roman" w:hAnsi="Times New Roman"/>
                <w:sz w:val="18"/>
              </w:rPr>
              <w:t xml:space="preserve">and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D-3</w:t>
            </w:r>
          </w:p>
          <w:p>
            <w:pPr>
              <w:pStyle w:val="TableContents"/>
              <w:bidi w:val="0"/>
              <w:spacing w:before="0" w:after="0"/>
              <w:jc w:val="left"/>
              <w:rPr>
                <w:rFonts w:ascii="Times New Roman" w:hAnsi="Times New Roman"/>
                <w:sz w:val="18"/>
              </w:rPr>
            </w:pPr>
            <w:r>
              <w:rPr>
                <w:rFonts w:ascii="Times New Roman" w:hAnsi="Times New Roman"/>
                <w:sz w:val="18"/>
              </w:rPr>
              <w:t>redeemable convertible preferred stock upon conversion of convertible notes and SAFEs</w:t>
            </w:r>
          </w:p>
          <w:p>
            <w:pPr>
              <w:pStyle w:val="TableContents"/>
              <w:bidi w:val="0"/>
              <w:spacing w:before="0" w:after="0"/>
              <w:jc w:val="left"/>
              <w:rPr>
                <w:rFonts w:ascii="Times New Roman" w:hAnsi="Times New Roman"/>
                <w:sz w:val="11"/>
              </w:rPr>
            </w:pPr>
            <w:r>
              <w:rPr>
                <w:rFonts w:ascii="Times New Roman" w:hAnsi="Times New Roman"/>
                <w:sz w:val="11"/>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2,771,551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11,558</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3,447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3,447</w:t>
            </w:r>
          </w:p>
        </w:tc>
        <w:tc>
          <w:tcPr>
            <w:tcW w:w="17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217</w:t>
            </w:r>
          </w:p>
        </w:tc>
        <w:tc>
          <w:tcPr>
            <w:tcW w:w="170"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(10,809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(10,809</w:t>
            </w:r>
          </w:p>
        </w:tc>
        <w:tc>
          <w:tcPr>
            <w:tcW w:w="17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Balance as of September 30, 2022, as previously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2,771,551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11,558</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9,909,496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38,197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(66,705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(28,507</w:t>
            </w:r>
          </w:p>
        </w:tc>
        <w:tc>
          <w:tcPr>
            <w:tcW w:w="170"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Retroactive application of recapitalization (Note 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(2,771,551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(11,558</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1,338,569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11,558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11,558</w:t>
            </w:r>
          </w:p>
        </w:tc>
        <w:tc>
          <w:tcPr>
            <w:tcW w:w="17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as of September 30, 2022, as adjusted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11,248,065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49,755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(66,705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(16,949</w:t>
            </w:r>
          </w:p>
        </w:tc>
        <w:tc>
          <w:tcPr>
            <w:tcW w:w="170"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11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double" w:sz="6" w:space="1" w:color="000000"/>
              </w:rPr>
            </w:pPr>
            <w:r>
              <w:rPr>
                <w:bdr w:val="double" w:sz="6" w:space="1" w:color="000000"/>
              </w:rPr>
              <w:t> </w:t>
            </w:r>
          </w:p>
        </w:tc>
        <w:tc>
          <w:tcPr>
            <w:tcW w:w="117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7375" w:type="dxa"/>
        <w:jc w:val="left"/>
        <w:tblInd w:w="0" w:type="dxa"/>
        <w:tblLayout w:type="fixed"/>
        <w:tblCellMar>
          <w:top w:w="0" w:type="dxa"/>
          <w:left w:w="0" w:type="dxa"/>
          <w:bottom w:w="0" w:type="dxa"/>
          <w:right w:w="0" w:type="dxa"/>
        </w:tblCellMar>
      </w:tblPr>
      <w:tblGrid>
        <w:gridCol w:w="155"/>
        <w:gridCol w:w="7220"/>
      </w:tblGrid>
      <w:tr>
        <w:trPr/>
        <w:tc>
          <w:tcPr>
            <w:tcW w:w="155" w:type="dxa"/>
            <w:tcBorders/>
            <w:vAlign w:val="center"/>
          </w:tcPr>
          <w:p>
            <w:pPr>
              <w:pStyle w:val="TableContents"/>
              <w:bidi w:val="0"/>
              <w:spacing w:before="0" w:after="0"/>
              <w:jc w:val="left"/>
              <w:rPr>
                <w:sz w:val="11"/>
              </w:rPr>
            </w:pPr>
            <w:r>
              <w:rPr>
                <w:sz w:val="11"/>
              </w:rPr>
              <w:t>(1)</w:t>
            </w:r>
          </w:p>
          <w:p>
            <w:pPr>
              <w:pStyle w:val="TableContents"/>
              <w:bidi w:val="0"/>
              <w:spacing w:before="0" w:after="0"/>
              <w:jc w:val="left"/>
              <w:rPr/>
            </w:pPr>
            <w:r>
              <w:rPr/>
              <w:t> </w:t>
            </w:r>
          </w:p>
        </w:tc>
        <w:tc>
          <w:tcPr>
            <w:tcW w:w="72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1,315,287 shares of Series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D-1</w:t>
            </w:r>
          </w:p>
          <w:p>
            <w:pPr>
              <w:pStyle w:val="TableContents"/>
              <w:bidi w:val="0"/>
              <w:spacing w:before="0" w:after="0"/>
              <w:jc w:val="left"/>
              <w:rPr>
                <w:rFonts w:ascii="Times New Roman" w:hAnsi="Times New Roman"/>
                <w:sz w:val="18"/>
              </w:rPr>
            </w:pPr>
            <w:r>
              <w:rPr>
                <w:rFonts w:ascii="Times New Roman" w:hAnsi="Times New Roman"/>
                <w:sz w:val="18"/>
              </w:rPr>
              <w:t xml:space="preserve">redeemable convertible preferred stock with a carrying value of $6.3 million, issued to related parties. </w:t>
            </w:r>
          </w:p>
        </w:tc>
      </w:tr>
    </w:tbl>
    <w:tbl>
      <w:tblPr>
        <w:tblW w:w="3130" w:type="dxa"/>
        <w:jc w:val="left"/>
        <w:tblInd w:w="0" w:type="dxa"/>
        <w:tblLayout w:type="fixed"/>
        <w:tblCellMar>
          <w:top w:w="0" w:type="dxa"/>
          <w:left w:w="0" w:type="dxa"/>
          <w:bottom w:w="0" w:type="dxa"/>
          <w:right w:w="0" w:type="dxa"/>
        </w:tblCellMar>
      </w:tblPr>
      <w:tblGrid>
        <w:gridCol w:w="155"/>
        <w:gridCol w:w="2975"/>
      </w:tblGrid>
      <w:tr>
        <w:trPr/>
        <w:tc>
          <w:tcPr>
            <w:tcW w:w="155" w:type="dxa"/>
            <w:tcBorders/>
            <w:vAlign w:val="center"/>
          </w:tcPr>
          <w:p>
            <w:pPr>
              <w:pStyle w:val="TableContents"/>
              <w:bidi w:val="0"/>
              <w:spacing w:before="0" w:after="0"/>
              <w:jc w:val="left"/>
              <w:rPr>
                <w:sz w:val="11"/>
              </w:rPr>
            </w:pPr>
            <w:r>
              <w:rPr>
                <w:sz w:val="11"/>
              </w:rPr>
              <w:t>(2)</w:t>
            </w:r>
          </w:p>
          <w:p>
            <w:pPr>
              <w:pStyle w:val="TableContents"/>
              <w:bidi w:val="0"/>
              <w:spacing w:before="0" w:after="0"/>
              <w:jc w:val="left"/>
              <w:rPr/>
            </w:pPr>
            <w:r>
              <w:rPr/>
              <w:t> </w:t>
            </w:r>
          </w:p>
        </w:tc>
        <w:tc>
          <w:tcPr>
            <w:tcW w:w="297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Reclassification of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pre-funded</w:t>
            </w:r>
          </w:p>
          <w:p>
            <w:pPr>
              <w:pStyle w:val="TableContents"/>
              <w:bidi w:val="0"/>
              <w:spacing w:before="0" w:after="0"/>
              <w:jc w:val="left"/>
              <w:rPr>
                <w:rFonts w:ascii="Times New Roman" w:hAnsi="Times New Roman"/>
                <w:sz w:val="18"/>
              </w:rPr>
            </w:pPr>
            <w:r>
              <w:rPr>
                <w:rFonts w:ascii="Times New Roman" w:hAnsi="Times New Roman"/>
                <w:sz w:val="18"/>
              </w:rPr>
              <w:t xml:space="preserve">PIPE was transacted with a related party. </w:t>
            </w:r>
          </w:p>
        </w:tc>
      </w:tr>
    </w:tbl>
    <w:tbl>
      <w:tblPr>
        <w:tblW w:w="6445" w:type="dxa"/>
        <w:jc w:val="left"/>
        <w:tblInd w:w="0" w:type="dxa"/>
        <w:tblLayout w:type="fixed"/>
        <w:tblCellMar>
          <w:top w:w="0" w:type="dxa"/>
          <w:left w:w="0" w:type="dxa"/>
          <w:bottom w:w="0" w:type="dxa"/>
          <w:right w:w="0" w:type="dxa"/>
        </w:tblCellMar>
      </w:tblPr>
      <w:tblGrid>
        <w:gridCol w:w="155"/>
        <w:gridCol w:w="6290"/>
      </w:tblGrid>
      <w:tr>
        <w:trPr/>
        <w:tc>
          <w:tcPr>
            <w:tcW w:w="155" w:type="dxa"/>
            <w:tcBorders/>
            <w:vAlign w:val="center"/>
          </w:tcPr>
          <w:p>
            <w:pPr>
              <w:pStyle w:val="TableContents"/>
              <w:bidi w:val="0"/>
              <w:spacing w:before="0" w:after="0"/>
              <w:jc w:val="left"/>
              <w:rPr>
                <w:sz w:val="11"/>
              </w:rPr>
            </w:pPr>
            <w:r>
              <w:rPr>
                <w:sz w:val="11"/>
              </w:rPr>
              <w:t>(3)</w:t>
            </w:r>
          </w:p>
          <w:p>
            <w:pPr>
              <w:pStyle w:val="TableContents"/>
              <w:bidi w:val="0"/>
              <w:spacing w:before="0" w:after="0"/>
              <w:jc w:val="left"/>
              <w:rPr/>
            </w:pPr>
            <w:r>
              <w:rPr/>
              <w:t> </w:t>
            </w:r>
          </w:p>
        </w:tc>
        <w:tc>
          <w:tcPr>
            <w:tcW w:w="62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4,508,488 shares of Complete Solaria Common Stock issued to related parties. </w:t>
            </w:r>
          </w:p>
        </w:tc>
      </w:tr>
    </w:tbl>
    <w:tbl>
      <w:tblPr>
        <w:tblW w:w="6310" w:type="dxa"/>
        <w:jc w:val="left"/>
        <w:tblInd w:w="0" w:type="dxa"/>
        <w:tblLayout w:type="fixed"/>
        <w:tblCellMar>
          <w:top w:w="0" w:type="dxa"/>
          <w:left w:w="0" w:type="dxa"/>
          <w:bottom w:w="0" w:type="dxa"/>
          <w:right w:w="0" w:type="dxa"/>
        </w:tblCellMar>
      </w:tblPr>
      <w:tblGrid>
        <w:gridCol w:w="155"/>
        <w:gridCol w:w="6155"/>
      </w:tblGrid>
      <w:tr>
        <w:trPr/>
        <w:tc>
          <w:tcPr>
            <w:tcW w:w="155" w:type="dxa"/>
            <w:tcBorders/>
            <w:vAlign w:val="center"/>
          </w:tcPr>
          <w:p>
            <w:pPr>
              <w:pStyle w:val="TableContents"/>
              <w:bidi w:val="0"/>
              <w:spacing w:before="0" w:after="0"/>
              <w:jc w:val="left"/>
              <w:rPr>
                <w:sz w:val="11"/>
              </w:rPr>
            </w:pPr>
            <w:r>
              <w:rPr>
                <w:sz w:val="11"/>
              </w:rPr>
              <w:t>(4)</w:t>
            </w:r>
          </w:p>
          <w:p>
            <w:pPr>
              <w:pStyle w:val="TableContents"/>
              <w:bidi w:val="0"/>
              <w:spacing w:before="0" w:after="0"/>
              <w:jc w:val="left"/>
              <w:rPr/>
            </w:pPr>
            <w:r>
              <w:rPr/>
              <w:t> </w:t>
            </w:r>
          </w:p>
        </w:tc>
        <w:tc>
          <w:tcPr>
            <w:tcW w:w="61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120,000 shares of Complete Solaria Common Stock issued to related parties. </w:t>
            </w:r>
          </w:p>
        </w:tc>
      </w:tr>
    </w:tbl>
    <w:p>
      <w:pPr>
        <w:pStyle w:val="TextBody"/>
        <w:bidi w:val="0"/>
        <w:spacing w:before="240" w:after="0"/>
        <w:jc w:val="center"/>
        <w:rPr>
          <w:rFonts w:ascii="Times New Roman" w:hAnsi="Times New Roman"/>
          <w:sz w:val="18"/>
          <w:shd w:fill="FFFFFF" w:val="clear"/>
        </w:rPr>
      </w:pPr>
      <w:r>
        <w:rPr>
          <w:rFonts w:ascii="Times New Roman" w:hAnsi="Times New Roman"/>
          <w:sz w:val="18"/>
          <w:shd w:fill="FFFFFF" w:val="clear"/>
        </w:rPr>
        <w:t xml:space="preserve">The accompanying notes are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COMPLETE SOLARIA,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Unaudited Condensed Consolidated Statements of Cash Flows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i/>
          <w:spacing w:val="0"/>
          <w:sz w:val="20"/>
          <w:shd w:fill="FFFFFF" w:val="clear"/>
        </w:rPr>
      </w:pPr>
      <w:r>
        <w:rPr>
          <w:rFonts w:ascii="Times New Roman" w:hAnsi="Times New Roman"/>
          <w:b/>
          <w:i/>
          <w:spacing w:val="0"/>
          <w:sz w:val="20"/>
          <w:shd w:fill="FFFFFF" w:val="clear"/>
        </w:rPr>
        <w:t>in thousands except number of shares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735"/>
        <w:gridCol w:w="120"/>
        <w:gridCol w:w="197"/>
        <w:gridCol w:w="1233"/>
        <w:gridCol w:w="155"/>
        <w:gridCol w:w="60"/>
        <w:gridCol w:w="240"/>
        <w:gridCol w:w="1295"/>
        <w:gridCol w:w="170"/>
      </w:tblGrid>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w:t>
            </w:r>
          </w:p>
          <w:p>
            <w:pPr>
              <w:pStyle w:val="TableContents"/>
              <w:bidi w:val="0"/>
              <w:spacing w:before="0" w:after="0"/>
              <w:jc w:val="center"/>
              <w:rPr>
                <w:b/>
                <w:spacing w:val="0"/>
              </w:rPr>
            </w:pPr>
            <w:r>
              <w:rPr>
                <w:b/>
                <w:spacing w:val="0"/>
              </w:rPr>
              <w:br/>
              <w:t>Weeks Ended</w:t>
              <w:br/>
              <w:t>October 1,</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w:t>
              <w:br/>
              <w:t>Months Ended</w:t>
              <w:br/>
              <w:t>September 30,</w:t>
              <w:br/>
              <w:t>2022</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Cash flows from operating activities from continuing operations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3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283"/>
              <w:jc w:val="right"/>
              <w:rPr/>
            </w:pPr>
            <w:r>
              <w:rPr/>
              <w:t>(241,906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(10,809</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Loss from discontinued operations, net of income taxes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(168,458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loss from continuing operations, net of tax</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(73,448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(10,809</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Adjustments to reconcile net loss from continuing operations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3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2,321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217</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w:t>
            </w:r>
          </w:p>
          <w:p>
            <w:pPr>
              <w:pStyle w:val="TableContents"/>
              <w:bidi w:val="0"/>
              <w:spacing w:before="0" w:after="0"/>
              <w:jc w:val="left"/>
              <w:rPr>
                <w:rFonts w:ascii="Times New Roman" w:hAnsi="Times New Roman"/>
                <w:sz w:val="16"/>
              </w:rPr>
            </w:pPr>
            <w:r>
              <w:rPr>
                <w:rFonts w:ascii="Times New Roman" w:hAnsi="Times New Roman"/>
                <w:sz w:val="16"/>
              </w:rPr>
              <w:t>interest expense</w:t>
            </w:r>
          </w:p>
          <w:p>
            <w:pPr>
              <w:pStyle w:val="TableContents"/>
              <w:bidi w:val="0"/>
              <w:spacing w:before="0" w:after="0"/>
              <w:jc w:val="left"/>
              <w:rPr>
                <w:rFonts w:ascii="Times New Roman" w:hAnsi="Times New Roman"/>
                <w:sz w:val="9"/>
              </w:rPr>
            </w:pPr>
            <w:r>
              <w:rPr>
                <w:rFonts w:ascii="Times New Roman" w:hAnsi="Times New Roman"/>
                <w:sz w:val="9"/>
              </w:rPr>
              <w:t>(1)</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4,009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(76</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w:t>
            </w:r>
          </w:p>
          <w:p>
            <w:pPr>
              <w:pStyle w:val="TableContents"/>
              <w:bidi w:val="0"/>
              <w:spacing w:before="0" w:after="0"/>
              <w:jc w:val="left"/>
              <w:rPr>
                <w:rFonts w:ascii="Times New Roman" w:hAnsi="Times New Roman"/>
                <w:sz w:val="16"/>
              </w:rPr>
            </w:pPr>
            <w:r>
              <w:rPr>
                <w:rFonts w:ascii="Times New Roman" w:hAnsi="Times New Roman"/>
                <w:sz w:val="16"/>
              </w:rPr>
              <w:t>lease expense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304</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Gain on extinguishment of convertible notes and SAFEs</w:t>
            </w:r>
          </w:p>
          <w:p>
            <w:pPr>
              <w:pStyle w:val="TableContents"/>
              <w:bidi w:val="0"/>
              <w:spacing w:before="0" w:after="0"/>
              <w:jc w:val="left"/>
              <w:rPr>
                <w:rFonts w:ascii="Times New Roman" w:hAnsi="Times New Roman"/>
                <w:sz w:val="9"/>
              </w:rPr>
            </w:pPr>
            <w:r>
              <w:rPr>
                <w:rFonts w:ascii="Times New Roman" w:hAnsi="Times New Roman"/>
                <w:sz w:val="9"/>
              </w:rPr>
              <w:t>(2)</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(3,235</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Depreciation and amortization</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622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463</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Provision for credit losses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4,269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716</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 in reserve for excess and obsolete inventory</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2,144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3,091</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Issuance of forward purchase agreements</w:t>
            </w:r>
          </w:p>
          <w:p>
            <w:pPr>
              <w:pStyle w:val="TableContents"/>
              <w:bidi w:val="0"/>
              <w:spacing w:before="0" w:after="0"/>
              <w:jc w:val="left"/>
              <w:rPr>
                <w:rFonts w:ascii="Times New Roman" w:hAnsi="Times New Roman"/>
                <w:sz w:val="9"/>
              </w:rPr>
            </w:pPr>
            <w:r>
              <w:rPr>
                <w:rFonts w:ascii="Times New Roman" w:hAnsi="Times New Roman"/>
                <w:sz w:val="9"/>
              </w:rPr>
              <w:t>(3)</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 in fair value of forward purchase agreement liabilities</w:t>
            </w:r>
          </w:p>
          <w:p>
            <w:pPr>
              <w:pStyle w:val="TableContents"/>
              <w:bidi w:val="0"/>
              <w:spacing w:before="0" w:after="0"/>
              <w:jc w:val="left"/>
              <w:rPr>
                <w:rFonts w:ascii="Times New Roman" w:hAnsi="Times New Roman"/>
                <w:sz w:val="9"/>
              </w:rPr>
            </w:pPr>
            <w:r>
              <w:rPr>
                <w:rFonts w:ascii="Times New Roman" w:hAnsi="Times New Roman"/>
                <w:sz w:val="9"/>
              </w:rPr>
              <w:t>(4)</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6,661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Loss on CS Solis debt extinguishment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10,338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 in fair value of warrant liabilities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(26,314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142</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Accretion of debt in CS Solis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2,493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2,581</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common stock in connection with forward purchase agreements</w:t>
            </w:r>
          </w:p>
          <w:p>
            <w:pPr>
              <w:pStyle w:val="TableContents"/>
              <w:bidi w:val="0"/>
              <w:spacing w:before="0" w:after="0"/>
              <w:jc w:val="left"/>
              <w:rPr>
                <w:rFonts w:ascii="Times New Roman" w:hAnsi="Times New Roman"/>
                <w:sz w:val="9"/>
              </w:rPr>
            </w:pPr>
            <w:r>
              <w:rPr>
                <w:rFonts w:ascii="Times New Roman" w:hAnsi="Times New Roman"/>
                <w:sz w:val="9"/>
              </w:rPr>
              <w:t>(5)</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35,490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common stock bonus shares in connection with the Mergers</w:t>
            </w:r>
          </w:p>
          <w:p>
            <w:pPr>
              <w:pStyle w:val="TableContents"/>
              <w:bidi w:val="0"/>
              <w:spacing w:before="0" w:after="0"/>
              <w:jc w:val="left"/>
              <w:rPr>
                <w:rFonts w:ascii="Times New Roman" w:hAnsi="Times New Roman"/>
                <w:sz w:val="9"/>
              </w:rPr>
            </w:pPr>
            <w:r>
              <w:rPr>
                <w:rFonts w:ascii="Times New Roman" w:hAnsi="Times New Roman"/>
                <w:sz w:val="9"/>
              </w:rPr>
              <w:t>(6)</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restricted stock units in connection with vendor services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3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Accounts receivable, net</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(11,823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(3,036</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Inventories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(3,896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(5,047</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(8,326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504</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noncurrent assets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1,132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4,372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190</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1,587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(2,056</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Operating lease liabilities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(359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(316</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Warranty provision, noncurrent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(584</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Deferred revenue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(1,766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(231</w:t>
            </w:r>
          </w:p>
        </w:tc>
        <w:tc>
          <w:tcPr>
            <w:tcW w:w="170" w:type="dxa"/>
            <w:tcBorders/>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cash used in operating activities from continuing operations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(47,152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(17,197</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cash provided by operating activities from discontinued operations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(46,962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(17,197</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Cash flows from investing activities from continuing operations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Purchase of property and equipment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Capitalization of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internal-use</w:t>
            </w:r>
          </w:p>
          <w:p>
            <w:pPr>
              <w:pStyle w:val="TableContents"/>
              <w:bidi w:val="0"/>
              <w:spacing w:before="0" w:after="0"/>
              <w:jc w:val="left"/>
              <w:rPr>
                <w:rFonts w:ascii="Times New Roman" w:hAnsi="Times New Roman"/>
                <w:sz w:val="16"/>
              </w:rPr>
            </w:pPr>
            <w:r>
              <w:rPr>
                <w:rFonts w:ascii="Times New Roman" w:hAnsi="Times New Roman"/>
                <w:sz w:val="16"/>
              </w:rPr>
              <w:t>software costs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(1,505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(1,048</w:t>
            </w:r>
          </w:p>
        </w:tc>
        <w:tc>
          <w:tcPr>
            <w:tcW w:w="170" w:type="dxa"/>
            <w:tcBorders/>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cash used in investing activities from continuing operations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(1,534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(1,048</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Cash flows from financing activities from continuing operations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issuance of notes payable, net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14,102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Principal repayment of notes payable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(9,653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(9,507</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issuance of convertible notes, net of issuance cost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17,750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issuance of convertible notes, net of issuance cost, due to related parties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3,500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Repayment of convertible notes to related parties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(500</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issuance of long-term debt with CS Solis, net of issuance cost</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25,000</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exercise of common stock options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Mergers and PIPE Financing</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4,219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Mergers and PIPE Financing from related parties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15,600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Payments for issuance of Series D redeemable convertible preferred stock</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(1,317</w:t>
            </w:r>
          </w:p>
        </w:tc>
        <w:tc>
          <w:tcPr>
            <w:tcW w:w="170" w:type="dxa"/>
            <w:tcBorders/>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cash provided by financing activities from continuing operations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45,575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13,704</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Effect of exchange rate changes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(2,897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(4,541</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Cash, cash equivalents, and restricted cash at beginning of period</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8,316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5,276</w:t>
            </w:r>
          </w:p>
        </w:tc>
        <w:tc>
          <w:tcPr>
            <w:tcW w:w="170" w:type="dxa"/>
            <w:tcBorders/>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Cash, cash equivalents, and restricted cash at end of period</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5,419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735</w:t>
            </w:r>
          </w:p>
        </w:tc>
        <w:tc>
          <w:tcPr>
            <w:tcW w:w="170" w:type="dxa"/>
            <w:tcBorders/>
            <w:shd w:fill="CCEEFF" w:val="clear"/>
            <w:vAlign w:val="center"/>
          </w:tcPr>
          <w:p>
            <w:pPr>
              <w:pStyle w:val="TableContents"/>
              <w:bidi w:val="0"/>
              <w:spacing w:before="0" w:after="283"/>
              <w:jc w:val="left"/>
              <w:rPr/>
            </w:pPr>
            <w:r>
              <w:rPr/>
              <w:t> </w:t>
            </w:r>
          </w:p>
        </w:tc>
      </w:tr>
      <w:tr>
        <w:trPr/>
        <w:tc>
          <w:tcPr>
            <w:tcW w:w="6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23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830"/>
        <w:gridCol w:w="120"/>
        <w:gridCol w:w="99"/>
        <w:gridCol w:w="1331"/>
        <w:gridCol w:w="155"/>
        <w:gridCol w:w="60"/>
        <w:gridCol w:w="124"/>
        <w:gridCol w:w="1411"/>
        <w:gridCol w:w="75"/>
      </w:tblGrid>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w:t>
            </w:r>
          </w:p>
          <w:p>
            <w:pPr>
              <w:pStyle w:val="TableContents"/>
              <w:bidi w:val="0"/>
              <w:spacing w:before="0" w:after="0"/>
              <w:jc w:val="center"/>
              <w:rPr>
                <w:b/>
                <w:spacing w:val="0"/>
              </w:rPr>
            </w:pPr>
            <w:r>
              <w:rPr>
                <w:b/>
                <w:spacing w:val="0"/>
              </w:rPr>
              <w:br/>
              <w:t>Weeks Ended</w:t>
              <w:br/>
              <w:t>October 1,</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w:t>
              <w:br/>
              <w:t>Months Ended</w:t>
              <w:br/>
              <w:t>September 30,</w:t>
              <w:br/>
              <w:t>2022</w:t>
            </w:r>
          </w:p>
        </w:tc>
        <w:tc>
          <w:tcPr>
            <w:tcW w:w="7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Supplemental disclosures of cash flow information:</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8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Cash paid during the year for interest</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1,602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Cash paid during the year for income taxes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Supplemental schedule of noncash investing and financing activities: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Operating lease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right-of-use</w:t>
            </w:r>
          </w:p>
          <w:p>
            <w:pPr>
              <w:pStyle w:val="TableContents"/>
              <w:bidi w:val="0"/>
              <w:spacing w:before="0" w:after="0"/>
              <w:jc w:val="left"/>
              <w:rPr>
                <w:rFonts w:ascii="Times New Roman" w:hAnsi="Times New Roman"/>
                <w:sz w:val="16"/>
              </w:rPr>
            </w:pPr>
            <w:r>
              <w:rPr>
                <w:rFonts w:ascii="Times New Roman" w:hAnsi="Times New Roman"/>
                <w:sz w:val="16"/>
              </w:rPr>
              <w:t>assets obtained in exchange for new operating lease liabilities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245</w:t>
            </w:r>
          </w:p>
        </w:tc>
        <w:tc>
          <w:tcPr>
            <w:tcW w:w="75"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Carlyle warrant modification</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(10,862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Reclassification of liability-classified warrants to equity-classified warrants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30,625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common stock warrants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202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3,447</w:t>
            </w:r>
          </w:p>
        </w:tc>
        <w:tc>
          <w:tcPr>
            <w:tcW w:w="7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Issuance of Series D redeemable convertible preferred stock upon conversion of SAFE</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6,550</w:t>
            </w:r>
          </w:p>
        </w:tc>
        <w:tc>
          <w:tcPr>
            <w:tcW w:w="75"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Series D redeemable convertible preferred stock upon conversion of convertible debt</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10,680</w:t>
            </w:r>
          </w:p>
        </w:tc>
        <w:tc>
          <w:tcPr>
            <w:tcW w:w="7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Conversion of 2022 Convertible Notes into common stock</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21,561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Conversion of 2022 Convertible Notes issued to related parties into common stock</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19,390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Conversion of preferred stock into common stock</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155,630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common stock in connection with forward purchase agreements</w:t>
            </w:r>
          </w:p>
          <w:p>
            <w:pPr>
              <w:pStyle w:val="TableContents"/>
              <w:bidi w:val="0"/>
              <w:spacing w:before="0" w:after="0"/>
              <w:jc w:val="left"/>
              <w:rPr>
                <w:rFonts w:ascii="Times New Roman" w:hAnsi="Times New Roman"/>
                <w:sz w:val="9"/>
              </w:rPr>
            </w:pPr>
            <w:r>
              <w:rPr>
                <w:rFonts w:ascii="Times New Roman" w:hAnsi="Times New Roman"/>
                <w:sz w:val="9"/>
              </w:rPr>
              <w:t>(5)</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35,490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common stock bonus shares in connection with the Mergers</w:t>
            </w:r>
          </w:p>
          <w:p>
            <w:pPr>
              <w:pStyle w:val="TableContents"/>
              <w:bidi w:val="0"/>
              <w:spacing w:before="0" w:after="0"/>
              <w:jc w:val="left"/>
              <w:rPr>
                <w:rFonts w:ascii="Times New Roman" w:hAnsi="Times New Roman"/>
                <w:sz w:val="9"/>
              </w:rPr>
            </w:pPr>
            <w:r>
              <w:rPr>
                <w:rFonts w:ascii="Times New Roman" w:hAnsi="Times New Roman"/>
                <w:sz w:val="9"/>
              </w:rPr>
              <w:t>(6)</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Recapitalization of Legacy Complete Solaria Common stock into Complete Solaria Common Stock</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Reclassification of investor related to PIPE funds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3,500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26"/>
        <w:gridCol w:w="10079"/>
      </w:tblGrid>
      <w:tr>
        <w:trPr/>
        <w:tc>
          <w:tcPr>
            <w:tcW w:w="126" w:type="dxa"/>
            <w:tcBorders/>
            <w:vAlign w:val="center"/>
          </w:tcPr>
          <w:p>
            <w:pPr>
              <w:pStyle w:val="TableContents"/>
              <w:bidi w:val="0"/>
              <w:spacing w:before="0" w:after="0"/>
              <w:jc w:val="left"/>
              <w:rPr>
                <w:sz w:val="9"/>
              </w:rPr>
            </w:pPr>
            <w:r>
              <w:rPr>
                <w:sz w:val="9"/>
              </w:rPr>
              <w:t>(1)</w:t>
            </w:r>
          </w:p>
          <w:p>
            <w:pPr>
              <w:pStyle w:val="TableContents"/>
              <w:bidi w:val="0"/>
              <w:spacing w:before="0" w:after="0"/>
              <w:jc w:val="left"/>
              <w:rPr/>
            </w:pPr>
            <w:r>
              <w:rPr/>
              <w:t> </w:t>
            </w:r>
          </w:p>
        </w:tc>
        <w:tc>
          <w:tcPr>
            <w:tcW w:w="10079"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w:t>
            </w:r>
          </w:p>
          <w:p>
            <w:pPr>
              <w:pStyle w:val="TableContents"/>
              <w:bidi w:val="0"/>
              <w:spacing w:before="0" w:after="0"/>
              <w:jc w:val="left"/>
              <w:rPr>
                <w:rFonts w:ascii="Times New Roman" w:hAnsi="Times New Roman"/>
                <w:sz w:val="16"/>
              </w:rPr>
            </w:pPr>
            <w:r>
              <w:rPr>
                <w:rFonts w:ascii="Times New Roman" w:hAnsi="Times New Roman"/>
                <w:sz w:val="16"/>
              </w:rPr>
              <w:t xml:space="preserve">interest expense to related parties of $0.1 million and $0.4 million during the thirteen and thirty-nine weeks ended October 1, 2023, respectively, and zero and $0.1 million during the three and nine months ended September 30, 2022, respectively. </w:t>
            </w:r>
          </w:p>
        </w:tc>
      </w:tr>
    </w:tbl>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0"/>
              <w:jc w:val="left"/>
              <w:rPr>
                <w:sz w:val="9"/>
              </w:rPr>
            </w:pPr>
            <w:r>
              <w:rPr>
                <w:sz w:val="9"/>
              </w:rPr>
              <w:t>(2)</w:t>
            </w:r>
          </w:p>
          <w:p>
            <w:pPr>
              <w:pStyle w:val="TableContents"/>
              <w:bidi w:val="0"/>
              <w:spacing w:before="0" w:after="0"/>
              <w:jc w:val="left"/>
              <w:rPr/>
            </w:pPr>
            <w:r>
              <w:rPr/>
              <w:t> </w:t>
            </w:r>
          </w:p>
        </w:tc>
        <w:tc>
          <w:tcPr>
            <w:tcW w:w="1008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Gain on extinguishment of convertible notes and SAFEs includes other income from related parties of zero during each of the thirteen and thirty-nine weeks ended October 1, 2023, and zero and $1.4 million during the three and nine months ended September 30, 2022, respectively. </w:t>
            </w:r>
          </w:p>
        </w:tc>
      </w:tr>
    </w:tbl>
    <w:tbl>
      <w:tblPr>
        <w:tblW w:w="10205" w:type="dxa"/>
        <w:jc w:val="left"/>
        <w:tblInd w:w="0" w:type="dxa"/>
        <w:tblLayout w:type="fixed"/>
        <w:tblCellMar>
          <w:top w:w="0" w:type="dxa"/>
          <w:left w:w="0" w:type="dxa"/>
          <w:bottom w:w="0" w:type="dxa"/>
          <w:right w:w="0" w:type="dxa"/>
        </w:tblCellMar>
      </w:tblPr>
      <w:tblGrid>
        <w:gridCol w:w="126"/>
        <w:gridCol w:w="10079"/>
      </w:tblGrid>
      <w:tr>
        <w:trPr/>
        <w:tc>
          <w:tcPr>
            <w:tcW w:w="126" w:type="dxa"/>
            <w:tcBorders/>
            <w:vAlign w:val="center"/>
          </w:tcPr>
          <w:p>
            <w:pPr>
              <w:pStyle w:val="TableContents"/>
              <w:bidi w:val="0"/>
              <w:spacing w:before="0" w:after="0"/>
              <w:jc w:val="left"/>
              <w:rPr>
                <w:sz w:val="9"/>
              </w:rPr>
            </w:pPr>
            <w:r>
              <w:rPr>
                <w:sz w:val="9"/>
              </w:rPr>
              <w:t>(3)</w:t>
            </w:r>
          </w:p>
          <w:p>
            <w:pPr>
              <w:pStyle w:val="TableContents"/>
              <w:bidi w:val="0"/>
              <w:spacing w:before="0" w:after="0"/>
              <w:jc w:val="left"/>
              <w:rPr/>
            </w:pPr>
            <w:r>
              <w:rPr/>
              <w:t> </w:t>
            </w:r>
          </w:p>
        </w:tc>
        <w:tc>
          <w:tcPr>
            <w:tcW w:w="1007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Issuance of forward purchase agreements includes other income from related parties of $0.3 million for each of the thirteen and thirty-nine weeks ended October 1, 2023, and zero for each of the three and nine months ended September 30, 2022.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sz w:val="9"/>
              </w:rPr>
            </w:pPr>
            <w:r>
              <w:rPr>
                <w:sz w:val="9"/>
              </w:rPr>
              <w:t>(4)</w:t>
            </w:r>
          </w:p>
          <w:p>
            <w:pPr>
              <w:pStyle w:val="TableContents"/>
              <w:bidi w:val="0"/>
              <w:spacing w:before="0" w:after="0"/>
              <w:jc w:val="left"/>
              <w:rPr/>
            </w:pPr>
            <w:r>
              <w:rPr/>
              <w:t> </w:t>
            </w:r>
          </w:p>
        </w:tc>
        <w:tc>
          <w:tcPr>
            <w:tcW w:w="100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Change in fair value of forward purchase agreement liabilities includes other expense from related parties of $5.9 million for each of the thirteen and thirty-nine weeks ended October 1, 2023, and zero for each of the three and nine months ended September 30, 2022. </w:t>
            </w:r>
          </w:p>
        </w:tc>
      </w:tr>
    </w:tbl>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0"/>
              <w:jc w:val="left"/>
              <w:rPr>
                <w:sz w:val="9"/>
              </w:rPr>
            </w:pPr>
            <w:r>
              <w:rPr>
                <w:sz w:val="9"/>
              </w:rPr>
              <w:t>(5)</w:t>
            </w:r>
          </w:p>
          <w:p>
            <w:pPr>
              <w:pStyle w:val="TableContents"/>
              <w:bidi w:val="0"/>
              <w:spacing w:before="0" w:after="0"/>
              <w:jc w:val="left"/>
              <w:rPr/>
            </w:pPr>
            <w:r>
              <w:rPr/>
              <w:t> </w:t>
            </w:r>
          </w:p>
        </w:tc>
        <w:tc>
          <w:tcPr>
            <w:tcW w:w="1008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Issuance of common stock in connection with forward purchase agreements includes other expense from related parties of $30.7 million for each of the thirteen and thirty-nine weeks ended October 1, 2023, and zero for each of the three and nine months ended September 30, 2022.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sz w:val="9"/>
              </w:rPr>
            </w:pPr>
            <w:r>
              <w:rPr>
                <w:sz w:val="9"/>
              </w:rPr>
              <w:t>(6)</w:t>
            </w:r>
          </w:p>
          <w:p>
            <w:pPr>
              <w:pStyle w:val="TableContents"/>
              <w:bidi w:val="0"/>
              <w:spacing w:before="0" w:after="0"/>
              <w:jc w:val="left"/>
              <w:rPr/>
            </w:pPr>
            <w:r>
              <w:rPr/>
              <w:t> </w:t>
            </w:r>
          </w:p>
        </w:tc>
        <w:tc>
          <w:tcPr>
            <w:tcW w:w="100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Issuance of common stock bonus shares to related parties in connection with the Mergers includes other expense of $0.7 million for each of the thirteen and thirty-nine weeks ended October 1, 2023, and zero for each of the three and nine months ended September 30, 2022. </w:t>
            </w:r>
          </w:p>
        </w:tc>
      </w:tr>
    </w:tbl>
    <w:p>
      <w:pPr>
        <w:pStyle w:val="TextBody"/>
        <w:bidi w:val="0"/>
        <w:spacing w:before="240" w:after="0"/>
        <w:jc w:val="center"/>
        <w:rPr>
          <w:rFonts w:ascii="Times New Roman" w:hAnsi="Times New Roman"/>
          <w:sz w:val="18"/>
          <w:shd w:fill="FFFFFF" w:val="clear"/>
        </w:rPr>
      </w:pPr>
      <w:r>
        <w:rPr>
          <w:rFonts w:ascii="Times New Roman" w:hAnsi="Times New Roman"/>
          <w:sz w:val="18"/>
          <w:shd w:fill="FFFFFF" w:val="clear"/>
        </w:rPr>
        <w:t xml:space="preserve">The accompanying notes are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Notes to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525" w:type="dxa"/>
        <w:jc w:val="left"/>
        <w:tblInd w:w="0" w:type="dxa"/>
        <w:tblLayout w:type="fixed"/>
        <w:tblCellMar>
          <w:top w:w="0" w:type="dxa"/>
          <w:left w:w="0" w:type="dxa"/>
          <w:bottom w:w="0" w:type="dxa"/>
          <w:right w:w="0" w:type="dxa"/>
        </w:tblCellMar>
      </w:tblPr>
      <w:tblGrid>
        <w:gridCol w:w="305"/>
        <w:gridCol w:w="1220"/>
      </w:tblGrid>
      <w:tr>
        <w:trPr/>
        <w:tc>
          <w:tcPr>
            <w:tcW w:w="305" w:type="dxa"/>
            <w:tcBorders/>
            <w:vAlign w:val="center"/>
          </w:tcPr>
          <w:p>
            <w:pPr>
              <w:pStyle w:val="TableContents"/>
              <w:bidi w:val="0"/>
              <w:spacing w:before="0" w:after="0"/>
              <w:jc w:val="left"/>
              <w:rPr>
                <w:b/>
                <w:spacing w:val="0"/>
              </w:rPr>
            </w:pPr>
            <w:r>
              <w:rPr>
                <w:b/>
                <w:spacing w:val="0"/>
              </w:rPr>
              <w:t>(1)</w:t>
            </w:r>
          </w:p>
        </w:tc>
        <w:tc>
          <w:tcPr>
            <w:tcW w:w="12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w:t>
            </w:r>
          </w:p>
        </w:tc>
      </w:tr>
    </w:tbl>
    <w:p>
      <w:pPr>
        <w:pStyle w:val="TextBody"/>
        <w:bidi w:val="0"/>
        <w:spacing w:before="0" w:after="0"/>
        <w:jc w:val="left"/>
        <w:rPr>
          <w:shd w:fill="FFFFFF" w:val="clear"/>
        </w:rPr>
      </w:pPr>
      <w:r>
        <w:rPr>
          <w:shd w:fill="FFFFFF" w:val="clear"/>
        </w:rPr>
        <w:t> </w:t>
      </w:r>
    </w:p>
    <w:tbl>
      <w:tblPr>
        <w:tblW w:w="2275" w:type="dxa"/>
        <w:jc w:val="left"/>
        <w:tblInd w:w="0" w:type="dxa"/>
        <w:tblLayout w:type="fixed"/>
        <w:tblCellMar>
          <w:top w:w="0" w:type="dxa"/>
          <w:left w:w="0" w:type="dxa"/>
          <w:bottom w:w="0" w:type="dxa"/>
          <w:right w:w="0" w:type="dxa"/>
        </w:tblCellMar>
      </w:tblPr>
      <w:tblGrid>
        <w:gridCol w:w="305"/>
        <w:gridCol w:w="1970"/>
      </w:tblGrid>
      <w:tr>
        <w:trPr/>
        <w:tc>
          <w:tcPr>
            <w:tcW w:w="305" w:type="dxa"/>
            <w:tcBorders/>
            <w:vAlign w:val="center"/>
          </w:tcPr>
          <w:p>
            <w:pPr>
              <w:pStyle w:val="TableContents"/>
              <w:bidi w:val="0"/>
              <w:spacing w:before="0" w:after="0"/>
              <w:jc w:val="left"/>
              <w:rPr>
                <w:b/>
                <w:i/>
                <w:spacing w:val="0"/>
              </w:rPr>
            </w:pPr>
            <w:r>
              <w:rPr>
                <w:b/>
                <w:i/>
                <w:spacing w:val="0"/>
              </w:rPr>
              <w:t>(a)</w:t>
            </w:r>
          </w:p>
        </w:tc>
        <w:tc>
          <w:tcPr>
            <w:tcW w:w="197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Description of Business</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Complete Solaria, Inc. (the “Company” or “Complete Solaria”) is a residential solar installer headquartered in Fremont, California, which was formed through Complete Solar Holding Corporation’s acquisition of The Solaria Corporation (“Solaria”).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Complete Solar, Inc. (“Complete Solar”) was incorporated in Delaware on February 22, 2010. Through February 2022, the Company operated as a single legal entity as Complete Solar, Inc.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The capitalization structure was not changed because of the Reorganization as all shares of Complete Solar, Inc common stock and preferred stock were exchanged on a one for one basis with shares of Complete Solar Holdings common stock and preferred stock. The Reorganization was accounted for as a change in reporting entity for entities under common control. The historical assets and liabilities of Complete Solar, Inc. are transferred to Complete Solar Holdings at their carrying value, and there is no change to net income, other comprehensive income (loss), or any related per share amounts reported in the unaudited condensed consolidated financial statements requiring retrospective application.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2022, the Company entered into a business combination agreement, as amended on December 26, 2022 and January 17, 2023 (“Original Business Combination Agreement”) and as amended on May 26, 2023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Complete Solar Holding Corporation, a Delaware corporation, and Solaria, a Delaware corporation.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transactions contemplated by the Amended and Restated Business Combination Agreement were consummated on July 18, 2023 (“Closing Date”). Following the consummation of the Merger on the Closing Date, FACT changed its name to “Complete Solaria, Inc.”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part of the transactions contemplated by the Amended and Restated Business Combination Agreement, FACT affected a deregistration under the Cayman Islands Companies Act and a domestication under Section 388 of the Delaware’s General Corporation Law (the “DGCL” or “Domestication”). On the Closing Date, following the Domestication, First Merger Sub merged with and into Complete Solaria, with Complete Solaria surviving such merger as a wholly owned subsidiary of FACT (the “First Merger”), and immediately following the First Merger, Complete Solaria merged with and into Second Merger Sub, with Second Merger Sub surviving as a wholly owned subsidiary of FACT (the “Second Merger”), and Second Merger Sub changed its name to CS, LLC, and immediately following the Second Merger, Solaria merged with and into a newly formed Delaware limited liability company and wholly-owned subsidiary of FACT and changed its name to The Solaria Corporation LLC (“Third Merger Sub”), with Third Merger Sub surviving as a wholly-owned subsidiary of FACT (the “Additional Merger”, and together with the First Merger and the Second Merger, the “Mergers”).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connection with the closing of the Mergers: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share of the Company’s capital stock, inclusive of shares converted from 2022 Convertible Notes, issued and outstanding immediately prior to the Closing (“Legacy Complete Solaria Capital Stock”) were cancelled and exchanged into an aggregate of 25,494,332 shares of Complete Solaria Common Stock.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In July 2023, (i) Meteora Special Opportunity Fund I, LP (“MSOF”), Meteora Capital Partners, LP (“MCP”) and Meteora Select Trading Opportunities Master, LP (“MSTO”) (with MSOF, MCP, and MSTO collectively as “Meteora”); (ii) Polar Multi-Strategy Master Fund (“Polar”), and (iii) Diametric True Alpha Market Neutral Master Fund, LP, Diametric True Alpha Enhanced Market Neutral Master Fund, LP, and Pinebridge Partners Master Fund, LP (collectively, “Sandia”) (together, the “FPA Funding PIPE Investors”) entered into separate subscription agreements (the “FPA Funding Amount PIPE Subscription Agreements”) pursuant to which, the FPA Funding PIPE Investors subscribed for on the Closing Date, an aggregate of 6,300,000 shares of FACT Class A Ordinary Shares, less, in the case of Meteora, 1,161,512 FACT Class A Ordinary Shares purchased by Meteora separately from third parties through a broker in the open market (“Recycled Shares”) in connection with the Forward Purchase Agreements (“FPAs”). Subsequent to the Closing Date, Complete Solaria entered into an additional FPA Funding PIPE Subscription Agreement with Meteora, to subscribe for and purchase, and Complete Solaria agreed to issue and sell, an aggregate of 420,000 shares of Complete Solaria Common Stock. The Company issued shares of Complete Solaria Common Stock underlying the FPAs as of the latter of the closing of the Mergers or execution of the FPAs.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certain investors (the “PIPE Investors”) purchased from the Company an aggregate of 1,570,000 shares of Complete Solaria Common Stock (the “PIPE Shares”) for a purchase price of $10.00 per share, for aggregate gross proceeds of $15.7 million (the “PIPE Financing”), including $3.5 million that was funded prior to the Closing Date, pursuant to subscription agreements (the “Subscription Agreements”). At the time of the PIPE Financing, Complete Solaria issued an additional 60,000 shares to certain investors as an incentive to participate in the PIPE Financing.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or around the Closing Date, pursuant to the New Money PIPE Subscription Agreements, certain investors affiliated with the New Money PIPE Subscription Agreements (“New Money PIPE Investors”) agreed to subscribe for and purchase, and Complete Solaria agreed to issue and sell to the New Money PIPE Investors an aggregate of 120,000 shares of Complete Solaria Common Stock for a purchase price of $5.00 per share, for aggregate gross proceeds of $0.6 million. Pursuant to its New Money PIPE Subscription Agreement, Complete Solaria issued an additional 60,000 shares of Complete Solaria Common Stock in consideration of certain services provided by it in the structuring of its FPA and the transactions described therein.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Subsequent to the Closing, Complete Solaria issued an additional 193,976 shares of Complete Solaria Common Stock to the sponsors for reimbursing sponsors’ transfer to certain counterparties and issued an additional 150,000 shares of Complete Solaria Common Stock to an FPA investor for services provided in connection with the Mergers.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March 2023, holders of 23,256,504 of the originally issued 34,500,000 FACT Class A Ordinary shares exercised their rights to redeem those shares for cash, and immediately prior to the Closing there were 11,243,496 FACT Class A Ordinary Shares that remained outstanding. At the Closing, holders of 7,784,739 shares of Class A common stock of FACT exercised their rights to redeem those shares for cash, for an aggregate of approximately $82.2 million which was paid to such holders at Closing. The remaining FACT Class A Ordinary Share converted, on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one-for-one</w:t>
            </w:r>
          </w:p>
          <w:p>
            <w:pPr>
              <w:pStyle w:val="TableContents"/>
              <w:bidi w:val="0"/>
              <w:spacing w:before="0" w:after="0"/>
              <w:jc w:val="left"/>
              <w:rPr>
                <w:rFonts w:ascii="Times New Roman" w:hAnsi="Times New Roman"/>
                <w:sz w:val="20"/>
              </w:rPr>
            </w:pPr>
            <w:r>
              <w:rPr>
                <w:rFonts w:ascii="Times New Roman" w:hAnsi="Times New Roman"/>
                <w:sz w:val="20"/>
              </w:rPr>
              <w:t xml:space="preserve">basis, into one share of Complete Solaria Common Stock; </w:t>
            </w:r>
          </w:p>
        </w:tc>
      </w:tr>
    </w:tbl>
    <w:p>
      <w:pPr>
        <w:pStyle w:val="TextBody"/>
        <w:bidi w:val="0"/>
        <w:spacing w:before="0" w:after="0"/>
        <w:jc w:val="left"/>
        <w:rPr>
          <w:shd w:fill="FFFFFF" w:val="clear"/>
        </w:rPr>
      </w:pPr>
      <w:r>
        <w:rPr>
          <w:shd w:fill="FFFFFF" w:val="clea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issued and outstanding FACT Class B Ordinary Share converted, on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one-for-one</w:t>
            </w:r>
          </w:p>
          <w:p>
            <w:pPr>
              <w:pStyle w:val="TableContents"/>
              <w:bidi w:val="0"/>
              <w:spacing w:before="0" w:after="0"/>
              <w:jc w:val="left"/>
              <w:rPr>
                <w:rFonts w:ascii="Times New Roman" w:hAnsi="Times New Roman"/>
                <w:sz w:val="20"/>
              </w:rPr>
            </w:pPr>
            <w:r>
              <w:rPr>
                <w:rFonts w:ascii="Times New Roman" w:hAnsi="Times New Roman"/>
                <w:sz w:val="20"/>
              </w:rPr>
              <w:t xml:space="preserve">basis, into one share of Complete Solaria Common Stock.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2022, Complete Solar Holdings acquired Solaria (as described in Note 6 – Business Combination) and changed its name to Complete Solaria, Inc. On August 18, 2023, the Company entered into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Non-Binding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Letter of Intent to sell certain of Complete Solaria’s North American solar panel assets to Maxeon, Inc. (“Maxeon”). In October 2023, the Company completed the sale of its solar panel business to Maxeon. The disposition met the criteria for held for sale and discontinued operations classification as of October 1, 2023. Refer to Note 1(c) – Divestiture, Note 8 – Divestiture, and Note 22 – Subsequent Events.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7810" w:type="dxa"/>
        <w:jc w:val="left"/>
        <w:tblInd w:w="0" w:type="dxa"/>
        <w:tblLayout w:type="fixed"/>
        <w:tblCellMar>
          <w:top w:w="0" w:type="dxa"/>
          <w:left w:w="0" w:type="dxa"/>
          <w:bottom w:w="0" w:type="dxa"/>
          <w:right w:w="0" w:type="dxa"/>
        </w:tblCellMar>
      </w:tblPr>
      <w:tblGrid>
        <w:gridCol w:w="305"/>
        <w:gridCol w:w="7505"/>
      </w:tblGrid>
      <w:tr>
        <w:trPr/>
        <w:tc>
          <w:tcPr>
            <w:tcW w:w="305" w:type="dxa"/>
            <w:tcBorders/>
            <w:vAlign w:val="center"/>
          </w:tcPr>
          <w:p>
            <w:pPr>
              <w:pStyle w:val="TableContents"/>
              <w:bidi w:val="0"/>
              <w:spacing w:before="0" w:after="0"/>
              <w:jc w:val="left"/>
              <w:rPr>
                <w:b/>
                <w:i/>
                <w:spacing w:val="0"/>
              </w:rPr>
            </w:pPr>
            <w:r>
              <w:rPr>
                <w:b/>
                <w:i/>
                <w:spacing w:val="0"/>
              </w:rPr>
              <w:t>(b)</w:t>
            </w:r>
          </w:p>
        </w:tc>
        <w:tc>
          <w:tcPr>
            <w:tcW w:w="750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Basis of Presentation of Unaudited Interim Condensed Consolidated Financial Statements</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unaudited interim condensed consolidated financial statements of the Company have been prepared in accordance with accounting principles generally accepted in the United States of America (“GAAP”) for interim financial information and with the instructions for interim reporting as prescribed by the Securities and Exchange Commission. Accordingly, they do not include all of the information and footnotes required by GAAP for complete condensed consolidated financial statements. The unaudited condensed consolidated financial statements include the accounts of the Company and its wholly owned subsidiaries. Intercompany accounts and transactions are eliminated upon consolidation.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Effective January 1, 2023, the Company changed its fiscal quarters to four thirteen-week periods within a standard calendar year. Each annual reporting period begins on January 1 and ends on December 31. Since the fiscal quarter change was made after the end of fiscal 2022, the Company will continue to report prior year financial information based on its prior year fiscal calendar. The Company’s financial results for the thirteen and thirty-nine weeks ended October 1, 2023 are compared to its results for the three and nine months ended September 30, 2022. The comparison of these periods is primarily affected by the difference of one day between the first three quarters of fiscal 2023 and first three quarters of 2022, which the Company notes is immaterial.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the opinion of management, all adjustments (consisting of normal recurring accruals) considered necessary to make the unaudited condensed consolidated financial statements not misleading have been included. The information included in this report should be read in conjunction with the audited consolidated financial statements as of and for the year ended December 31, 2022, as filed with the Securities and Exchange Commission (“SEC”)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condensed consolidated balance sheet as of December 31, 2022 included herein was derived from the audited consolidated financial statements as of that date.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Interim financial results are not necessarily indicative of the results that may be expected for any future period. </w:t>
      </w:r>
    </w:p>
    <w:p>
      <w:pPr>
        <w:pStyle w:val="TextBody"/>
        <w:bidi w:val="0"/>
        <w:spacing w:before="0" w:after="0"/>
        <w:jc w:val="left"/>
        <w:rPr>
          <w:shd w:fill="FFFFFF" w:val="clear"/>
        </w:rPr>
      </w:pPr>
      <w:r>
        <w:rPr>
          <w:shd w:fill="FFFFFF" w:val="clear"/>
        </w:rPr>
        <w:t> </w:t>
      </w:r>
    </w:p>
    <w:tbl>
      <w:tblPr>
        <w:tblW w:w="1225" w:type="dxa"/>
        <w:jc w:val="lef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0"/>
              <w:jc w:val="left"/>
              <w:rPr>
                <w:b/>
                <w:i/>
                <w:spacing w:val="0"/>
              </w:rPr>
            </w:pPr>
            <w:r>
              <w:rPr>
                <w:b/>
                <w:i/>
                <w:spacing w:val="0"/>
              </w:rPr>
              <w:t>(c)</w:t>
            </w:r>
          </w:p>
        </w:tc>
        <w:tc>
          <w:tcPr>
            <w:tcW w:w="93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Divestiture</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18, 2023, the Company entered into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Non-Binding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Letter of Intent to sell certain of Complete Solaria’s North American solar panel assets to Maxeon. On September 20, 2023, the Company and Maxeon entered into an Asset Purchase Agreement (the “Disposal Agreement”) for the sale of certain assets, inclusive of certain intellectual property and customer contracts, to Maxeon. On October 6, 2023, the Company completed the sale of certain of Complete Solaria’s North American solar panel assets, inclusive of certain intellectual property and customer contracts, to Maxeon, pursuant to the terms of the Disposal Agreement. Under the terms of the Disposal Agreement, Maxeon agreed to acquire certain assets and employees of Complete Solaria, for an aggregate purchase price consisting of 1,100,000 shares of Maxeon common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This divestiture represents a strategic shift in Complete Solaria’s business and qualifies as held for sale and as a discontinued operation as of October 1, 2023. Based on the held for sale classification of the assets, the Company has reduced the carrying value of the disposal group to its fair value, less cost to sell and recorded an impairment loss associated with the held for sale intangible assets and goodwill. As a result, the Company classified the results of its solar panel business in discontinued operations in its unaudited condensed consolidated statements of operations and comprehensive income (loss) for all periods presented. The cash flows related to discontinued operations have been segregated and are included in the unaudited condensed consolidated statements of cash flows for all periods presented. Unless otherwise noted, discussion within the notes to the unaudited condensed consolidated financial statements relates to continuing operations only and excludes the historical activities of the North American panel business. See Note 8 – Divestiture for additional information.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2770" w:type="dxa"/>
        <w:jc w:val="left"/>
        <w:tblInd w:w="0" w:type="dxa"/>
        <w:tblLayout w:type="fixed"/>
        <w:tblCellMar>
          <w:top w:w="0" w:type="dxa"/>
          <w:left w:w="0" w:type="dxa"/>
          <w:bottom w:w="0" w:type="dxa"/>
          <w:right w:w="0" w:type="dxa"/>
        </w:tblCellMar>
      </w:tblPr>
      <w:tblGrid>
        <w:gridCol w:w="305"/>
        <w:gridCol w:w="2465"/>
      </w:tblGrid>
      <w:tr>
        <w:trPr/>
        <w:tc>
          <w:tcPr>
            <w:tcW w:w="305" w:type="dxa"/>
            <w:tcBorders/>
            <w:vAlign w:val="center"/>
          </w:tcPr>
          <w:p>
            <w:pPr>
              <w:pStyle w:val="TableContents"/>
              <w:bidi w:val="0"/>
              <w:spacing w:before="0" w:after="0"/>
              <w:jc w:val="left"/>
              <w:rPr>
                <w:b/>
                <w:i/>
                <w:spacing w:val="0"/>
              </w:rPr>
            </w:pPr>
            <w:r>
              <w:rPr>
                <w:b/>
                <w:i/>
                <w:spacing w:val="0"/>
              </w:rPr>
              <w:t>(d)</w:t>
            </w:r>
          </w:p>
        </w:tc>
        <w:tc>
          <w:tcPr>
            <w:tcW w:w="246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Liquidity and Going Concern</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Since inception, the Company has incurred recurring losses and negative cash flows from operations. The Company incurred net losses of $51.0 million and $73.4 million during the thirteen and thirty-nine weeks ended October 1, 2023, respectively, and net losses of $4.1 million and $10.8 million during the three and nine months ended September 30, 2022, respectively, and had an accumulated deficit of $327.3 million as of October 1, 2023. The Company had cash and cash equivalents of $1.7 million as of October 1, 2023. These conditions raise substantial doubt about the Company’s ability to continue as a going concern. These unaudited condensed consolidated financial statements do not include any adjustments that might result from the outcome of this uncertainty. Historically, the Company’s activities have been financed through private placements of equity securities, debt and proceeds from the Merger. The Company expects to incur significant operating expenses as it continues to grow its business. The Company believes that its operating losses and negative operating cash flows will continue into the foreseeable future. The Company’s history of recurring losses, negative operating cash flows since inception and the need to raise additional funding to meet its obligations and finance its operations raise substantial doubt about the Company’s ability to continue as a going concern. The Company’s ability to continue as a going concern requires that the Company obtains sufficient funding to meet its obligations and finance its operations. 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Therefore, there is substantial doubt about the entity’s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 </w:t>
      </w:r>
    </w:p>
    <w:p>
      <w:pPr>
        <w:pStyle w:val="TextBody"/>
        <w:bidi w:val="0"/>
        <w:spacing w:before="0" w:after="0"/>
        <w:jc w:val="left"/>
        <w:rPr>
          <w:shd w:fill="FFFFFF" w:val="clear"/>
        </w:rPr>
      </w:pPr>
      <w:r>
        <w:rPr>
          <w:shd w:fill="FFFFFF" w:val="clear"/>
        </w:rPr>
        <w:t> </w:t>
      </w:r>
    </w:p>
    <w:tbl>
      <w:tblPr>
        <w:tblW w:w="5305" w:type="dxa"/>
        <w:jc w:val="left"/>
        <w:tblInd w:w="0" w:type="dxa"/>
        <w:tblLayout w:type="fixed"/>
        <w:tblCellMar>
          <w:top w:w="0" w:type="dxa"/>
          <w:left w:w="0" w:type="dxa"/>
          <w:bottom w:w="0" w:type="dxa"/>
          <w:right w:w="0" w:type="dxa"/>
        </w:tblCellMar>
      </w:tblPr>
      <w:tblGrid>
        <w:gridCol w:w="290"/>
        <w:gridCol w:w="5015"/>
      </w:tblGrid>
      <w:tr>
        <w:trPr/>
        <w:tc>
          <w:tcPr>
            <w:tcW w:w="290" w:type="dxa"/>
            <w:tcBorders/>
            <w:vAlign w:val="center"/>
          </w:tcPr>
          <w:p>
            <w:pPr>
              <w:pStyle w:val="TableContents"/>
              <w:bidi w:val="0"/>
              <w:spacing w:before="0" w:after="0"/>
              <w:jc w:val="left"/>
              <w:rPr>
                <w:b/>
                <w:i/>
                <w:spacing w:val="0"/>
              </w:rPr>
            </w:pPr>
            <w:r>
              <w:rPr>
                <w:b/>
                <w:i/>
                <w:spacing w:val="0"/>
              </w:rPr>
              <w:t>(e)</w:t>
            </w:r>
          </w:p>
        </w:tc>
        <w:tc>
          <w:tcPr>
            <w:tcW w:w="501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Immaterial Correction of Prior Period Financial Statements</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Subsequent to the issuance of the Company’s unaudited condensed consolidated financial statements for the three and nine months ended September 30, 2022, the Company identified a misstatement in redeemable convertible preferred stock and other income (expense), net, related to the accounting for the issuance of its Series D preferred stock and conversion of SAFEs and convertible notes. Such misstatement relates to the use of an incorrect factor for the conversion of these instruments into preferred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considered both quantitative and qualitative factors and determined the effect of the misstatement was immaterial to the previously issued unaudited condensed consolidated financial statements for the three and nine months ended September 30, 2022. The Company identified and corrected the misstatement prior to the issuance of the consolidated financial statements for the year ended December 31, 2022, which were filed in FACT’s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registration statement. The adjustment in the fourth quarter resulted in a $4.4 million decrease in redeemable convertible preferred stock and other income (expense), net, as well as net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unaudited condensed consolidated statements of operations and comprehensive income (loss) and statements of stockholders’ deficit for the three and nine months ended September 30, 2022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reflect such adjustment. Accordingly, the accompanying unaudited condensed consolidated statements of cash flows reflect such adjustment, and there was no change to net cash used in operating activities from continuing operations, net cash used in investing activities from continuing operations, or net cash provided by financing activities from continuing operations for the nine months ended September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30</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2022</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 </w:t>
      </w:r>
    </w:p>
    <w:p>
      <w:pPr>
        <w:pStyle w:val="TextBody"/>
        <w:bidi w:val="0"/>
        <w:spacing w:before="0" w:after="0"/>
        <w:jc w:val="left"/>
        <w:rPr>
          <w:shd w:fill="FFFFFF" w:val="clear"/>
        </w:rPr>
      </w:pPr>
      <w:r>
        <w:rPr>
          <w:shd w:fill="FFFFFF" w:val="clear"/>
        </w:rPr>
        <w:t> </w:t>
      </w:r>
    </w:p>
    <w:tbl>
      <w:tblPr>
        <w:tblW w:w="4105" w:type="dxa"/>
        <w:jc w:val="left"/>
        <w:tblInd w:w="0" w:type="dxa"/>
        <w:tblLayout w:type="fixed"/>
        <w:tblCellMar>
          <w:top w:w="0" w:type="dxa"/>
          <w:left w:w="0" w:type="dxa"/>
          <w:bottom w:w="0" w:type="dxa"/>
          <w:right w:w="0" w:type="dxa"/>
        </w:tblCellMar>
      </w:tblPr>
      <w:tblGrid>
        <w:gridCol w:w="305"/>
        <w:gridCol w:w="3800"/>
      </w:tblGrid>
      <w:tr>
        <w:trPr/>
        <w:tc>
          <w:tcPr>
            <w:tcW w:w="30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0" w:after="0"/>
        <w:jc w:val="left"/>
        <w:rPr>
          <w:shd w:fill="FFFFFF" w:val="clear"/>
        </w:rPr>
      </w:pPr>
      <w:r>
        <w:rPr>
          <w:shd w:fill="FFFFFF" w:val="clear"/>
        </w:rPr>
        <w:t> </w:t>
      </w:r>
    </w:p>
    <w:tbl>
      <w:tblPr>
        <w:tblW w:w="1705" w:type="dxa"/>
        <w:jc w:val="left"/>
        <w:tblInd w:w="0" w:type="dxa"/>
        <w:tblLayout w:type="fixed"/>
        <w:tblCellMar>
          <w:top w:w="0" w:type="dxa"/>
          <w:left w:w="0" w:type="dxa"/>
          <w:bottom w:w="0" w:type="dxa"/>
          <w:right w:w="0" w:type="dxa"/>
        </w:tblCellMar>
      </w:tblPr>
      <w:tblGrid>
        <w:gridCol w:w="305"/>
        <w:gridCol w:w="1400"/>
      </w:tblGrid>
      <w:tr>
        <w:trPr/>
        <w:tc>
          <w:tcPr>
            <w:tcW w:w="305" w:type="dxa"/>
            <w:tcBorders/>
            <w:vAlign w:val="center"/>
          </w:tcPr>
          <w:p>
            <w:pPr>
              <w:pStyle w:val="TableContents"/>
              <w:bidi w:val="0"/>
              <w:spacing w:before="0" w:after="0"/>
              <w:jc w:val="left"/>
              <w:rPr>
                <w:b/>
                <w:i/>
                <w:spacing w:val="0"/>
              </w:rPr>
            </w:pPr>
            <w:r>
              <w:rPr>
                <w:b/>
                <w:i/>
                <w:spacing w:val="0"/>
              </w:rPr>
              <w:t>(a)</w:t>
            </w:r>
          </w:p>
        </w:tc>
        <w:tc>
          <w:tcPr>
            <w:tcW w:w="140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Use of Estimates</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preparation of the Company’s unaudited condensed consolidated financial statements in conformity with GAAP requires management to make estimates and assumptions that affect the reported amounts of assets, liabilities, revenue, expenses, as well as related disclosure of contingent assets and liabilities. Significant estimates and assumptions made by management include, but are not limited to, the determination of: </w:t>
      </w:r>
    </w:p>
    <w:p>
      <w:pPr>
        <w:pStyle w:val="TextBody"/>
        <w:bidi w:val="0"/>
        <w:spacing w:before="0" w:after="0"/>
        <w:jc w:val="left"/>
        <w:rPr>
          <w:shd w:fill="FFFFFF" w:val="clear"/>
        </w:rPr>
      </w:pPr>
      <w:r>
        <w:rPr>
          <w:shd w:fill="FFFFFF" w:val="clear"/>
        </w:rPr>
        <w:t> </w:t>
      </w:r>
    </w:p>
    <w:tbl>
      <w:tblPr>
        <w:tblW w:w="6490" w:type="dxa"/>
        <w:jc w:val="left"/>
        <w:tblInd w:w="0" w:type="dxa"/>
        <w:tblLayout w:type="fixed"/>
        <w:tblCellMar>
          <w:top w:w="0" w:type="dxa"/>
          <w:left w:w="0" w:type="dxa"/>
          <w:bottom w:w="0" w:type="dxa"/>
          <w:right w:w="0" w:type="dxa"/>
        </w:tblCellMar>
      </w:tblPr>
      <w:tblGrid>
        <w:gridCol w:w="75"/>
        <w:gridCol w:w="110"/>
        <w:gridCol w:w="6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allocation of the transaction price to identified performance obligations; </w:t>
            </w:r>
          </w:p>
        </w:tc>
      </w:tr>
    </w:tbl>
    <w:p>
      <w:pPr>
        <w:pStyle w:val="TextBody"/>
        <w:bidi w:val="0"/>
        <w:spacing w:before="0" w:after="0"/>
        <w:jc w:val="left"/>
        <w:rPr>
          <w:shd w:fill="FFFFFF" w:val="clear"/>
        </w:rPr>
      </w:pPr>
      <w:r>
        <w:rPr>
          <w:shd w:fill="FFFFFF" w:val="clear"/>
        </w:rPr>
        <w:t> </w:t>
      </w:r>
    </w:p>
    <w:tbl>
      <w:tblPr>
        <w:tblW w:w="2830" w:type="dxa"/>
        <w:jc w:val="left"/>
        <w:tblInd w:w="0" w:type="dxa"/>
        <w:tblLayout w:type="fixed"/>
        <w:tblCellMar>
          <w:top w:w="0" w:type="dxa"/>
          <w:left w:w="0" w:type="dxa"/>
          <w:bottom w:w="0" w:type="dxa"/>
          <w:right w:w="0" w:type="dxa"/>
        </w:tblCellMar>
      </w:tblPr>
      <w:tblGrid>
        <w:gridCol w:w="75"/>
        <w:gridCol w:w="110"/>
        <w:gridCol w:w="60"/>
        <w:gridCol w:w="2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 value of warrant liabilities; </w:t>
            </w:r>
          </w:p>
        </w:tc>
      </w:tr>
    </w:tbl>
    <w:p>
      <w:pPr>
        <w:pStyle w:val="TextBody"/>
        <w:bidi w:val="0"/>
        <w:spacing w:before="0" w:after="0"/>
        <w:jc w:val="left"/>
        <w:rPr>
          <w:shd w:fill="FFFFFF" w:val="clear"/>
        </w:rPr>
      </w:pPr>
      <w:r>
        <w:rPr>
          <w:shd w:fill="FFFFFF" w:val="clea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of assets acquired and liabilities assumed for business combinations; </w:t>
            </w:r>
          </w:p>
        </w:tc>
      </w:tr>
    </w:tbl>
    <w:p>
      <w:pPr>
        <w:pStyle w:val="TextBody"/>
        <w:bidi w:val="0"/>
        <w:spacing w:before="0" w:after="0"/>
        <w:jc w:val="left"/>
        <w:rPr>
          <w:shd w:fill="FFFFFF" w:val="clear"/>
        </w:rPr>
      </w:pPr>
      <w:r>
        <w:rPr>
          <w:shd w:fill="FFFFFF" w:val="clea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reserve methodology for inventory obsolescence; </w:t>
            </w:r>
          </w:p>
        </w:tc>
      </w:tr>
    </w:tbl>
    <w:p>
      <w:pPr>
        <w:pStyle w:val="TextBody"/>
        <w:bidi w:val="0"/>
        <w:spacing w:before="0" w:after="0"/>
        <w:jc w:val="left"/>
        <w:rPr>
          <w:shd w:fill="FFFFFF" w:val="clear"/>
        </w:rPr>
      </w:pPr>
      <w:r>
        <w:rPr>
          <w:shd w:fill="FFFFFF" w:val="clea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reserve methodology for product warranty; </w:t>
            </w:r>
          </w:p>
        </w:tc>
      </w:tr>
    </w:tbl>
    <w:p>
      <w:pPr>
        <w:pStyle w:val="TextBody"/>
        <w:bidi w:val="0"/>
        <w:spacing w:before="0" w:after="0"/>
        <w:jc w:val="left"/>
        <w:rPr>
          <w:shd w:fill="FFFFFF" w:val="clear"/>
        </w:rPr>
      </w:pPr>
      <w:r>
        <w:rPr>
          <w:shd w:fill="FFFFFF" w:val="clea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reserve methodology for the allowance for credit losses; and </w:t>
            </w:r>
          </w:p>
        </w:tc>
      </w:tr>
    </w:tbl>
    <w:p>
      <w:pPr>
        <w:pStyle w:val="TextBody"/>
        <w:bidi w:val="0"/>
        <w:spacing w:before="0" w:after="0"/>
        <w:jc w:val="left"/>
        <w:rPr>
          <w:shd w:fill="FFFFFF" w:val="clear"/>
        </w:rPr>
      </w:pPr>
      <w:r>
        <w:rPr>
          <w:shd w:fill="FFFFFF" w:val="clea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of the forward purchase agreements.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To the extent that there are material differences between these estimates and actual results, the Company’s financial condition or operating results will be affected. </w:t>
      </w:r>
    </w:p>
    <w:p>
      <w:pPr>
        <w:pStyle w:val="TextBody"/>
        <w:bidi w:val="0"/>
        <w:spacing w:before="0" w:after="0"/>
        <w:jc w:val="left"/>
        <w:rPr>
          <w:shd w:fill="FFFFFF" w:val="clear"/>
        </w:rPr>
      </w:pPr>
      <w:r>
        <w:rPr>
          <w:shd w:fill="FFFFFF" w:val="clear"/>
        </w:rPr>
        <w:t> </w:t>
      </w:r>
    </w:p>
    <w:tbl>
      <w:tblPr>
        <w:tblW w:w="3250" w:type="dxa"/>
        <w:jc w:val="left"/>
        <w:tblInd w:w="0" w:type="dxa"/>
        <w:tblLayout w:type="fixed"/>
        <w:tblCellMar>
          <w:top w:w="0" w:type="dxa"/>
          <w:left w:w="0" w:type="dxa"/>
          <w:bottom w:w="0" w:type="dxa"/>
          <w:right w:w="0" w:type="dxa"/>
        </w:tblCellMar>
      </w:tblPr>
      <w:tblGrid>
        <w:gridCol w:w="305"/>
        <w:gridCol w:w="2945"/>
      </w:tblGrid>
      <w:tr>
        <w:trPr/>
        <w:tc>
          <w:tcPr>
            <w:tcW w:w="305" w:type="dxa"/>
            <w:tcBorders/>
            <w:vAlign w:val="center"/>
          </w:tcPr>
          <w:p>
            <w:pPr>
              <w:pStyle w:val="TableContents"/>
              <w:bidi w:val="0"/>
              <w:spacing w:before="0" w:after="0"/>
              <w:jc w:val="left"/>
              <w:rPr>
                <w:b/>
                <w:i/>
                <w:spacing w:val="0"/>
              </w:rPr>
            </w:pPr>
            <w:r>
              <w:rPr>
                <w:b/>
                <w:i/>
                <w:spacing w:val="0"/>
              </w:rPr>
              <w:t>(b)</w:t>
            </w:r>
          </w:p>
        </w:tc>
        <w:tc>
          <w:tcPr>
            <w:tcW w:w="294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Supply Chain Constraints and Risk</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relies on a very small number of suppliers of solar energy systems and other equipment. If any of the Company’s suppliers was unable or unwilling to provide the Company with contracted quantities in a timely manner at prices, quality levels and volumes acceptable to the Company, the Company would have very limited alternatives for supply, and the Company may not be able find suitable replacements for the Company’s customers, or at all. Such an event could materially adversely affect the Company’s business, prospects, financial condition and results of operations.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addition, the global supply chain and the Company’s industry have experienced significant disruptions in recent periods. The Company has seen supply chain challenges and logistics constraints increase, including shortages of panels, inverters, batteries and associated component parts for inverters and solar energy systems available for purchase. In certain cases, this has caused delays in critical equipment and inventory, longer lead times, and has resulted in cost volatility. These shortages and delays can be attributed in part to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COVID-19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pandemic and resulting government action, broader macroeconomic conditions, and have been exacerbated by the ongoing conflicts in Ukraine and Israel. While the Company believes that a majority of the Company’s suppliers have secured sufficient supply to permit them to continue delivery and installations through the end of 2023, if these shortages and delays persist into 2024, they could adversely affect the timing of when battery energy storage systems can be delivered and installed, and when (or if) the Company can begin to generate revenue from those systems. In addition, the Company has experienced and is experiencing varying levels of volatility in costs of equipment and labor resulting in part from disruptions caused by general global economic conditions, including inflationary pressures and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COVID-19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pandemic.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cannot predict the full effects these events will have on the Company’s business, cash flows, liquidity, financial condition and results of operations at this time due to numerous uncertainties. In the event the Company is unable to mitigate the impact of delays or price volatility in solar energy systems, raw materials, and freight, it could materially adversely affect the Company’s business, prospects, financial condition and results of operations. </w:t>
      </w:r>
    </w:p>
    <w:p>
      <w:pPr>
        <w:pStyle w:val="TextBody"/>
        <w:bidi w:val="0"/>
        <w:spacing w:before="0" w:after="0"/>
        <w:jc w:val="left"/>
        <w:rPr>
          <w:shd w:fill="FFFFFF" w:val="clear"/>
        </w:rPr>
      </w:pPr>
      <w:r>
        <w:rPr>
          <w:shd w:fill="FFFFFF" w:val="clear"/>
        </w:rPr>
        <w:t> </w:t>
      </w:r>
    </w:p>
    <w:tbl>
      <w:tblPr>
        <w:tblW w:w="2080" w:type="dxa"/>
        <w:jc w:val="left"/>
        <w:tblInd w:w="0" w:type="dxa"/>
        <w:tblLayout w:type="fixed"/>
        <w:tblCellMar>
          <w:top w:w="0" w:type="dxa"/>
          <w:left w:w="0" w:type="dxa"/>
          <w:bottom w:w="0" w:type="dxa"/>
          <w:right w:w="0" w:type="dxa"/>
        </w:tblCellMar>
      </w:tblPr>
      <w:tblGrid>
        <w:gridCol w:w="290"/>
        <w:gridCol w:w="1790"/>
      </w:tblGrid>
      <w:tr>
        <w:trPr/>
        <w:tc>
          <w:tcPr>
            <w:tcW w:w="290" w:type="dxa"/>
            <w:tcBorders/>
            <w:vAlign w:val="center"/>
          </w:tcPr>
          <w:p>
            <w:pPr>
              <w:pStyle w:val="TableContents"/>
              <w:bidi w:val="0"/>
              <w:spacing w:before="0" w:after="0"/>
              <w:jc w:val="left"/>
              <w:rPr>
                <w:b/>
                <w:i/>
                <w:spacing w:val="0"/>
              </w:rPr>
            </w:pPr>
            <w:r>
              <w:rPr>
                <w:b/>
                <w:i/>
                <w:spacing w:val="0"/>
              </w:rPr>
              <w:t>(c)</w:t>
            </w:r>
          </w:p>
        </w:tc>
        <w:tc>
          <w:tcPr>
            <w:tcW w:w="179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Segment Information</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conducts its business in one operating segment that provides custom solar solutions through a standardized platform to its residential solar providers and companies to facilitate the sale and installation of solar energy systems under a single product group. The Company’s Chief Executive Officer (“CEO”) is the Chief Operating Decision Maker (“CODM”). The CODM allocates resources and makes operating decisions based on financial information presented on a consolidated basis. The profitability of the Company’s product group is not a determining factor in allocating resources and the CODM does not evaluate profitability below the level of the consolidated company. All the Company’s long-lived assets are maintained in the United States of America. </w:t>
      </w:r>
    </w:p>
    <w:p>
      <w:pPr>
        <w:pStyle w:val="TextBody"/>
        <w:bidi w:val="0"/>
        <w:spacing w:before="0" w:after="0"/>
        <w:jc w:val="left"/>
        <w:rPr>
          <w:shd w:fill="FFFFFF" w:val="clear"/>
        </w:rPr>
      </w:pPr>
      <w:r>
        <w:rPr>
          <w:shd w:fill="FFFFFF" w:val="clear"/>
        </w:rPr>
        <w:t> </w:t>
      </w:r>
    </w:p>
    <w:tbl>
      <w:tblPr>
        <w:tblW w:w="1690" w:type="dxa"/>
        <w:jc w:val="left"/>
        <w:tblInd w:w="0" w:type="dxa"/>
        <w:tblLayout w:type="fixed"/>
        <w:tblCellMar>
          <w:top w:w="0" w:type="dxa"/>
          <w:left w:w="0" w:type="dxa"/>
          <w:bottom w:w="0" w:type="dxa"/>
          <w:right w:w="0" w:type="dxa"/>
        </w:tblCellMar>
      </w:tblPr>
      <w:tblGrid>
        <w:gridCol w:w="305"/>
        <w:gridCol w:w="1385"/>
      </w:tblGrid>
      <w:tr>
        <w:trPr/>
        <w:tc>
          <w:tcPr>
            <w:tcW w:w="305" w:type="dxa"/>
            <w:tcBorders/>
            <w:vAlign w:val="center"/>
          </w:tcPr>
          <w:p>
            <w:pPr>
              <w:pStyle w:val="TableContents"/>
              <w:bidi w:val="0"/>
              <w:spacing w:before="0" w:after="0"/>
              <w:jc w:val="left"/>
              <w:rPr>
                <w:b/>
                <w:i/>
                <w:spacing w:val="0"/>
              </w:rPr>
            </w:pPr>
            <w:r>
              <w:rPr>
                <w:b/>
                <w:i/>
                <w:spacing w:val="0"/>
              </w:rPr>
              <w:t>(d)</w:t>
            </w:r>
          </w:p>
        </w:tc>
        <w:tc>
          <w:tcPr>
            <w:tcW w:w="138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 xml:space="preserve">Restricted Cash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classifies all cash for which usage is limited by contractual provisions as restricted cash. Restricted cash balance as of October 1, 2023 and December 31, 2022, was $3.8 million and $3.9 million, respectively. The restricted cash consists of deposits in money market accounts, which is used as cash collateral backing letters of credit related to customs duty authorities’ requirements. The Company has presented these balances under restricted cash, as a long-term asset, in the unaudited condensed consolidated balance sheets. The Company reconciles cash, cash equivalents, and restricted cash reported in the unaudited condensed consolidated balance sheets that aggregate to the beginning and ending balances shown in the unaudited condensed consolidated statements of cash flows as follows (in thousands): </w:t>
      </w:r>
    </w:p>
    <w:p>
      <w:pPr>
        <w:pStyle w:val="TextBody"/>
        <w:bidi w:val="0"/>
        <w:spacing w:before="0" w:after="0"/>
        <w:jc w:val="left"/>
        <w:rPr>
          <w:shd w:fill="FFFFFF" w:val="clear"/>
        </w:rPr>
      </w:pPr>
      <w:r>
        <w:rPr>
          <w:shd w:fill="FFFFFF" w:val="clear"/>
        </w:rPr>
        <w:t> </w:t>
      </w:r>
    </w:p>
    <w:tbl>
      <w:tblPr>
        <w:tblW w:w="6780" w:type="dxa"/>
        <w:jc w:val="left"/>
        <w:tblInd w:w="0" w:type="dxa"/>
        <w:tblLayout w:type="fixed"/>
        <w:tblCellMar>
          <w:top w:w="0" w:type="dxa"/>
          <w:left w:w="0" w:type="dxa"/>
          <w:bottom w:w="0" w:type="dxa"/>
          <w:right w:w="0" w:type="dxa"/>
        </w:tblCellMar>
      </w:tblPr>
      <w:tblGrid>
        <w:gridCol w:w="3905"/>
        <w:gridCol w:w="120"/>
        <w:gridCol w:w="217"/>
        <w:gridCol w:w="868"/>
        <w:gridCol w:w="60"/>
        <w:gridCol w:w="120"/>
        <w:gridCol w:w="283"/>
        <w:gridCol w:w="1132"/>
        <w:gridCol w:w="75"/>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1,661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4,409</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3,758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3,907</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86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5,419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8,316</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86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2095" w:type="dxa"/>
        <w:jc w:val="left"/>
        <w:tblInd w:w="0" w:type="dxa"/>
        <w:tblLayout w:type="fixed"/>
        <w:tblCellMar>
          <w:top w:w="0" w:type="dxa"/>
          <w:left w:w="0" w:type="dxa"/>
          <w:bottom w:w="0" w:type="dxa"/>
          <w:right w:w="0" w:type="dxa"/>
        </w:tblCellMar>
      </w:tblPr>
      <w:tblGrid>
        <w:gridCol w:w="290"/>
        <w:gridCol w:w="1805"/>
      </w:tblGrid>
      <w:tr>
        <w:trPr/>
        <w:tc>
          <w:tcPr>
            <w:tcW w:w="290" w:type="dxa"/>
            <w:tcBorders/>
            <w:vAlign w:val="center"/>
          </w:tcPr>
          <w:p>
            <w:pPr>
              <w:pStyle w:val="TableContents"/>
              <w:bidi w:val="0"/>
              <w:spacing w:before="0" w:after="0"/>
              <w:jc w:val="left"/>
              <w:rPr>
                <w:b/>
                <w:i/>
                <w:spacing w:val="0"/>
              </w:rPr>
            </w:pPr>
            <w:r>
              <w:rPr>
                <w:b/>
                <w:i/>
                <w:spacing w:val="0"/>
              </w:rPr>
              <w:t>(e)</w:t>
            </w:r>
          </w:p>
        </w:tc>
        <w:tc>
          <w:tcPr>
            <w:tcW w:w="180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Revenue Recognition</w:t>
            </w:r>
          </w:p>
        </w:tc>
      </w:tr>
    </w:tbl>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Disaggregation of revenue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Refer to the table below for the Company’s revenue recognized by product and service type (in thousands): </w:t>
      </w:r>
    </w:p>
    <w:p>
      <w:pPr>
        <w:pStyle w:val="TextBody"/>
        <w:bidi w:val="0"/>
        <w:spacing w:before="0" w:after="0"/>
        <w:jc w:val="left"/>
        <w:rPr>
          <w:shd w:fill="FFFFFF" w:val="clear"/>
        </w:rPr>
      </w:pPr>
      <w:r>
        <w:rPr>
          <w:shd w:fill="FFFFFF" w:val="clear"/>
        </w:rPr>
        <w:t> </w:t>
      </w:r>
    </w:p>
    <w:tbl>
      <w:tblPr>
        <w:tblW w:w="8710" w:type="dxa"/>
        <w:jc w:val="left"/>
        <w:tblInd w:w="0" w:type="dxa"/>
        <w:tblLayout w:type="fixed"/>
        <w:tblCellMar>
          <w:top w:w="0" w:type="dxa"/>
          <w:left w:w="0" w:type="dxa"/>
          <w:bottom w:w="0" w:type="dxa"/>
          <w:right w:w="0" w:type="dxa"/>
        </w:tblCellMar>
      </w:tblPr>
      <w:tblGrid>
        <w:gridCol w:w="2705"/>
        <w:gridCol w:w="120"/>
        <w:gridCol w:w="185"/>
        <w:gridCol w:w="900"/>
        <w:gridCol w:w="60"/>
        <w:gridCol w:w="120"/>
        <w:gridCol w:w="251"/>
        <w:gridCol w:w="1224"/>
        <w:gridCol w:w="60"/>
        <w:gridCol w:w="120"/>
        <w:gridCol w:w="210"/>
        <w:gridCol w:w="1025"/>
        <w:gridCol w:w="60"/>
        <w:gridCol w:w="120"/>
        <w:gridCol w:w="251"/>
        <w:gridCol w:w="1224"/>
        <w:gridCol w:w="75"/>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w:t>
              <w:br/>
              <w:t>Weeks</w:t>
              <w:br/>
              <w:t>Ended</w:t>
              <w:b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w:t>
              <w:br/>
              <w:t>Months</w:t>
              <w:br/>
              <w:t>Ended</w:t>
              <w:br/>
              <w:t>September 30,</w:t>
              <w:b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w:t>
            </w:r>
          </w:p>
          <w:p>
            <w:pPr>
              <w:pStyle w:val="TableContents"/>
              <w:bidi w:val="0"/>
              <w:spacing w:before="0" w:after="0"/>
              <w:jc w:val="center"/>
              <w:rPr>
                <w:b/>
                <w:spacing w:val="0"/>
              </w:rPr>
            </w:pPr>
            <w:r>
              <w:rPr>
                <w:b/>
                <w:spacing w:val="0"/>
              </w:rPr>
              <w:br/>
              <w:t>Weeks</w:t>
              <w:br/>
              <w:t>Ended</w:t>
              <w:b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w:t>
              <w:br/>
              <w:t>Ended</w:t>
              <w:br/>
              <w:t>September 30,</w:t>
              <w:br/>
              <w:t>2022</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Solar energy system installations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23,915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11,120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64,511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46,214</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Software enhanced services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675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1,140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2,376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2,760</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9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24,590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12,260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66,887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48,974</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9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All of the Company’s revenue recognized by geography based on the location of the customer for the thirteen and thirty-nine weeks ended October 1, 2023 and three and nine months ended September 30, 2022 was in the United States.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Remaining performance obligations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elected the practical expedient not to disclose remaining performance obligations for contracts that are less than one year in length. The Company has deferred $1.0 million and $1.3 million associated with a long-term service contract as of October 1, 2023 and December 31, 2022, respectively.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Incremental costs of obtaining customer contracts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Incremental costs of obtaining customer contracts consist of sales commissions, which are costs paid to third-party vendors who source residential customer contracts for the sale of solar energy systems by the Company. The Company defers sales commissions and recognizes expense in accordance with the timing of the related revenue recognition. Amortization of deferred commissions is recorded as sales commissions in the accompanying unaudited condensed consolidated statements of operations and comprehensive income (loss). As of October 1, 2023 and December 31, 2022, deferred commissions were $5.5 million and $2.8 million, respectively, which were included in prepaid expenses and other current assets in the accompanying unaudited condensed consolidated balance sheets.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Deferred revenue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typically invoices its customers upon completion of set milestones, generally upon installation of the solar energy system with the remaining balance invoiced upon passing the final building inspection. Standard payment terms to customers range from 30 to 60 days. When the Company receives consideration, or when such consideration is unconditionally due, from a customer prior to delivering goods or services to the customer under the terms of a customer agreement, the Company records deferred revenue. As installation projects are typically completed within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12-months,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majority of the Company’s deferred revenue is reflected in current liabilities in the accompanying unaudited condensed consolidated balance sheets. The Company also has deferred revenue associated with a long-term service contract which is reflected in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non-current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liabilities in the accompanying unaudited condensed consolidated balance sheets. The amount of revenue recognized during the thirty-nine weeks ended October 1, 2023 and the nine months ended September 30, 2022 that was included in deferred revenue at the beginning of the year was $2.5 million and $3.9 million, respectively. </w:t>
      </w:r>
    </w:p>
    <w:p>
      <w:pPr>
        <w:pStyle w:val="TextBody"/>
        <w:bidi w:val="0"/>
        <w:spacing w:before="0" w:after="0"/>
        <w:jc w:val="left"/>
        <w:rPr>
          <w:shd w:fill="FFFFFF" w:val="clear"/>
        </w:rPr>
      </w:pPr>
      <w:r>
        <w:rPr>
          <w:shd w:fill="FFFFFF" w:val="clear"/>
        </w:rPr>
        <w:t> </w:t>
      </w:r>
    </w:p>
    <w:tbl>
      <w:tblPr>
        <w:tblW w:w="2455" w:type="dxa"/>
        <w:jc w:val="left"/>
        <w:tblInd w:w="0" w:type="dxa"/>
        <w:tblLayout w:type="fixed"/>
        <w:tblCellMar>
          <w:top w:w="0" w:type="dxa"/>
          <w:left w:w="0" w:type="dxa"/>
          <w:bottom w:w="0" w:type="dxa"/>
          <w:right w:w="0" w:type="dxa"/>
        </w:tblCellMar>
      </w:tblPr>
      <w:tblGrid>
        <w:gridCol w:w="260"/>
        <w:gridCol w:w="2195"/>
      </w:tblGrid>
      <w:tr>
        <w:trPr/>
        <w:tc>
          <w:tcPr>
            <w:tcW w:w="260" w:type="dxa"/>
            <w:tcBorders/>
            <w:vAlign w:val="center"/>
          </w:tcPr>
          <w:p>
            <w:pPr>
              <w:pStyle w:val="TableContents"/>
              <w:bidi w:val="0"/>
              <w:spacing w:before="0" w:after="0"/>
              <w:jc w:val="left"/>
              <w:rPr>
                <w:b/>
                <w:i/>
                <w:spacing w:val="0"/>
              </w:rPr>
            </w:pPr>
            <w:r>
              <w:rPr>
                <w:b/>
                <w:i/>
                <w:spacing w:val="0"/>
              </w:rPr>
              <w:t>(f)</w:t>
            </w:r>
          </w:p>
        </w:tc>
        <w:tc>
          <w:tcPr>
            <w:tcW w:w="219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Fair Value Measurements</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When considering market participant assumptions in fair value measurements, the following fair value hierarchy distinguishes between observable and unobservable inputs, which are categorized in one of the following levels: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1 inputs: Unadjusted quoted prices in active markets for identical assets or liabilities accessible to the reporting entity at the measurement date.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2 inputs: Other than quoted prices included in Level 1 inputs that are observable for the asset or liability, either directly or indirectly, for substantially the full term of the asset or liability.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3 inputs: Unobservable inputs for the asset or liability used to measure fair value to the extent that observable inputs are not available, thereby allowing for situations in which there is little, if any, market activity for the asset or liability at the measurement date.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Financial assets and liabilities held by the Company measured at fair value on a recurring basis as of October 1, 2023 and December 31, 2022 include cash and cash equivalents, accounts receivable, accounts payable, accrued expenses, the warrant liabilities and FPA liabilities.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carrying amounts of cash, accounts receivable, accounts payable and accrued expenses approximate their fair value because of their short-term nature (classified as Level 1).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warrant liabilities and FPA liabilities are measured at fair value using Level 3 inputs. The Company records subsequent adjustments to reflect the increase or decrease in estimated fair value at each reporting date within the unaudited condensed consolidated statements of operations and comprehensive income (loss) as a component of other income (expense), net. </w:t>
      </w:r>
    </w:p>
    <w:p>
      <w:pPr>
        <w:pStyle w:val="TextBody"/>
        <w:bidi w:val="0"/>
        <w:spacing w:before="0" w:after="0"/>
        <w:jc w:val="left"/>
        <w:rPr>
          <w:shd w:fill="FFFFFF" w:val="clear"/>
        </w:rPr>
      </w:pPr>
      <w:r>
        <w:rPr>
          <w:shd w:fill="FFFFFF" w:val="clear"/>
        </w:rPr>
        <w:t> </w:t>
      </w:r>
    </w:p>
    <w:tbl>
      <w:tblPr>
        <w:tblW w:w="2080" w:type="dxa"/>
        <w:jc w:val="left"/>
        <w:tblInd w:w="0" w:type="dxa"/>
        <w:tblLayout w:type="fixed"/>
        <w:tblCellMar>
          <w:top w:w="0" w:type="dxa"/>
          <w:left w:w="0" w:type="dxa"/>
          <w:bottom w:w="0" w:type="dxa"/>
          <w:right w:w="0" w:type="dxa"/>
        </w:tblCellMar>
      </w:tblPr>
      <w:tblGrid>
        <w:gridCol w:w="305"/>
        <w:gridCol w:w="1775"/>
      </w:tblGrid>
      <w:tr>
        <w:trPr/>
        <w:tc>
          <w:tcPr>
            <w:tcW w:w="305" w:type="dxa"/>
            <w:tcBorders/>
            <w:vAlign w:val="center"/>
          </w:tcPr>
          <w:p>
            <w:pPr>
              <w:pStyle w:val="TableContents"/>
              <w:bidi w:val="0"/>
              <w:spacing w:before="0" w:after="0"/>
              <w:jc w:val="left"/>
              <w:rPr>
                <w:b/>
                <w:i/>
                <w:spacing w:val="0"/>
              </w:rPr>
            </w:pPr>
            <w:r>
              <w:rPr>
                <w:b/>
                <w:i/>
                <w:spacing w:val="0"/>
              </w:rPr>
              <w:t>(g)</w:t>
            </w:r>
          </w:p>
        </w:tc>
        <w:tc>
          <w:tcPr>
            <w:tcW w:w="177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Direct Offering Costs</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Direct offering costs represent legal, accounting and other direct costs related to the Mergers, which was consummated in July 2023. In accounting for the Mergers, direct offering costs of approximately $5.7 million were reclassified to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and netted against the Mergers proceeds received upon close. As of October 1, 2023 and December 31, 2022, the Company had no deferred offering costs included within prepaid expenses and other current assets in its unaudited condensed consolidated balance sheets. </w:t>
      </w:r>
    </w:p>
    <w:p>
      <w:pPr>
        <w:pStyle w:val="TextBody"/>
        <w:bidi w:val="0"/>
        <w:spacing w:before="0" w:after="0"/>
        <w:jc w:val="left"/>
        <w:rPr>
          <w:shd w:fill="FFFFFF" w:val="clear"/>
        </w:rPr>
      </w:pPr>
      <w:r>
        <w:rPr>
          <w:shd w:fill="FFFFFF" w:val="clear"/>
        </w:rPr>
        <w:t> </w:t>
      </w:r>
    </w:p>
    <w:tbl>
      <w:tblPr>
        <w:tblW w:w="1960" w:type="dxa"/>
        <w:jc w:val="left"/>
        <w:tblInd w:w="0" w:type="dxa"/>
        <w:tblLayout w:type="fixed"/>
        <w:tblCellMar>
          <w:top w:w="0" w:type="dxa"/>
          <w:left w:w="0" w:type="dxa"/>
          <w:bottom w:w="0" w:type="dxa"/>
          <w:right w:w="0" w:type="dxa"/>
        </w:tblCellMar>
      </w:tblPr>
      <w:tblGrid>
        <w:gridCol w:w="320"/>
        <w:gridCol w:w="1640"/>
      </w:tblGrid>
      <w:tr>
        <w:trPr/>
        <w:tc>
          <w:tcPr>
            <w:tcW w:w="320" w:type="dxa"/>
            <w:tcBorders/>
            <w:vAlign w:val="center"/>
          </w:tcPr>
          <w:p>
            <w:pPr>
              <w:pStyle w:val="TableContents"/>
              <w:bidi w:val="0"/>
              <w:spacing w:before="0" w:after="0"/>
              <w:jc w:val="left"/>
              <w:rPr>
                <w:b/>
                <w:i/>
                <w:spacing w:val="0"/>
              </w:rPr>
            </w:pPr>
            <w:r>
              <w:rPr>
                <w:b/>
                <w:i/>
                <w:spacing w:val="0"/>
              </w:rPr>
              <w:t>(h)</w:t>
            </w:r>
          </w:p>
        </w:tc>
        <w:tc>
          <w:tcPr>
            <w:tcW w:w="164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Warrant Liabilities</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accounts for its warrant liabilities in accordance with the guidance in ASC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815-40,</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Derivatives and Hedging – Contracts in Entity’s Own Equity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under which the warrants that do not meet the criteria for equity classification and must be recorded as liabilities. The warrant liabilities are measured at fair value at inception and at each reporting date in accordance with the guidance in ASC 820,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Fair Value Measurement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with any subsequent changes in fair value recognized in other income (expense), net on the unaudited condensed consolidated statements of operations and comprehensive income (loss). Refer to Note 3 – Fair Value Measurements and Note 15 – Warrants. </w:t>
      </w:r>
    </w:p>
    <w:p>
      <w:pPr>
        <w:pStyle w:val="TextBody"/>
        <w:bidi w:val="0"/>
        <w:spacing w:before="0" w:after="0"/>
        <w:jc w:val="left"/>
        <w:rPr>
          <w:shd w:fill="FFFFFF" w:val="clear"/>
        </w:rPr>
      </w:pPr>
      <w:r>
        <w:rPr>
          <w:shd w:fill="FFFFFF" w:val="clear"/>
        </w:rPr>
        <w:t> </w:t>
      </w:r>
    </w:p>
    <w:tbl>
      <w:tblPr>
        <w:tblW w:w="2950" w:type="dxa"/>
        <w:jc w:val="left"/>
        <w:tblInd w:w="0" w:type="dxa"/>
        <w:tblLayout w:type="fixed"/>
        <w:tblCellMar>
          <w:top w:w="0" w:type="dxa"/>
          <w:left w:w="0" w:type="dxa"/>
          <w:bottom w:w="0" w:type="dxa"/>
          <w:right w:w="0" w:type="dxa"/>
        </w:tblCellMar>
      </w:tblPr>
      <w:tblGrid>
        <w:gridCol w:w="245"/>
        <w:gridCol w:w="2705"/>
      </w:tblGrid>
      <w:tr>
        <w:trPr/>
        <w:tc>
          <w:tcPr>
            <w:tcW w:w="245" w:type="dxa"/>
            <w:tcBorders/>
            <w:vAlign w:val="center"/>
          </w:tcPr>
          <w:p>
            <w:pPr>
              <w:pStyle w:val="TableContents"/>
              <w:bidi w:val="0"/>
              <w:spacing w:before="0" w:after="0"/>
              <w:jc w:val="left"/>
              <w:rPr>
                <w:b/>
                <w:spacing w:val="0"/>
              </w:rPr>
            </w:pPr>
            <w:r>
              <w:rPr>
                <w:b/>
                <w:spacing w:val="0"/>
              </w:rPr>
              <w:t>(i)</w:t>
            </w:r>
          </w:p>
        </w:tc>
        <w:tc>
          <w:tcPr>
            <w:tcW w:w="27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Forward Purchase Agreements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accounts for its FPAs in accordance with the guidance in ASC 480,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Distinguishing Liabilities from Equity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as the agreements embody an obligation to transfer assets to settle a forward contract. The warrant liabilities are measured at fair value at inception and at each reporting date in accordance with the guidance in ASC 820,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Fair Value Measurement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with any subsequent changes in fair value recognized in other income (expense), net on the unaudited condensed consolidated statements of operations and comprehensive income (loss). Refer to Note 3 – Fair Value Measurements and Note 5 – Forward Purchase Agreements. </w:t>
      </w:r>
    </w:p>
    <w:p>
      <w:pPr>
        <w:pStyle w:val="TextBody"/>
        <w:bidi w:val="0"/>
        <w:spacing w:before="0" w:after="0"/>
        <w:jc w:val="left"/>
        <w:rPr>
          <w:shd w:fill="FFFFFF" w:val="clear"/>
        </w:rPr>
      </w:pPr>
      <w:r>
        <w:rPr>
          <w:shd w:fill="FFFFFF" w:val="clear"/>
        </w:rPr>
        <w:t> </w:t>
      </w:r>
    </w:p>
    <w:tbl>
      <w:tblPr>
        <w:tblW w:w="1840" w:type="dxa"/>
        <w:jc w:val="left"/>
        <w:tblInd w:w="0" w:type="dxa"/>
        <w:tblLayout w:type="fixed"/>
        <w:tblCellMar>
          <w:top w:w="0" w:type="dxa"/>
          <w:left w:w="0" w:type="dxa"/>
          <w:bottom w:w="0" w:type="dxa"/>
          <w:right w:w="0" w:type="dxa"/>
        </w:tblCellMar>
      </w:tblPr>
      <w:tblGrid>
        <w:gridCol w:w="245"/>
        <w:gridCol w:w="1595"/>
      </w:tblGrid>
      <w:tr>
        <w:trPr/>
        <w:tc>
          <w:tcPr>
            <w:tcW w:w="245" w:type="dxa"/>
            <w:tcBorders/>
            <w:vAlign w:val="center"/>
          </w:tcPr>
          <w:p>
            <w:pPr>
              <w:pStyle w:val="TableContents"/>
              <w:bidi w:val="0"/>
              <w:spacing w:before="0" w:after="0"/>
              <w:jc w:val="left"/>
              <w:rPr>
                <w:b/>
                <w:i/>
                <w:spacing w:val="0"/>
              </w:rPr>
            </w:pPr>
            <w:r>
              <w:rPr>
                <w:b/>
                <w:i/>
                <w:spacing w:val="0"/>
              </w:rPr>
              <w:t>(j)</w:t>
            </w:r>
          </w:p>
        </w:tc>
        <w:tc>
          <w:tcPr>
            <w:tcW w:w="159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Net Loss Per Share</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computes net loss per share following ASC 260,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Earnings Per Share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Basic net loss per share is measured as the income or loss available to common stockholders divided by the weighted average common shares outstanding for the period. Diluted net loss per share presents the dilutive effect on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per-share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basis from the potential exercise of options and/or warrants. The potentially dilutive effect of options or warrants are computed using the treasury stock method. Securities that potentially have an anti-dilutive effect (i.e., those that increase income per share or decrease loss per share) are excluded from the diluted loss per share calculation. </w:t>
      </w:r>
    </w:p>
    <w:p>
      <w:pPr>
        <w:pStyle w:val="TextBody"/>
        <w:bidi w:val="0"/>
        <w:spacing w:before="0" w:after="0"/>
        <w:jc w:val="left"/>
        <w:rPr>
          <w:shd w:fill="FFFFFF" w:val="clear"/>
        </w:rPr>
      </w:pPr>
      <w:r>
        <w:rPr>
          <w:shd w:fill="FFFFFF" w:val="clear"/>
        </w:rPr>
        <w:t> </w:t>
      </w:r>
    </w:p>
    <w:tbl>
      <w:tblPr>
        <w:tblW w:w="4240" w:type="dxa"/>
        <w:jc w:val="left"/>
        <w:tblInd w:w="0" w:type="dxa"/>
        <w:tblLayout w:type="fixed"/>
        <w:tblCellMar>
          <w:top w:w="0" w:type="dxa"/>
          <w:left w:w="0" w:type="dxa"/>
          <w:bottom w:w="0" w:type="dxa"/>
          <w:right w:w="0" w:type="dxa"/>
        </w:tblCellMar>
      </w:tblPr>
      <w:tblGrid>
        <w:gridCol w:w="305"/>
        <w:gridCol w:w="3935"/>
      </w:tblGrid>
      <w:tr>
        <w:trPr/>
        <w:tc>
          <w:tcPr>
            <w:tcW w:w="305" w:type="dxa"/>
            <w:tcBorders/>
            <w:vAlign w:val="center"/>
          </w:tcPr>
          <w:p>
            <w:pPr>
              <w:pStyle w:val="TableContents"/>
              <w:bidi w:val="0"/>
              <w:spacing w:before="0" w:after="0"/>
              <w:jc w:val="left"/>
              <w:rPr>
                <w:b/>
                <w:i/>
                <w:spacing w:val="0"/>
              </w:rPr>
            </w:pPr>
            <w:r>
              <w:rPr>
                <w:b/>
                <w:i/>
                <w:spacing w:val="0"/>
              </w:rPr>
              <w:t>(k)</w:t>
            </w:r>
          </w:p>
        </w:tc>
        <w:tc>
          <w:tcPr>
            <w:tcW w:w="3935"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Recently Adopted Accounting Pronouncements</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2016,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Financial instruments — Credit Losses (Topic 326): Measurement of Credit Losses on Financial Instruments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and subsequent related ASUs, which amends the guidance on the impairment of financial instruments by requiring measurement and recognition of expected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credit losses for financial assets held. ASU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is effective for public and private companies’ fiscal years, and for interim periods within those fiscal years, beginning after December 15, 2019, and December 15, 2022, respectively. The Company adopted ASU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under the private company transition guidance beginning January 1, 2023. The adoption did not have a material impact on the Company’s unaudited condensed consolidated financial statements. </w:t>
      </w:r>
    </w:p>
    <w:p>
      <w:pPr>
        <w:pStyle w:val="TextBody"/>
        <w:bidi w:val="0"/>
        <w:spacing w:before="0" w:after="0"/>
        <w:jc w:val="left"/>
        <w:rPr>
          <w:shd w:fill="FFFFFF" w:val="clear"/>
        </w:rPr>
      </w:pPr>
      <w:r>
        <w:rPr>
          <w:shd w:fill="FFFFFF" w:val="clear"/>
        </w:rPr>
        <w:t> </w:t>
      </w:r>
    </w:p>
    <w:tbl>
      <w:tblPr>
        <w:tblW w:w="2575" w:type="dxa"/>
        <w:jc w:val="left"/>
        <w:tblInd w:w="0" w:type="dxa"/>
        <w:tblLayout w:type="fixed"/>
        <w:tblCellMar>
          <w:top w:w="0" w:type="dxa"/>
          <w:left w:w="0" w:type="dxa"/>
          <w:bottom w:w="0" w:type="dxa"/>
          <w:right w:w="0" w:type="dxa"/>
        </w:tblCellMar>
      </w:tblPr>
      <w:tblGrid>
        <w:gridCol w:w="305"/>
        <w:gridCol w:w="2270"/>
      </w:tblGrid>
      <w:tr>
        <w:trPr/>
        <w:tc>
          <w:tcPr>
            <w:tcW w:w="305" w:type="dxa"/>
            <w:tcBorders/>
            <w:vAlign w:val="center"/>
          </w:tcPr>
          <w:p>
            <w:pPr>
              <w:pStyle w:val="TableContents"/>
              <w:bidi w:val="0"/>
              <w:spacing w:before="0" w:after="0"/>
              <w:jc w:val="left"/>
              <w:rPr>
                <w:b/>
                <w:spacing w:val="0"/>
              </w:rPr>
            </w:pPr>
            <w:r>
              <w:rPr>
                <w:b/>
                <w:spacing w:val="0"/>
              </w:rPr>
              <w:t>(3)</w:t>
            </w:r>
          </w:p>
        </w:tc>
        <w:tc>
          <w:tcPr>
            <w:tcW w:w="22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the Company’s financial assets and liabilities that were measured at fair value, on a recurring basis (in thousands): </w:t>
      </w:r>
    </w:p>
    <w:p>
      <w:pPr>
        <w:pStyle w:val="TextBody"/>
        <w:bidi w:val="0"/>
        <w:spacing w:before="0" w:after="0"/>
        <w:jc w:val="left"/>
        <w:rPr>
          <w:shd w:fill="FFFFFF" w:val="clear"/>
        </w:rPr>
      </w:pPr>
      <w:r>
        <w:rPr>
          <w:shd w:fill="FFFFFF" w:val="clear"/>
        </w:rPr>
        <w:t> </w:t>
      </w:r>
    </w:p>
    <w:tbl>
      <w:tblPr>
        <w:tblW w:w="8495" w:type="dxa"/>
        <w:jc w:val="left"/>
        <w:tblInd w:w="0" w:type="dxa"/>
        <w:tblLayout w:type="fixed"/>
        <w:tblCellMar>
          <w:top w:w="0" w:type="dxa"/>
          <w:left w:w="0" w:type="dxa"/>
          <w:bottom w:w="0" w:type="dxa"/>
          <w:right w:w="0" w:type="dxa"/>
        </w:tblCellMar>
      </w:tblPr>
      <w:tblGrid>
        <w:gridCol w:w="4610"/>
        <w:gridCol w:w="120"/>
        <w:gridCol w:w="151"/>
        <w:gridCol w:w="604"/>
        <w:gridCol w:w="60"/>
        <w:gridCol w:w="120"/>
        <w:gridCol w:w="151"/>
        <w:gridCol w:w="604"/>
        <w:gridCol w:w="60"/>
        <w:gridCol w:w="120"/>
        <w:gridCol w:w="140"/>
        <w:gridCol w:w="680"/>
        <w:gridCol w:w="60"/>
        <w:gridCol w:w="120"/>
        <w:gridCol w:w="140"/>
        <w:gridCol w:w="680"/>
        <w:gridCol w:w="75"/>
      </w:tblGrid>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October 1, 2023</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Liabilities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Carlyle warrants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7,683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7,683</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warrants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1,413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1,413</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Private placement warrants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1,027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1,027</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Working capital warrants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117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Forward purchase agreement liabilities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6,586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6,586</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1,413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1,144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14,269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16,826</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3885" w:type="dxa"/>
            <w:gridSpan w:val="16"/>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2022</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Liabilities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warrant liability</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14,152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14,152</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14,152</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Carlyle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part of the Company’s amended and restated warrant agreement with CRSEF Solis Holdings, LLC (“Carlyle”), the Company issued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amended and restated warrant agreement, an additional 350,000 shares; plus (c) on and after the date that is thirty (30) days after the date of the amended and restated warrant agreement, if the original investment amount has not been repaid, an additional 150,000 shares; plus (d) on and after the date that is ninety (90) days after the date of the amended and restated warrant agreement, if the original investment amount has not been repaid, an additional 250,000 shares, in each case, of Complete Solaria Common Stock at a price of $0.01 per share. As the warrant is exercisable into a variable number of shares based on the Company’s fully diluted capitalization table, the Company has classified the warrants as liabilities. The Company valued the warrants based on a Black-Scholes Option Pricing Method, which included the following inputs: </w:t>
      </w:r>
    </w:p>
    <w:p>
      <w:pPr>
        <w:pStyle w:val="TextBody"/>
        <w:bidi w:val="0"/>
        <w:spacing w:before="0" w:after="0"/>
        <w:jc w:val="left"/>
        <w:rPr>
          <w:shd w:fill="FFFFFF" w:val="clear"/>
        </w:rPr>
      </w:pPr>
      <w:r>
        <w:rPr>
          <w:shd w:fill="FFFFFF" w:val="clear"/>
        </w:rPr>
        <w:t> </w:t>
      </w:r>
    </w:p>
    <w:tbl>
      <w:tblPr>
        <w:tblW w:w="5075" w:type="dxa"/>
        <w:jc w:val="left"/>
        <w:tblInd w:w="0" w:type="dxa"/>
        <w:tblLayout w:type="fixed"/>
        <w:tblCellMar>
          <w:top w:w="0" w:type="dxa"/>
          <w:left w:w="0" w:type="dxa"/>
          <w:bottom w:w="0" w:type="dxa"/>
          <w:right w:w="0" w:type="dxa"/>
        </w:tblCellMar>
      </w:tblPr>
      <w:tblGrid>
        <w:gridCol w:w="2045"/>
        <w:gridCol w:w="120"/>
        <w:gridCol w:w="69"/>
        <w:gridCol w:w="1016"/>
        <w:gridCol w:w="275"/>
        <w:gridCol w:w="60"/>
        <w:gridCol w:w="192"/>
        <w:gridCol w:w="1223"/>
        <w:gridCol w:w="7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7.0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77.0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3.92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Public, Private Placement and Working Capital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public, private placement and working capital warrants are measured at fair value on a recurring basis. The public warrants were valued based on the closing price of the publicly traded instrument. The private placement and working capital warrants were valued using observable inputs for similar publicly traded instruments.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Forward Purchase Agreement Liabilities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FPA liabilities are measured at fair value on a recurring basis using a Monte Carlo simulation analysis. The expected volatility is determined based on the historical equity volatility of comparable companies over a period that matches the simulation period, which included the following inputs: </w:t>
      </w:r>
    </w:p>
    <w:p>
      <w:pPr>
        <w:pStyle w:val="TextBody"/>
        <w:bidi w:val="0"/>
        <w:spacing w:before="0" w:after="0"/>
        <w:jc w:val="left"/>
        <w:rPr>
          <w:shd w:fill="FFFFFF" w:val="clear"/>
        </w:rPr>
      </w:pPr>
      <w:r>
        <w:rPr>
          <w:shd w:fill="FFFFFF" w:val="clear"/>
        </w:rPr>
        <w:t> </w:t>
      </w:r>
    </w:p>
    <w:tbl>
      <w:tblPr>
        <w:tblW w:w="5375" w:type="dxa"/>
        <w:jc w:val="left"/>
        <w:tblInd w:w="0" w:type="dxa"/>
        <w:tblLayout w:type="fixed"/>
        <w:tblCellMar>
          <w:top w:w="0" w:type="dxa"/>
          <w:left w:w="0" w:type="dxa"/>
          <w:bottom w:w="0" w:type="dxa"/>
          <w:right w:w="0" w:type="dxa"/>
        </w:tblCellMar>
      </w:tblPr>
      <w:tblGrid>
        <w:gridCol w:w="2345"/>
        <w:gridCol w:w="120"/>
        <w:gridCol w:w="149"/>
        <w:gridCol w:w="936"/>
        <w:gridCol w:w="275"/>
        <w:gridCol w:w="60"/>
        <w:gridCol w:w="192"/>
        <w:gridCol w:w="1223"/>
        <w:gridCol w:w="75"/>
      </w:tblGrid>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trading price</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2.10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Simulation period</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1.8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 xml:space="preserve">— </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178.0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Redeemable Convertible Preferred Stock Warrant Liabilities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historically issued redeemable convertible warrants, which were classified as liabilities and adjusted to fair value using the Black Scholes Option Pricing Method. The terms of the redeemable convertible preferred stock warrants are described in Note 15 – Warrants.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B Redeemable Convertible Preferred Stock Warrant </w:t>
      </w:r>
    </w:p>
    <w:p>
      <w:pPr>
        <w:pStyle w:val="TextBody"/>
        <w:bidi w:val="0"/>
        <w:spacing w:before="0" w:after="0"/>
        <w:jc w:val="left"/>
        <w:rPr>
          <w:shd w:fill="FFFFFF" w:val="clear"/>
        </w:rPr>
      </w:pPr>
      <w:r>
        <w:rPr>
          <w:shd w:fill="FFFFFF" w:val="clear"/>
        </w:rPr>
        <w:t> </w:t>
      </w:r>
    </w:p>
    <w:tbl>
      <w:tblPr>
        <w:tblW w:w="5135" w:type="dxa"/>
        <w:jc w:val="left"/>
        <w:tblInd w:w="0" w:type="dxa"/>
        <w:tblLayout w:type="fixed"/>
        <w:tblCellMar>
          <w:top w:w="0" w:type="dxa"/>
          <w:left w:w="0" w:type="dxa"/>
          <w:bottom w:w="0" w:type="dxa"/>
          <w:right w:w="0" w:type="dxa"/>
        </w:tblCellMar>
      </w:tblPr>
      <w:tblGrid>
        <w:gridCol w:w="2045"/>
        <w:gridCol w:w="120"/>
        <w:gridCol w:w="147"/>
        <w:gridCol w:w="938"/>
        <w:gridCol w:w="60"/>
        <w:gridCol w:w="120"/>
        <w:gridCol w:w="147"/>
        <w:gridCol w:w="1268"/>
        <w:gridCol w:w="290"/>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29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0"/>
              <w:jc w:val="right"/>
              <w:rPr/>
            </w:pPr>
            <w:r>
              <w:rPr/>
              <w:t>3.1 </w:t>
            </w:r>
          </w:p>
          <w:p>
            <w:pPr>
              <w:pStyle w:val="TableContents"/>
              <w:bidi w:val="0"/>
              <w:spacing w:before="0" w:after="0"/>
              <w:jc w:val="right"/>
              <w:rPr/>
            </w:pPr>
            <w:r>
              <w:rPr/>
              <w:t>years</w:t>
            </w:r>
          </w:p>
        </w:tc>
        <w:tc>
          <w:tcPr>
            <w:tcW w:w="29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72.5</w:t>
            </w:r>
          </w:p>
        </w:tc>
        <w:tc>
          <w:tcPr>
            <w:tcW w:w="29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C Redeemable Convertible Preferred Stock Warrant </w:t>
      </w:r>
    </w:p>
    <w:p>
      <w:pPr>
        <w:pStyle w:val="TextBody"/>
        <w:bidi w:val="0"/>
        <w:spacing w:before="0" w:after="0"/>
        <w:jc w:val="left"/>
        <w:rPr>
          <w:shd w:fill="FFFFFF" w:val="clear"/>
        </w:rPr>
      </w:pPr>
      <w:r>
        <w:rPr>
          <w:shd w:fill="FFFFFF" w:val="clear"/>
        </w:rPr>
        <w:t> </w:t>
      </w:r>
    </w:p>
    <w:tbl>
      <w:tblPr>
        <w:tblW w:w="5135" w:type="dxa"/>
        <w:jc w:val="left"/>
        <w:tblInd w:w="0" w:type="dxa"/>
        <w:tblLayout w:type="fixed"/>
        <w:tblCellMar>
          <w:top w:w="0" w:type="dxa"/>
          <w:left w:w="0" w:type="dxa"/>
          <w:bottom w:w="0" w:type="dxa"/>
          <w:right w:w="0" w:type="dxa"/>
        </w:tblCellMar>
      </w:tblPr>
      <w:tblGrid>
        <w:gridCol w:w="2045"/>
        <w:gridCol w:w="120"/>
        <w:gridCol w:w="147"/>
        <w:gridCol w:w="938"/>
        <w:gridCol w:w="60"/>
        <w:gridCol w:w="120"/>
        <w:gridCol w:w="90"/>
        <w:gridCol w:w="1325"/>
        <w:gridCol w:w="290"/>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29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3.6 years</w:t>
            </w:r>
          </w:p>
        </w:tc>
        <w:tc>
          <w:tcPr>
            <w:tcW w:w="29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72.5</w:t>
            </w:r>
          </w:p>
        </w:tc>
        <w:tc>
          <w:tcPr>
            <w:tcW w:w="29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4.0</w:t>
            </w:r>
          </w:p>
        </w:tc>
        <w:tc>
          <w:tcPr>
            <w:tcW w:w="29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D-7</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Redeemable Convertible Preferred Stock Warrant </w:t>
      </w:r>
    </w:p>
    <w:p>
      <w:pPr>
        <w:pStyle w:val="TextBody"/>
        <w:bidi w:val="0"/>
        <w:spacing w:before="0" w:after="0"/>
        <w:jc w:val="left"/>
        <w:rPr>
          <w:shd w:fill="FFFFFF" w:val="clear"/>
        </w:rPr>
      </w:pPr>
      <w:r>
        <w:rPr>
          <w:shd w:fill="FFFFFF" w:val="clear"/>
        </w:rPr>
        <w:t> </w:t>
      </w:r>
    </w:p>
    <w:tbl>
      <w:tblPr>
        <w:tblW w:w="5135" w:type="dxa"/>
        <w:jc w:val="left"/>
        <w:tblInd w:w="0" w:type="dxa"/>
        <w:tblLayout w:type="fixed"/>
        <w:tblCellMar>
          <w:top w:w="0" w:type="dxa"/>
          <w:left w:w="0" w:type="dxa"/>
          <w:bottom w:w="0" w:type="dxa"/>
          <w:right w:w="0" w:type="dxa"/>
        </w:tblCellMar>
      </w:tblPr>
      <w:tblGrid>
        <w:gridCol w:w="2045"/>
        <w:gridCol w:w="120"/>
        <w:gridCol w:w="147"/>
        <w:gridCol w:w="938"/>
        <w:gridCol w:w="60"/>
        <w:gridCol w:w="120"/>
        <w:gridCol w:w="90"/>
        <w:gridCol w:w="1325"/>
        <w:gridCol w:w="290"/>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29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1.5 years</w:t>
            </w:r>
          </w:p>
        </w:tc>
        <w:tc>
          <w:tcPr>
            <w:tcW w:w="29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78.5</w:t>
            </w:r>
          </w:p>
        </w:tc>
        <w:tc>
          <w:tcPr>
            <w:tcW w:w="29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4.7</w:t>
            </w:r>
          </w:p>
        </w:tc>
        <w:tc>
          <w:tcPr>
            <w:tcW w:w="29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redeemable convertible preferred stock warrant liabilities were measured at fair value at the issuance date and as of each subsequent reporting period with changes in the fair value recorded within other income (expense), net in the accompanying unaudited condensed consolidated statements of operations and comprehensive income (loss). As described in Note 15 – Warrants, the redeemable convertible preferred stock warrant liabilities were reclassified to additional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capital upon the closing of the Mergers. </w:t>
      </w:r>
    </w:p>
    <w:p>
      <w:pPr>
        <w:pStyle w:val="TextBody"/>
        <w:bidi w:val="0"/>
        <w:spacing w:before="0" w:after="0"/>
        <w:jc w:val="left"/>
        <w:rPr>
          <w:shd w:fill="FFFFFF" w:val="clear"/>
        </w:rPr>
      </w:pPr>
      <w:r>
        <w:rPr>
          <w:shd w:fill="FFFFFF" w:val="clear"/>
        </w:rPr>
        <w:t> </w:t>
      </w:r>
    </w:p>
    <w:tbl>
      <w:tblPr>
        <w:tblW w:w="2500" w:type="dxa"/>
        <w:jc w:val="left"/>
        <w:tblInd w:w="0" w:type="dxa"/>
        <w:tblLayout w:type="fixed"/>
        <w:tblCellMar>
          <w:top w:w="0" w:type="dxa"/>
          <w:left w:w="0" w:type="dxa"/>
          <w:bottom w:w="0" w:type="dxa"/>
          <w:right w:w="0" w:type="dxa"/>
        </w:tblCellMar>
      </w:tblPr>
      <w:tblGrid>
        <w:gridCol w:w="305"/>
        <w:gridCol w:w="2195"/>
      </w:tblGrid>
      <w:tr>
        <w:trPr/>
        <w:tc>
          <w:tcPr>
            <w:tcW w:w="305" w:type="dxa"/>
            <w:tcBorders/>
            <w:vAlign w:val="center"/>
          </w:tcPr>
          <w:p>
            <w:pPr>
              <w:pStyle w:val="TableContents"/>
              <w:bidi w:val="0"/>
              <w:spacing w:before="0" w:after="0"/>
              <w:jc w:val="left"/>
              <w:rPr>
                <w:b/>
                <w:spacing w:val="0"/>
              </w:rPr>
            </w:pPr>
            <w:r>
              <w:rPr>
                <w:b/>
                <w:spacing w:val="0"/>
              </w:rPr>
              <w:t>(4)</w:t>
            </w:r>
          </w:p>
        </w:tc>
        <w:tc>
          <w:tcPr>
            <w:tcW w:w="2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Reverse Recapitalization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discussed in Note 1 – Organization, on July 18, 2023, the Company consummated the Mergers pursuant to the Amended and Restated Business Combination Agreement. The Mergers was accounted for as a reverse recapitalization, rather than a business combination, for financial accounting and reporting purposes. Accordingly, Complete Solaria was deemed the accounting acquirer (and legal acquiree) and FACT was treated as the accounting acquiree (and legal acquirer). Complete Solaria has been determined to be the accounting acquirer based on evaluation of the following facts and circumstances: </w:t>
      </w:r>
    </w:p>
    <w:p>
      <w:pPr>
        <w:pStyle w:val="TextBody"/>
        <w:bidi w:val="0"/>
        <w:spacing w:before="0" w:after="0"/>
        <w:jc w:val="left"/>
        <w:rPr>
          <w:shd w:fill="FFFFFF" w:val="clear"/>
        </w:rPr>
      </w:pPr>
      <w:r>
        <w:rPr>
          <w:shd w:fill="FFFFFF" w:val="clea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Complete Solaria’s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pre-combination</w:t>
            </w:r>
          </w:p>
          <w:p>
            <w:pPr>
              <w:pStyle w:val="TableContents"/>
              <w:bidi w:val="0"/>
              <w:spacing w:before="0" w:after="0"/>
              <w:jc w:val="left"/>
              <w:rPr>
                <w:rFonts w:ascii="Times New Roman" w:hAnsi="Times New Roman"/>
                <w:sz w:val="20"/>
              </w:rPr>
            </w:pPr>
            <w:r>
              <w:rPr>
                <w:rFonts w:ascii="Times New Roman" w:hAnsi="Times New Roman"/>
                <w:sz w:val="20"/>
              </w:rPr>
              <w:t xml:space="preserve">stockholders have the majority of the voting power in the post-merged company;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Legacy Complete Solaria’s stockholders have the ability to appoint a majority of the Complete Solaria Board of Directors; </w:t>
            </w:r>
          </w:p>
        </w:tc>
      </w:tr>
    </w:tbl>
    <w:p>
      <w:pPr>
        <w:pStyle w:val="TextBody"/>
        <w:bidi w:val="0"/>
        <w:spacing w:before="0" w:after="0"/>
        <w:jc w:val="left"/>
        <w:rPr>
          <w:shd w:fill="FFFFFF" w:val="clear"/>
        </w:rPr>
      </w:pPr>
      <w:r>
        <w:rPr>
          <w:shd w:fill="FFFFFF" w:val="clea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Legacy Complete Solaria’s management team is considered the management team of the post-merged company; </w:t>
            </w:r>
          </w:p>
        </w:tc>
      </w:tr>
    </w:tbl>
    <w:p>
      <w:pPr>
        <w:pStyle w:val="TextBody"/>
        <w:bidi w:val="0"/>
        <w:spacing w:before="0" w:after="0"/>
        <w:jc w:val="left"/>
        <w:rPr>
          <w:shd w:fill="FFFFFF" w:val="clear"/>
        </w:rPr>
      </w:pPr>
      <w:r>
        <w:rPr>
          <w:shd w:fill="FFFFFF" w:val="clea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Legacy Complete Solaria’s prior operations is comprised of the ongoing operations of the post-merged company; </w:t>
            </w:r>
          </w:p>
        </w:tc>
      </w:tr>
    </w:tbl>
    <w:p>
      <w:pPr>
        <w:pStyle w:val="TextBody"/>
        <w:bidi w:val="0"/>
        <w:spacing w:before="0" w:after="0"/>
        <w:jc w:val="left"/>
        <w:rPr>
          <w:shd w:fill="FFFFFF" w:val="clear"/>
        </w:rPr>
      </w:pPr>
      <w:r>
        <w:rPr>
          <w:shd w:fill="FFFFFF" w:val="clea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Complete Solaria is the larger entity based on historical revenues and business operations; and </w:t>
            </w:r>
          </w:p>
        </w:tc>
      </w:tr>
    </w:tbl>
    <w:p>
      <w:pPr>
        <w:pStyle w:val="TextBody"/>
        <w:bidi w:val="0"/>
        <w:spacing w:before="0" w:after="0"/>
        <w:jc w:val="left"/>
        <w:rPr>
          <w:shd w:fill="FFFFFF" w:val="clear"/>
        </w:rPr>
      </w:pPr>
      <w:r>
        <w:rPr>
          <w:shd w:fill="FFFFFF" w:val="clea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post-merged company has assumed Complete Solaria’s operating name.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Under this method of accounting, the reverse recapitalization was treated as the equivalent of Complete Solaria issuing stock for the net assets of FACT, accompanied by a recapitalization. The net assets of FACT are stated at historical cost, with no goodwill or other intangible assets recorded. The consolidated assets, liabilities, and results of operations prior to the Mergers are those of Legacy Complete Solaria. All periods prior to the Mergers have been retrospectively adjusted in accordance with the Amended and Restated Business Combination Agreement for the equivalent number of preferred or common shares outstanding immediately after the Mergers to effect the reverse recapitalization.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Upon the closing of the Mergers and the PIPE Financing in July 2023, the Company received net cash proceeds of $19.7 million. The following table reconciles the elements of the Mergers to the unaudited condensed consolidated statements of cash flows and the unaudited condensed consolidated statements of stockholders’ deficit for the thirty-nine week ended October 1, 2023 (in thousands): </w:t>
      </w:r>
    </w:p>
    <w:p>
      <w:pPr>
        <w:pStyle w:val="TextBody"/>
        <w:bidi w:val="0"/>
        <w:spacing w:before="0" w:after="0"/>
        <w:jc w:val="left"/>
        <w:rPr>
          <w:shd w:fill="FFFFFF" w:val="clear"/>
        </w:rPr>
      </w:pPr>
      <w:r>
        <w:rPr>
          <w:shd w:fill="FFFFFF" w:val="clear"/>
        </w:rPr>
        <w:t> </w:t>
      </w:r>
    </w:p>
    <w:tbl>
      <w:tblPr>
        <w:tblW w:w="7665" w:type="dxa"/>
        <w:jc w:val="left"/>
        <w:tblInd w:w="0" w:type="dxa"/>
        <w:tblLayout w:type="fixed"/>
        <w:tblCellMar>
          <w:top w:w="0" w:type="dxa"/>
          <w:left w:w="0" w:type="dxa"/>
          <w:bottom w:w="0" w:type="dxa"/>
          <w:right w:w="0" w:type="dxa"/>
        </w:tblCellMar>
      </w:tblPr>
      <w:tblGrid>
        <w:gridCol w:w="5720"/>
        <w:gridCol w:w="120"/>
        <w:gridCol w:w="258"/>
        <w:gridCol w:w="1397"/>
        <w:gridCol w:w="170"/>
      </w:tblGrid>
      <w:tr>
        <w:trPr/>
        <w:tc>
          <w:tcPr>
            <w:tcW w:w="5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Recapitalization</w:t>
            </w:r>
          </w:p>
        </w:tc>
        <w:tc>
          <w:tcPr>
            <w:tcW w:w="17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proceeds from FACT, net of redemptions</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283"/>
              <w:jc w:val="right"/>
              <w:rPr/>
            </w:pPr>
            <w:r>
              <w:rPr/>
              <w:t>36,539</w:t>
            </w:r>
          </w:p>
        </w:tc>
        <w:tc>
          <w:tcPr>
            <w:tcW w:w="17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proceeds from PIPE Financing</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12,800</w:t>
            </w:r>
          </w:p>
        </w:tc>
        <w:tc>
          <w:tcPr>
            <w:tcW w:w="17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cash payment of FACT transaction costs and underwriting fees</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(10,680</w:t>
            </w:r>
          </w:p>
        </w:tc>
        <w:tc>
          <w:tcPr>
            <w:tcW w:w="17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cash payment to FPA investors for rebates and recycled shares</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(17,831</w:t>
            </w:r>
          </w:p>
        </w:tc>
        <w:tc>
          <w:tcPr>
            <w:tcW w:w="17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cash payment for Promissory Note</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(1,170</w:t>
            </w:r>
          </w:p>
        </w:tc>
        <w:tc>
          <w:tcPr>
            <w:tcW w:w="17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13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proceeds upon the closing of the Mergers and PIPE financing</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19,658</w:t>
            </w:r>
          </w:p>
        </w:tc>
        <w:tc>
          <w:tcPr>
            <w:tcW w:w="17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net liabilities assumed from FACT</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(10,135</w:t>
            </w:r>
          </w:p>
        </w:tc>
        <w:tc>
          <w:tcPr>
            <w:tcW w:w="17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13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contributions from the Mergers and PIPE financing upon closing</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397" w:type="dxa"/>
            <w:tcBorders/>
            <w:vAlign w:val="center"/>
          </w:tcPr>
          <w:p>
            <w:pPr>
              <w:pStyle w:val="TableContents"/>
              <w:bidi w:val="0"/>
              <w:spacing w:before="0" w:after="283"/>
              <w:jc w:val="right"/>
              <w:rPr/>
            </w:pPr>
            <w:r>
              <w:rPr/>
              <w:t>9,523</w:t>
            </w:r>
          </w:p>
        </w:tc>
        <w:tc>
          <w:tcPr>
            <w:tcW w:w="17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139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Immediately upon closing of the Mergers, the Company had 45,290,553 shares issued and outstanding of Class A Common Stock. The following table presents the number of shares of Complete Solaria Common Stock outstanding immediately following the consummation of the Mergers: </w:t>
      </w:r>
    </w:p>
    <w:p>
      <w:pPr>
        <w:pStyle w:val="TextBody"/>
        <w:bidi w:val="0"/>
        <w:spacing w:before="0" w:after="0"/>
        <w:jc w:val="left"/>
        <w:rPr>
          <w:shd w:fill="FFFFFF" w:val="clear"/>
        </w:rPr>
      </w:pPr>
      <w:r>
        <w:rPr>
          <w:shd w:fill="FFFFFF" w:val="clear"/>
        </w:rPr>
        <w:t> </w:t>
      </w:r>
    </w:p>
    <w:tbl>
      <w:tblPr>
        <w:tblW w:w="7620" w:type="dxa"/>
        <w:jc w:val="left"/>
        <w:tblInd w:w="0" w:type="dxa"/>
        <w:tblLayout w:type="fixed"/>
        <w:tblCellMar>
          <w:top w:w="0" w:type="dxa"/>
          <w:left w:w="0" w:type="dxa"/>
          <w:bottom w:w="0" w:type="dxa"/>
          <w:right w:w="0" w:type="dxa"/>
        </w:tblCellMar>
      </w:tblPr>
      <w:tblGrid>
        <w:gridCol w:w="5675"/>
        <w:gridCol w:w="120"/>
        <w:gridCol w:w="80"/>
        <w:gridCol w:w="1575"/>
        <w:gridCol w:w="170"/>
      </w:tblGrid>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Recapitalization</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FACT Class A Ordinary Shares, outstanding prior to Mergers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34,500,000</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FACT Class B Ordinary Shares, outstanding prior to Mergers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8,625,000</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Bonus shares issued to sponsor</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193,976</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Bonus shares issued to PIPE investors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120,000</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Bonus shares issued to FPA investors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150,000</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issued from PIPE financing</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1,690,000</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issued from FPA agreements, net of recycled shares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5,558,488</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redemption of FACT Class A Ordinary Shares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(31,041,243</w:t>
            </w:r>
          </w:p>
        </w:tc>
        <w:tc>
          <w:tcPr>
            <w:tcW w:w="17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from the Mergers and PIPE Financing</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19,796,221</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Legacy Complete Solaria shares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20,034,257</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2022 Convertible Note Shares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5,460,075</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Complete Solaria Common stock immediately after Mergers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45,290,553</w:t>
            </w:r>
          </w:p>
        </w:tc>
        <w:tc>
          <w:tcPr>
            <w:tcW w:w="17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connection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with the Mergers, the Company incurred direct and incremental costs of approximately $15.8 million related to legal, accounting, and other professional fees, which were offset against the Company’s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Of the $15.8 million, $5.2 million was incurred by Legacy Complete Solaria and $10.6 million was incurred by FACT. As of October 1, 2023, the Company made cash payments totaling $5.4 million to settle transaction costs. As a result of the Closing, outstanding 2022 Convertible Notes were converted into shares of Complete Solaria Common Stock. </w:t>
      </w:r>
    </w:p>
    <w:p>
      <w:pPr>
        <w:pStyle w:val="TextBody"/>
        <w:bidi w:val="0"/>
        <w:spacing w:before="0" w:after="0"/>
        <w:jc w:val="left"/>
        <w:rPr>
          <w:shd w:fill="FFFFFF" w:val="clear"/>
        </w:rPr>
      </w:pPr>
      <w:r>
        <w:rPr>
          <w:shd w:fill="FFFFFF" w:val="clear"/>
        </w:rPr>
        <w:t> </w:t>
      </w:r>
    </w:p>
    <w:tbl>
      <w:tblPr>
        <w:tblW w:w="3010" w:type="dxa"/>
        <w:jc w:val="left"/>
        <w:tblInd w:w="0" w:type="dxa"/>
        <w:tblLayout w:type="fixed"/>
        <w:tblCellMar>
          <w:top w:w="0" w:type="dxa"/>
          <w:left w:w="0" w:type="dxa"/>
          <w:bottom w:w="0" w:type="dxa"/>
          <w:right w:w="0" w:type="dxa"/>
        </w:tblCellMar>
      </w:tblPr>
      <w:tblGrid>
        <w:gridCol w:w="305"/>
        <w:gridCol w:w="2705"/>
      </w:tblGrid>
      <w:tr>
        <w:trPr/>
        <w:tc>
          <w:tcPr>
            <w:tcW w:w="305" w:type="dxa"/>
            <w:tcBorders/>
            <w:vAlign w:val="center"/>
          </w:tcPr>
          <w:p>
            <w:pPr>
              <w:pStyle w:val="TableContents"/>
              <w:bidi w:val="0"/>
              <w:spacing w:before="0" w:after="0"/>
              <w:jc w:val="left"/>
              <w:rPr>
                <w:b/>
                <w:spacing w:val="0"/>
              </w:rPr>
            </w:pPr>
            <w:r>
              <w:rPr>
                <w:b/>
                <w:spacing w:val="0"/>
              </w:rPr>
              <w:t>(5)</w:t>
            </w:r>
          </w:p>
        </w:tc>
        <w:tc>
          <w:tcPr>
            <w:tcW w:w="27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Forward Purchase Agreements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FACT and Legacy Complete Solaria, Inc. entered into FPAs with each of (i) Meteora; (ii) Polar, and (iii) Sandia (each individually, a “Seller”, and together, the “FPA Sellers”).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Pursuant to the terms of the FPAs, the FPA Sellers may (i)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key terms of the forward contracts are as follows: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day-period</w:t>
            </w:r>
          </w:p>
          <w:p>
            <w:pPr>
              <w:pStyle w:val="TableContents"/>
              <w:bidi w:val="0"/>
              <w:spacing w:before="0" w:after="0"/>
              <w:jc w:val="left"/>
              <w:rPr>
                <w:rFonts w:ascii="Times New Roman" w:hAnsi="Times New Roman"/>
                <w:sz w:val="20"/>
              </w:rPr>
            </w:pPr>
            <w:r>
              <w:rPr>
                <w:rFonts w:ascii="Times New Roman" w:hAnsi="Times New Roman"/>
                <w:sz w:val="20"/>
              </w:rPr>
              <w:t xml:space="preserve">(the “Measurement Period”) that occurs at least 6 months after the Closing Date, the VWAP Price is less than the then applicable Reset Price.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entered into four separate FPAs, three of which, associated with the obligation to issue 6,300,000 Shares, were entered into prior to the closing of the Mergers. Upon signing the FPAs, the Company incurred an obligation to issue a fixed number of shares to the FPA Sellers contingent upon the closing of the Mergers in addition to the terms and conditions associated with the settlement of the FPAs. The Company accounted for the contingent obligation to issue shares in accordance with ASC 815,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Derivatives and Hedging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and recorded a liability and other income (expense), net based on the fair value upon of the obligation upon the signing of the FPAs. The liability was extinguished in July 2023 upon the issuance of Complete Solaria Common Stock to the FPA sellers.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Additionally, in accordance with ASC 480,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Distinguishing Liabilities from Equity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the Company has determined that the prepaid forward contract is a financial instrument other than a share that represent or are indexed to obligations to repurchase the issuer’s equity shares by transferring assets, referred to herein as the “prepaid forward purchase liability” on its unaudited condensed consolidated balance sheets. The Company initially measured the prepaid forward purchase liability at fair value and has subsequently remeasured at fair value with changes in fair value recognized in earnings.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Through the date of issuance of the Complete Solaria Common Stock in satisfaction of the Company’s obligation to issue shares around the closing of the Mergers, the Company recorded $35.5 million to other income (expense), net associated with the issuance of 6,720,000 shares of Complete Solaria Common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the closing of the Mergers and issuance of the Complete Solaria Common Stock underlying the FPAs, the fair value of the prepaid FPAs was an asset balance of $0.1 million and was recorded on the Company’s unaudited condensed consolidated balance sheets and within other income (expense), net on the unaudited condensed consolidated statements of operations and comprehensive income (loss). Subsequently, the change of fair value of the prepaid forward purchase liability amounted to an expense of $6.7 million for the thirteen and thirty-nine weeks ended October 1, 2023. As of October 1, 2023, the prepaid forward purchase liabilities amounted to $6.6 million. </w:t>
      </w:r>
    </w:p>
    <w:p>
      <w:pPr>
        <w:pStyle w:val="TextBody"/>
        <w:bidi w:val="0"/>
        <w:spacing w:before="0" w:after="0"/>
        <w:jc w:val="left"/>
        <w:rPr>
          <w:shd w:fill="FFFFFF" w:val="clear"/>
        </w:rPr>
      </w:pPr>
      <w:r>
        <w:rPr>
          <w:shd w:fill="FFFFFF" w:val="clear"/>
        </w:rPr>
        <w:t> </w:t>
      </w:r>
    </w:p>
    <w:tbl>
      <w:tblPr>
        <w:tblW w:w="2260" w:type="dxa"/>
        <w:jc w:val="left"/>
        <w:tblInd w:w="0" w:type="dxa"/>
        <w:tblLayout w:type="fixed"/>
        <w:tblCellMar>
          <w:top w:w="0" w:type="dxa"/>
          <w:left w:w="0" w:type="dxa"/>
          <w:bottom w:w="0" w:type="dxa"/>
          <w:right w:w="0" w:type="dxa"/>
        </w:tblCellMar>
      </w:tblPr>
      <w:tblGrid>
        <w:gridCol w:w="305"/>
        <w:gridCol w:w="1955"/>
      </w:tblGrid>
      <w:tr>
        <w:trPr/>
        <w:tc>
          <w:tcPr>
            <w:tcW w:w="305" w:type="dxa"/>
            <w:tcBorders/>
            <w:vAlign w:val="center"/>
          </w:tcPr>
          <w:p>
            <w:pPr>
              <w:pStyle w:val="TableContents"/>
              <w:bidi w:val="0"/>
              <w:spacing w:before="0" w:after="0"/>
              <w:jc w:val="left"/>
              <w:rPr>
                <w:b/>
                <w:spacing w:val="0"/>
              </w:rPr>
            </w:pPr>
            <w:r>
              <w:rPr>
                <w:b/>
                <w:spacing w:val="0"/>
              </w:rPr>
              <w:t>(6)</w:t>
            </w:r>
          </w:p>
        </w:tc>
        <w:tc>
          <w:tcPr>
            <w:tcW w:w="1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Combination </w:t>
            </w:r>
          </w:p>
        </w:tc>
      </w:tr>
    </w:tbl>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Solaria Acquisition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November 4, 2022, Complete Solar Holdings acquired Solaria for aggregate consideration paid of $89.1 million, comprising of $0.1 million in cash, 2,844,550 shares of common stock with an aggregate fair value of $17.3 million, 6,803,549 shares of preferred stock with an aggregate fair value of $52.2 million, 78,962 common stock warrants for an aggregate value of $0.2 million, 1,376,414 preferred stock warrants for an aggregate fair value of $7.8 million, 5,382,599 stock options with an aggregate fair value of $10.0 million attributable to services provided prior to the acquisition date, and the payment of seller incurred transaction expenses of $1.5 million. In addition, the Company assumed $14.1 million of unvested Solaria stock options, which has been and will be recorded as stock-based expense over the remaining service period. Solaria designs, develops, manufactures, and generates revenue from the sale of silicon photovoltaic solar panels and licensing of its technology to third parties. At the time of the acquisition, the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Company believed that the acquisition of Solaria would establish the Company as a full system operator, with a compelling customer offering with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best-in-class</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technology, financing, and project fulfilment, which would enable the Company to sell more product across more geographies in the United States and Europe. This transaction was accounted for as a business combination in accordance with ASC 805, </w:t>
      </w:r>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Business Combinations</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 Refer to Note 8 – Divestiture for further details.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summarized the provisional fair value of identifiable assets acquired and liabilities assumed (in thousands): </w:t>
      </w:r>
    </w:p>
    <w:p>
      <w:pPr>
        <w:pStyle w:val="TextBody"/>
        <w:bidi w:val="0"/>
        <w:spacing w:before="0" w:after="0"/>
        <w:jc w:val="left"/>
        <w:rPr>
          <w:shd w:fill="FFFFFF" w:val="clear"/>
        </w:rPr>
      </w:pPr>
      <w:r>
        <w:rPr>
          <w:shd w:fill="FFFFFF" w:val="clear"/>
        </w:rPr>
        <w:t> </w:t>
      </w:r>
    </w:p>
    <w:tbl>
      <w:tblPr>
        <w:tblW w:w="5070" w:type="dxa"/>
        <w:jc w:val="left"/>
        <w:tblInd w:w="0" w:type="dxa"/>
        <w:tblLayout w:type="fixed"/>
        <w:tblCellMar>
          <w:top w:w="0" w:type="dxa"/>
          <w:left w:w="0" w:type="dxa"/>
          <w:bottom w:w="0" w:type="dxa"/>
          <w:right w:w="0" w:type="dxa"/>
        </w:tblCellMar>
      </w:tblPr>
      <w:tblGrid>
        <w:gridCol w:w="3935"/>
        <w:gridCol w:w="120"/>
        <w:gridCol w:w="140"/>
        <w:gridCol w:w="800"/>
        <w:gridCol w:w="75"/>
      </w:tblGrid>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5,402</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4,822</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5,354</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8,569</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830</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1,619</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43,100</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identifiable assets acquired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69,808</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4,210</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11,845</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20,823</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1,132</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noncurrent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1,566</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SAFE agreements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60,470</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identifiable liabilities assumed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100,119</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identifiable liabilities assumed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30,311</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119,422</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aggregate consideration paid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89,111</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Goodwill represents the excess of the preliminary estimated consideration transferred over the fair value of the net tangible and intangible assets acquired and has been allocated to the Company’s single reporting unit. Goodwill is primarily attributable to expected post-acquisition synergies from assembled workforce and also from the expectation of integrating Solaria’s products and solutions into the Company’s own businesses to provide access to more features and resources and offers incremental revenue opportunities. Goodwill of $119.4 million is deductible over 15 years for U.S. income tax purposes.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Intangible assets acquired are as follows (in thousands): </w:t>
      </w:r>
    </w:p>
    <w:p>
      <w:pPr>
        <w:pStyle w:val="TextBody"/>
        <w:bidi w:val="0"/>
        <w:spacing w:before="0" w:after="0"/>
        <w:jc w:val="left"/>
        <w:rPr>
          <w:shd w:fill="FFFFFF" w:val="clear"/>
        </w:rPr>
      </w:pPr>
      <w:r>
        <w:rPr>
          <w:shd w:fill="FFFFFF" w:val="clear"/>
        </w:rPr>
        <w:t> </w:t>
      </w:r>
    </w:p>
    <w:tbl>
      <w:tblPr>
        <w:tblW w:w="2965" w:type="dxa"/>
        <w:jc w:val="left"/>
        <w:tblInd w:w="0" w:type="dxa"/>
        <w:tblLayout w:type="fixed"/>
        <w:tblCellMar>
          <w:top w:w="0" w:type="dxa"/>
          <w:left w:w="0" w:type="dxa"/>
          <w:bottom w:w="0" w:type="dxa"/>
          <w:right w:w="0" w:type="dxa"/>
        </w:tblCellMar>
      </w:tblPr>
      <w:tblGrid>
        <w:gridCol w:w="1910"/>
        <w:gridCol w:w="120"/>
        <w:gridCol w:w="146"/>
        <w:gridCol w:w="714"/>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5,700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12,700</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24,700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71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intangible assets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4" w:type="dxa"/>
            <w:tcBorders/>
            <w:vAlign w:val="center"/>
          </w:tcPr>
          <w:p>
            <w:pPr>
              <w:pStyle w:val="TableContents"/>
              <w:bidi w:val="0"/>
              <w:spacing w:before="0" w:after="283"/>
              <w:jc w:val="right"/>
              <w:rPr/>
            </w:pPr>
            <w:r>
              <w:rPr/>
              <w:t>43,100</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double" w:sz="6" w:space="1" w:color="000000"/>
              </w:rPr>
            </w:pPr>
            <w:r>
              <w:rPr>
                <w:bdr w:val="double" w:sz="6" w:space="1" w:color="000000"/>
              </w:rPr>
              <w:t> </w:t>
            </w:r>
          </w:p>
        </w:tc>
        <w:tc>
          <w:tcPr>
            <w:tcW w:w="71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income approach, using the relief from royalty method, was used to value trademarks and developed technology. Significant assumptions included in the valuation of trademarks and developed technology include projected revenues, the selected royalty rate and the economic life of the underlying asset.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income approach, using the multi-period excess earning method, was used to value customer relationships. Significant assumptions included in the valuation of customer relationships include projected revenues, customer attrition and expense growth over the forecasted period.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a result of the Solaria acquisition, the Company recognized $45.9 million of deferred tax assets. Due to the uncertainty surrounding the Company’s ability to realize such deferred income tax assets, a full valuation allowance has been established.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October 1, 2023, the goodwill and intangible assets recognized from the Solaria acquisition have been included in long-term held for sale – discontinued operations on the unaudited condensed consolidated balance sheets, as further described in Note 8 – Divestiture. </w:t>
      </w:r>
    </w:p>
    <w:p>
      <w:pPr>
        <w:pStyle w:val="TextBody"/>
        <w:bidi w:val="0"/>
        <w:spacing w:before="360" w:after="0"/>
        <w:jc w:val="left"/>
        <w:rPr>
          <w:rFonts w:ascii="Times New Roman" w:hAnsi="Times New Roman"/>
          <w:spacing w:val="0"/>
          <w:sz w:val="20"/>
          <w:u w:val="single"/>
          <w:shd w:fill="FFFFFF" w:val="clear"/>
        </w:rPr>
      </w:pPr>
      <w:r>
        <w:rPr>
          <w:rFonts w:ascii="Times New Roman" w:hAnsi="Times New Roman"/>
          <w:spacing w:val="0"/>
          <w:sz w:val="20"/>
          <w:u w:val="single"/>
          <w:shd w:fill="FFFFFF" w:val="clear"/>
        </w:rPr>
        <w:t>Unaudited Pro Forma Information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unaudited pro forma financial information gives effect to the acquisition of Solaria as if it were consummated on January 1, 2022 including pro forma adjustments relating to the valuation and allocation of the aggregate consideration paid, amortization of intangible assets, incremental stock-based compensation and direct transaction costs. The historical condensed consolidated financial statements have been adjusted in the unaudited combined financial information to give effect to events that are directly attributable to the Business Combination and are factually supportable. This data is presented for informational purposes only and is not intended to represent or be indicative of the results of operations that would have been reported had the acquisition occurred on January 1, 2022. Actual results may differ from the unaudited combined pro forma information presented below (in thousands): </w:t>
      </w:r>
    </w:p>
    <w:p>
      <w:pPr>
        <w:pStyle w:val="TextBody"/>
        <w:bidi w:val="0"/>
        <w:spacing w:before="0" w:after="0"/>
        <w:jc w:val="left"/>
        <w:rPr>
          <w:shd w:fill="FFFFFF" w:val="clear"/>
        </w:rPr>
      </w:pPr>
      <w:r>
        <w:rPr>
          <w:shd w:fill="FFFFFF" w:val="clear"/>
        </w:rPr>
        <w:t> </w:t>
      </w:r>
    </w:p>
    <w:tbl>
      <w:tblPr>
        <w:tblW w:w="4345" w:type="dxa"/>
        <w:jc w:val="left"/>
        <w:tblInd w:w="0" w:type="dxa"/>
        <w:tblLayout w:type="fixed"/>
        <w:tblCellMar>
          <w:top w:w="0" w:type="dxa"/>
          <w:left w:w="0" w:type="dxa"/>
          <w:bottom w:w="0" w:type="dxa"/>
          <w:right w:w="0" w:type="dxa"/>
        </w:tblCellMar>
      </w:tblPr>
      <w:tblGrid>
        <w:gridCol w:w="830"/>
        <w:gridCol w:w="120"/>
        <w:gridCol w:w="230"/>
        <w:gridCol w:w="1245"/>
        <w:gridCol w:w="155"/>
        <w:gridCol w:w="120"/>
        <w:gridCol w:w="230"/>
        <w:gridCol w:w="1245"/>
        <w:gridCol w:w="170"/>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w:t>
              <w:br/>
              <w:t>September 30,</w:t>
              <w:b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w:t>
              <w:br/>
              <w:t>Ended</w:t>
              <w:br/>
              <w:t>September 30,</w:t>
              <w:br/>
              <w:t>2022</w:t>
            </w:r>
          </w:p>
        </w:tc>
        <w:tc>
          <w:tcPr>
            <w:tcW w:w="170" w:type="dxa"/>
            <w:tcBorders/>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22,267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79,800</w:t>
            </w:r>
          </w:p>
        </w:tc>
        <w:tc>
          <w:tcPr>
            <w:tcW w:w="170" w:type="dxa"/>
            <w:tcBorders/>
            <w:shd w:fill="CCEEFF" w:val="cle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(26,498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(49,935</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b/>
                <w:spacing w:val="0"/>
              </w:rPr>
            </w:pPr>
            <w:r>
              <w:rPr>
                <w:b/>
                <w:spacing w:val="0"/>
              </w:rPr>
              <w:t>(7)</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Prepaid Expenses and Other Current Assets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Prepaid expenses and other current assets consists of the following (in thousands): </w:t>
      </w:r>
    </w:p>
    <w:p>
      <w:pPr>
        <w:pStyle w:val="TextBody"/>
        <w:bidi w:val="0"/>
        <w:spacing w:before="0" w:after="0"/>
        <w:jc w:val="left"/>
        <w:rPr>
          <w:shd w:fill="FFFFFF" w:val="clear"/>
        </w:rPr>
      </w:pPr>
      <w:r>
        <w:rPr>
          <w:shd w:fill="FFFFFF" w:val="clear"/>
        </w:rPr>
        <w:t> </w:t>
      </w:r>
    </w:p>
    <w:tbl>
      <w:tblPr>
        <w:tblW w:w="6720" w:type="dxa"/>
        <w:jc w:val="left"/>
        <w:tblInd w:w="0" w:type="dxa"/>
        <w:tblLayout w:type="fixed"/>
        <w:tblCellMar>
          <w:top w:w="0" w:type="dxa"/>
          <w:left w:w="0" w:type="dxa"/>
          <w:bottom w:w="0" w:type="dxa"/>
          <w:right w:w="0" w:type="dxa"/>
        </w:tblCellMar>
      </w:tblPr>
      <w:tblGrid>
        <w:gridCol w:w="3845"/>
        <w:gridCol w:w="120"/>
        <w:gridCol w:w="217"/>
        <w:gridCol w:w="868"/>
        <w:gridCol w:w="60"/>
        <w:gridCol w:w="120"/>
        <w:gridCol w:w="241"/>
        <w:gridCol w:w="1174"/>
        <w:gridCol w:w="75"/>
      </w:tblGrid>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deposits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3,497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6,255</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sales commissions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5,509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2,838</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86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941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978</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86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868" w:type="dxa"/>
            <w:tcBorders/>
            <w:vAlign w:val="center"/>
          </w:tcPr>
          <w:p>
            <w:pPr>
              <w:pStyle w:val="TableContents"/>
              <w:bidi w:val="0"/>
              <w:spacing w:before="0" w:after="283"/>
              <w:jc w:val="right"/>
              <w:rPr/>
            </w:pPr>
            <w:r>
              <w:rPr/>
              <w:t>9,947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10,071</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86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315" w:type="dxa"/>
        <w:jc w:val="left"/>
        <w:tblInd w:w="0" w:type="dxa"/>
        <w:tblLayout w:type="fixed"/>
        <w:tblCellMar>
          <w:top w:w="0" w:type="dxa"/>
          <w:left w:w="0" w:type="dxa"/>
          <w:bottom w:w="0" w:type="dxa"/>
          <w:right w:w="0" w:type="dxa"/>
        </w:tblCellMar>
      </w:tblPr>
      <w:tblGrid>
        <w:gridCol w:w="305"/>
        <w:gridCol w:w="1010"/>
      </w:tblGrid>
      <w:tr>
        <w:trPr/>
        <w:tc>
          <w:tcPr>
            <w:tcW w:w="305" w:type="dxa"/>
            <w:tcBorders/>
            <w:vAlign w:val="center"/>
          </w:tcPr>
          <w:p>
            <w:pPr>
              <w:pStyle w:val="TableContents"/>
              <w:bidi w:val="0"/>
              <w:spacing w:before="0" w:after="0"/>
              <w:jc w:val="left"/>
              <w:rPr>
                <w:b/>
                <w:spacing w:val="0"/>
              </w:rPr>
            </w:pPr>
            <w:r>
              <w:rPr>
                <w:b/>
                <w:spacing w:val="0"/>
              </w:rPr>
              <w:t>(8)</w:t>
            </w:r>
          </w:p>
        </w:tc>
        <w:tc>
          <w:tcPr>
            <w:tcW w:w="10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Divestiture </w:t>
            </w:r>
          </w:p>
        </w:tc>
      </w:tr>
    </w:tbl>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Discontinued operations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previously described in Note 1 – Organization, on August 18, 2023, the Company entered into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Non-Binding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Letter of Intent to sell certain of Complete Solaria’s North American solar panel assets, inclusive of intellectual property and customer contracts, to Maxeon. In October 2023, the Company completed the sale of its solar panel business to Maxeon. The Company determined that this divestiture represented a strategic shift in the Company’s business and qualified as a discontinued operation. Accordingly, the results of operations and cash flows relating to Solaria have been reflected as discontinued operations in the unaudited condensed consolidated statements of operations and comprehensive income (loss) for the thirteen and thirty-nine weeks ended October 1, 2023 and the unaudited condensed consolidated statements of cash flows for the thirty-nine weeks ended October 1, 2023.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Components of amounts reflected in the unaudited condensed consolidated statements of operations and comprehensive income (loss) related to discontinued operations are presented in the table, as follows (in thousands): </w:t>
      </w:r>
    </w:p>
    <w:p>
      <w:pPr>
        <w:pStyle w:val="TextBody"/>
        <w:bidi w:val="0"/>
        <w:spacing w:before="0" w:after="0"/>
        <w:jc w:val="left"/>
        <w:rPr>
          <w:shd w:fill="FFFFFF" w:val="clear"/>
        </w:rPr>
      </w:pPr>
      <w:r>
        <w:rPr>
          <w:shd w:fill="FFFFFF" w:val="clear"/>
        </w:rPr>
        <w:t> </w:t>
      </w:r>
    </w:p>
    <w:tbl>
      <w:tblPr>
        <w:tblW w:w="8140" w:type="dxa"/>
        <w:jc w:val="left"/>
        <w:tblInd w:w="0" w:type="dxa"/>
        <w:tblLayout w:type="fixed"/>
        <w:tblCellMar>
          <w:top w:w="0" w:type="dxa"/>
          <w:left w:w="0" w:type="dxa"/>
          <w:bottom w:w="0" w:type="dxa"/>
          <w:right w:w="0" w:type="dxa"/>
        </w:tblCellMar>
      </w:tblPr>
      <w:tblGrid>
        <w:gridCol w:w="4505"/>
        <w:gridCol w:w="120"/>
        <w:gridCol w:w="226"/>
        <w:gridCol w:w="1414"/>
        <w:gridCol w:w="155"/>
        <w:gridCol w:w="120"/>
        <w:gridCol w:w="197"/>
        <w:gridCol w:w="1233"/>
        <w:gridCol w:w="170"/>
      </w:tblGrid>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 Weeks</w:t>
              <w:br/>
              <w:t>Ended</w:t>
              <w:br/>
              <w:t>October 1,</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w:t>
              <w:br/>
              <w:t>Weeks Ended</w:t>
              <w:br/>
              <w:t>October 1,</w:t>
              <w:br/>
              <w:t>2023</w:t>
            </w:r>
          </w:p>
        </w:tc>
        <w:tc>
          <w:tcPr>
            <w:tcW w:w="1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14" w:type="dxa"/>
            <w:tcBorders/>
            <w:shd w:fill="CCEEFF" w:val="clear"/>
            <w:vAlign w:val="center"/>
          </w:tcPr>
          <w:p>
            <w:pPr>
              <w:pStyle w:val="TableContents"/>
              <w:bidi w:val="0"/>
              <w:spacing w:before="0" w:after="283"/>
              <w:jc w:val="right"/>
              <w:rPr/>
            </w:pPr>
            <w:r>
              <w:rPr/>
              <w:t>3,774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29,048</w:t>
            </w:r>
          </w:p>
        </w:tc>
        <w:tc>
          <w:tcPr>
            <w:tcW w:w="17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right"/>
              <w:rPr/>
            </w:pPr>
            <w:r>
              <w:rPr/>
              <w:t>4,102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30,609</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41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loss</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(328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(1,561</w:t>
            </w:r>
          </w:p>
        </w:tc>
        <w:tc>
          <w:tcPr>
            <w:tcW w:w="17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2,425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6,855</w:t>
            </w:r>
          </w:p>
        </w:tc>
        <w:tc>
          <w:tcPr>
            <w:tcW w:w="17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right"/>
              <w:rPr/>
            </w:pPr>
            <w:r>
              <w:rPr/>
              <w:t>5,681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12,572</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41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8,106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19,427</w:t>
            </w:r>
          </w:p>
        </w:tc>
        <w:tc>
          <w:tcPr>
            <w:tcW w:w="17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41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right"/>
              <w:rPr/>
            </w:pPr>
            <w:r>
              <w:rPr/>
              <w:t>(8,434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(20,988</w:t>
            </w:r>
          </w:p>
        </w:tc>
        <w:tc>
          <w:tcPr>
            <w:tcW w:w="1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32</w:t>
            </w:r>
          </w:p>
        </w:tc>
        <w:tc>
          <w:tcPr>
            <w:tcW w:w="17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41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before income taxes</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right"/>
              <w:rPr/>
            </w:pPr>
            <w:r>
              <w:rPr/>
              <w:t>(8,403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(20,956</w:t>
            </w:r>
          </w:p>
        </w:tc>
        <w:tc>
          <w:tcPr>
            <w:tcW w:w="1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(provision)</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loss from discontinued operations</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right"/>
              <w:rPr/>
            </w:pPr>
            <w:r>
              <w:rPr/>
              <w:t>(147,505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(147,505</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41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from discontinued operations</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14" w:type="dxa"/>
            <w:tcBorders/>
            <w:shd w:fill="CCEEFF" w:val="clear"/>
            <w:vAlign w:val="center"/>
          </w:tcPr>
          <w:p>
            <w:pPr>
              <w:pStyle w:val="TableContents"/>
              <w:bidi w:val="0"/>
              <w:spacing w:before="0" w:after="283"/>
              <w:jc w:val="right"/>
              <w:rPr/>
            </w:pPr>
            <w:r>
              <w:rPr/>
              <w:t>(155,909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(168,458</w:t>
            </w:r>
          </w:p>
        </w:tc>
        <w:tc>
          <w:tcPr>
            <w:tcW w:w="17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double" w:sz="6" w:space="1" w:color="000000"/>
              </w:rPr>
            </w:pPr>
            <w:r>
              <w:rPr>
                <w:bdr w:val="double" w:sz="6" w:space="1" w:color="000000"/>
              </w:rPr>
              <w:t> </w:t>
            </w:r>
          </w:p>
        </w:tc>
        <w:tc>
          <w:tcPr>
            <w:tcW w:w="141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23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Held for sale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previously described in Note 1 – Organization, certain assets of the Solaria, Inc. have been reflected as assets held for sale in the periods preceding the divestiture.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is a summary of the major categories of assets and liabilities held for sale (in thousands): </w:t>
      </w:r>
    </w:p>
    <w:p>
      <w:pPr>
        <w:pStyle w:val="TextBody"/>
        <w:bidi w:val="0"/>
        <w:spacing w:before="0" w:after="0"/>
        <w:jc w:val="left"/>
        <w:rPr>
          <w:shd w:fill="FFFFFF" w:val="clear"/>
        </w:rPr>
      </w:pPr>
      <w:r>
        <w:rPr>
          <w:shd w:fill="FFFFFF" w:val="clear"/>
        </w:rPr>
        <w:t> </w:t>
      </w:r>
    </w:p>
    <w:tbl>
      <w:tblPr>
        <w:tblW w:w="5310" w:type="dxa"/>
        <w:jc w:val="left"/>
        <w:tblInd w:w="0" w:type="dxa"/>
        <w:tblLayout w:type="fixed"/>
        <w:tblCellMar>
          <w:top w:w="0" w:type="dxa"/>
          <w:left w:w="0" w:type="dxa"/>
          <w:bottom w:w="0" w:type="dxa"/>
          <w:right w:w="0" w:type="dxa"/>
        </w:tblCellMar>
      </w:tblPr>
      <w:tblGrid>
        <w:gridCol w:w="2435"/>
        <w:gridCol w:w="120"/>
        <w:gridCol w:w="185"/>
        <w:gridCol w:w="900"/>
        <w:gridCol w:w="60"/>
        <w:gridCol w:w="120"/>
        <w:gridCol w:w="210"/>
        <w:gridCol w:w="1205"/>
        <w:gridCol w:w="75"/>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12,299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42,610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119,422</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9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assets held for sale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12,299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162,032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9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2860" w:type="dxa"/>
        <w:jc w:val="left"/>
        <w:tblInd w:w="0" w:type="dxa"/>
        <w:tblLayout w:type="fixed"/>
        <w:tblCellMar>
          <w:top w:w="0" w:type="dxa"/>
          <w:left w:w="0" w:type="dxa"/>
          <w:bottom w:w="0" w:type="dxa"/>
          <w:right w:w="0" w:type="dxa"/>
        </w:tblCellMar>
      </w:tblPr>
      <w:tblGrid>
        <w:gridCol w:w="305"/>
        <w:gridCol w:w="2555"/>
      </w:tblGrid>
      <w:tr>
        <w:trPr/>
        <w:tc>
          <w:tcPr>
            <w:tcW w:w="305" w:type="dxa"/>
            <w:tcBorders/>
            <w:vAlign w:val="center"/>
          </w:tcPr>
          <w:p>
            <w:pPr>
              <w:pStyle w:val="TableContents"/>
              <w:bidi w:val="0"/>
              <w:spacing w:before="0" w:after="0"/>
              <w:jc w:val="left"/>
              <w:rPr>
                <w:b/>
                <w:spacing w:val="0"/>
              </w:rPr>
            </w:pPr>
            <w:r>
              <w:rPr>
                <w:b/>
                <w:spacing w:val="0"/>
              </w:rPr>
              <w:t>(9)</w:t>
            </w:r>
          </w:p>
        </w:tc>
        <w:tc>
          <w:tcPr>
            <w:tcW w:w="25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and equipment, net consists of the following (in thousands, except year data): </w:t>
      </w:r>
    </w:p>
    <w:p>
      <w:pPr>
        <w:pStyle w:val="TextBody"/>
        <w:bidi w:val="0"/>
        <w:spacing w:before="0" w:after="0"/>
        <w:jc w:val="left"/>
        <w:rPr>
          <w:shd w:fill="FFFFFF" w:val="clear"/>
        </w:rPr>
      </w:pPr>
      <w:r>
        <w:rPr>
          <w:shd w:fill="FFFFFF" w:val="clear"/>
        </w:rPr>
        <w:t> </w:t>
      </w:r>
    </w:p>
    <w:tbl>
      <w:tblPr>
        <w:tblW w:w="8535" w:type="dxa"/>
        <w:jc w:val="left"/>
        <w:tblInd w:w="0" w:type="dxa"/>
        <w:tblLayout w:type="fixed"/>
        <w:tblCellMar>
          <w:top w:w="0" w:type="dxa"/>
          <w:left w:w="0" w:type="dxa"/>
          <w:bottom w:w="0" w:type="dxa"/>
          <w:right w:w="0" w:type="dxa"/>
        </w:tblCellMar>
      </w:tblPr>
      <w:tblGrid>
        <w:gridCol w:w="4025"/>
        <w:gridCol w:w="120"/>
        <w:gridCol w:w="379"/>
        <w:gridCol w:w="886"/>
        <w:gridCol w:w="60"/>
        <w:gridCol w:w="120"/>
        <w:gridCol w:w="196"/>
        <w:gridCol w:w="889"/>
        <w:gridCol w:w="155"/>
        <w:gridCol w:w="120"/>
        <w:gridCol w:w="255"/>
        <w:gridCol w:w="1160"/>
        <w:gridCol w:w="170"/>
      </w:tblGrid>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Estimated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Useful Lives</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Developed software</w:t>
            </w:r>
          </w:p>
        </w:tc>
        <w:tc>
          <w:tcPr>
            <w:tcW w:w="12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6,559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5,054</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Manufacturing equipment</w:t>
            </w:r>
          </w:p>
        </w:tc>
        <w:tc>
          <w:tcPr>
            <w:tcW w:w="12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131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102</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equipment</w:t>
            </w:r>
          </w:p>
        </w:tc>
        <w:tc>
          <w:tcPr>
            <w:tcW w:w="12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90</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708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708</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single" w:sz="2" w:space="1" w:color="000000"/>
              </w:rPr>
            </w:pPr>
            <w:r>
              <w:rPr>
                <w:bdr w:val="single" w:sz="2" w:space="1" w:color="000000"/>
              </w:rPr>
              <w:t> </w:t>
            </w:r>
          </w:p>
        </w:tc>
        <w:tc>
          <w:tcPr>
            <w:tcW w:w="88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12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7,488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5,954</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12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(3,303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(2,478</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single" w:sz="2" w:space="1" w:color="000000"/>
              </w:rPr>
            </w:pPr>
            <w:r>
              <w:rPr>
                <w:bdr w:val="single" w:sz="2" w:space="1" w:color="000000"/>
              </w:rPr>
              <w:t> </w:t>
            </w:r>
          </w:p>
        </w:tc>
        <w:tc>
          <w:tcPr>
            <w:tcW w:w="88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property and equipment, net</w:t>
            </w:r>
          </w:p>
        </w:tc>
        <w:tc>
          <w:tcPr>
            <w:tcW w:w="12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4,185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3,476</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double" w:sz="6" w:space="1" w:color="000000"/>
              </w:rPr>
            </w:pPr>
            <w:r>
              <w:rPr>
                <w:bdr w:val="double" w:sz="6" w:space="1" w:color="000000"/>
              </w:rPr>
              <w:t> </w:t>
            </w:r>
          </w:p>
        </w:tc>
        <w:tc>
          <w:tcPr>
            <w:tcW w:w="88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double" w:sz="6" w:space="1" w:color="000000"/>
              </w:rPr>
            </w:pPr>
            <w:r>
              <w:rPr>
                <w:bdr w:val="double" w:sz="6" w:space="1" w:color="000000"/>
              </w:rPr>
              <w:t> </w:t>
            </w:r>
          </w:p>
        </w:tc>
        <w:tc>
          <w:tcPr>
            <w:tcW w:w="1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Depreciation and amortization expense on tangible assets totaled $0.3 million and $0.6 million for the thirteen and thirty-nine weeks ended October 1, 2023, respectively, and $0.2 million and $0.4 million for the three and nine months ended September 30, 2022, respectively. There were no impairment charges on tangible assets recognized for the thirteen or thirty-nine weeks ended October 1, 2023, or for the three or nine months ended September 30, 202</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2</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 </w:t>
      </w:r>
    </w:p>
    <w:p>
      <w:pPr>
        <w:pStyle w:val="TextBody"/>
        <w:bidi w:val="0"/>
        <w:spacing w:before="0" w:after="0"/>
        <w:jc w:val="left"/>
        <w:rPr>
          <w:shd w:fill="FFFFFF" w:val="clear"/>
        </w:rPr>
      </w:pPr>
      <w:r>
        <w:rPr>
          <w:shd w:fill="FFFFFF" w:val="clear"/>
        </w:rPr>
        <w:t> </w:t>
      </w:r>
    </w:p>
    <w:tbl>
      <w:tblPr>
        <w:tblW w:w="3115" w:type="dxa"/>
        <w:jc w:val="left"/>
        <w:tblInd w:w="0" w:type="dxa"/>
        <w:tblLayout w:type="fixed"/>
        <w:tblCellMar>
          <w:top w:w="0" w:type="dxa"/>
          <w:left w:w="0" w:type="dxa"/>
          <w:bottom w:w="0" w:type="dxa"/>
          <w:right w:w="0" w:type="dxa"/>
        </w:tblCellMar>
      </w:tblPr>
      <w:tblGrid>
        <w:gridCol w:w="425"/>
        <w:gridCol w:w="2690"/>
      </w:tblGrid>
      <w:tr>
        <w:trPr/>
        <w:tc>
          <w:tcPr>
            <w:tcW w:w="425" w:type="dxa"/>
            <w:tcBorders/>
            <w:vAlign w:val="center"/>
          </w:tcPr>
          <w:p>
            <w:pPr>
              <w:pStyle w:val="TableContents"/>
              <w:bidi w:val="0"/>
              <w:spacing w:before="0" w:after="0"/>
              <w:jc w:val="left"/>
              <w:rPr>
                <w:b/>
                <w:spacing w:val="0"/>
              </w:rPr>
            </w:pPr>
            <w:r>
              <w:rPr>
                <w:b/>
                <w:spacing w:val="0"/>
              </w:rPr>
              <w:t>(10)</w:t>
            </w:r>
          </w:p>
        </w:tc>
        <w:tc>
          <w:tcPr>
            <w:tcW w:w="26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and Intangible Assets </w:t>
            </w:r>
          </w:p>
        </w:tc>
      </w:tr>
    </w:tbl>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Goodwill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During the thirteen and thirty-nine weeks ended October 1, 2023, the Company recorded $119.4 million of goodwill impairment related to the goodwill assigned to Solaria, Inc. See Note 8 – Divestiture for additional information regarding the divestiture. The goodwill balances as of October 1, 2023 and December 31, 2022 were zero and $119.4 million, respectively. See Note 6 – Business Combination for additional information regarding the Company’s acquisitions including recognition of goodwill.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Intangible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provides a reconciliation of intangible assets reported as of October 1, 2023 and December 31, 2022 (in thousands, except years data): </w:t>
      </w:r>
    </w:p>
    <w:p>
      <w:pPr>
        <w:pStyle w:val="TextBody"/>
        <w:bidi w:val="0"/>
        <w:spacing w:before="0" w:after="0"/>
        <w:jc w:val="left"/>
        <w:rPr>
          <w:shd w:fill="FFFFFF" w:val="clear"/>
        </w:rPr>
      </w:pPr>
      <w:r>
        <w:rPr>
          <w:shd w:fill="FFFFFF" w:val="clear"/>
        </w:rPr>
        <w:t> </w:t>
      </w:r>
    </w:p>
    <w:tbl>
      <w:tblPr>
        <w:tblW w:w="8420" w:type="dxa"/>
        <w:jc w:val="left"/>
        <w:tblInd w:w="0" w:type="dxa"/>
        <w:tblLayout w:type="fixed"/>
        <w:tblCellMar>
          <w:top w:w="0" w:type="dxa"/>
          <w:left w:w="0" w:type="dxa"/>
          <w:bottom w:w="0" w:type="dxa"/>
          <w:right w:w="0" w:type="dxa"/>
        </w:tblCellMar>
      </w:tblPr>
      <w:tblGrid>
        <w:gridCol w:w="1895"/>
        <w:gridCol w:w="120"/>
        <w:gridCol w:w="164"/>
        <w:gridCol w:w="801"/>
        <w:gridCol w:w="60"/>
        <w:gridCol w:w="120"/>
        <w:gridCol w:w="193"/>
        <w:gridCol w:w="1042"/>
        <w:gridCol w:w="155"/>
        <w:gridCol w:w="120"/>
        <w:gridCol w:w="140"/>
        <w:gridCol w:w="755"/>
        <w:gridCol w:w="155"/>
        <w:gridCol w:w="120"/>
        <w:gridCol w:w="247"/>
        <w:gridCol w:w="1123"/>
        <w:gridCol w:w="155"/>
        <w:gridCol w:w="120"/>
        <w:gridCol w:w="231"/>
        <w:gridCol w:w="629"/>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30"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October 1, 2023</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Carrying</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Impairment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Held for</w:t>
              <w:br/>
              <w:t>Sale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Assembled workforce</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5,700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(3,714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(523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relationship</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24,700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(16,094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(1,029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12,700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(8,275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(3,259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(1,166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intangible assets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43,237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(28,083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(12,299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(2,855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80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7050" w:type="dxa"/>
        <w:jc w:val="left"/>
        <w:tblInd w:w="0" w:type="dxa"/>
        <w:tblLayout w:type="fixed"/>
        <w:tblCellMar>
          <w:top w:w="0" w:type="dxa"/>
          <w:left w:w="0" w:type="dxa"/>
          <w:bottom w:w="0" w:type="dxa"/>
          <w:right w:w="0" w:type="dxa"/>
        </w:tblCellMar>
      </w:tblPr>
      <w:tblGrid>
        <w:gridCol w:w="1895"/>
        <w:gridCol w:w="120"/>
        <w:gridCol w:w="135"/>
        <w:gridCol w:w="995"/>
        <w:gridCol w:w="60"/>
        <w:gridCol w:w="120"/>
        <w:gridCol w:w="164"/>
        <w:gridCol w:w="801"/>
        <w:gridCol w:w="60"/>
        <w:gridCol w:w="120"/>
        <w:gridCol w:w="322"/>
        <w:gridCol w:w="1048"/>
        <w:gridCol w:w="155"/>
        <w:gridCol w:w="120"/>
        <w:gridCol w:w="146"/>
        <w:gridCol w:w="714"/>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6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2022</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Remaining</w:t>
              <w:br/>
              <w:t>Life</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Carrying</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Assembled workforce</w:t>
            </w:r>
          </w:p>
        </w:tc>
        <w:tc>
          <w:tcPr>
            <w:tcW w:w="12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(133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1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5,700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5,605</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relationship</w:t>
            </w:r>
          </w:p>
        </w:tc>
        <w:tc>
          <w:tcPr>
            <w:tcW w:w="12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24,700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24,513</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1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12,700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(212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12,488</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0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left"/>
              <w:rPr>
                <w:bdr w:val="single" w:sz="2" w:space="1" w:color="000000"/>
              </w:rPr>
            </w:pPr>
            <w:r>
              <w:rPr>
                <w:bdr w:val="single" w:sz="2" w:space="1" w:color="000000"/>
              </w:rPr>
              <w:t> </w:t>
            </w:r>
          </w:p>
        </w:tc>
        <w:tc>
          <w:tcPr>
            <w:tcW w:w="104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71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intangible assets</w:t>
            </w:r>
          </w:p>
        </w:tc>
        <w:tc>
          <w:tcPr>
            <w:tcW w:w="12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43,237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(627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42,610</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80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left"/>
              <w:rPr>
                <w:bdr w:val="double" w:sz="6" w:space="1" w:color="000000"/>
              </w:rPr>
            </w:pPr>
            <w:r>
              <w:rPr>
                <w:bdr w:val="double" w:sz="6" w:space="1" w:color="000000"/>
              </w:rPr>
              <w:t> </w:t>
            </w:r>
          </w:p>
        </w:tc>
        <w:tc>
          <w:tcPr>
            <w:tcW w:w="104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double" w:sz="6" w:space="1" w:color="000000"/>
              </w:rPr>
            </w:pPr>
            <w:r>
              <w:rPr>
                <w:bdr w:val="double" w:sz="6" w:space="1" w:color="000000"/>
              </w:rPr>
              <w:t> </w:t>
            </w:r>
          </w:p>
        </w:tc>
        <w:tc>
          <w:tcPr>
            <w:tcW w:w="71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Amortization expense related to intangible assets for the thirteen and thirty-nine weeks ended October 1, 2023 and the three and nine months ended September 30, 2022 were as follows (in thousands): </w:t>
      </w:r>
    </w:p>
    <w:p>
      <w:pPr>
        <w:pStyle w:val="TextBody"/>
        <w:bidi w:val="0"/>
        <w:spacing w:before="0" w:after="0"/>
        <w:jc w:val="left"/>
        <w:rPr>
          <w:shd w:fill="FFFFFF" w:val="clear"/>
        </w:rPr>
      </w:pPr>
      <w:r>
        <w:rPr>
          <w:shd w:fill="FFFFFF" w:val="clear"/>
        </w:rPr>
        <w:t> </w:t>
      </w:r>
    </w:p>
    <w:tbl>
      <w:tblPr>
        <w:tblW w:w="9010" w:type="dxa"/>
        <w:jc w:val="left"/>
        <w:tblInd w:w="0" w:type="dxa"/>
        <w:tblLayout w:type="fixed"/>
        <w:tblCellMar>
          <w:top w:w="0" w:type="dxa"/>
          <w:left w:w="0" w:type="dxa"/>
          <w:bottom w:w="0" w:type="dxa"/>
          <w:right w:w="0" w:type="dxa"/>
        </w:tblCellMar>
      </w:tblPr>
      <w:tblGrid>
        <w:gridCol w:w="2255"/>
        <w:gridCol w:w="120"/>
        <w:gridCol w:w="441"/>
        <w:gridCol w:w="1199"/>
        <w:gridCol w:w="60"/>
        <w:gridCol w:w="120"/>
        <w:gridCol w:w="397"/>
        <w:gridCol w:w="1078"/>
        <w:gridCol w:w="60"/>
        <w:gridCol w:w="120"/>
        <w:gridCol w:w="286"/>
        <w:gridCol w:w="1144"/>
        <w:gridCol w:w="60"/>
        <w:gridCol w:w="120"/>
        <w:gridCol w:w="397"/>
        <w:gridCol w:w="1078"/>
        <w:gridCol w:w="75"/>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 Weeks</w:t>
              <w:br/>
              <w:t>Ended</w:t>
              <w:b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w:t>
              <w:br/>
              <w:t>September 30,</w:t>
              <w:b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w:t>
            </w:r>
          </w:p>
          <w:p>
            <w:pPr>
              <w:pStyle w:val="TableContents"/>
              <w:bidi w:val="0"/>
              <w:spacing w:before="0" w:after="0"/>
              <w:jc w:val="center"/>
              <w:rPr>
                <w:b/>
                <w:spacing w:val="0"/>
              </w:rPr>
            </w:pPr>
            <w:r>
              <w:rPr>
                <w:b/>
                <w:spacing w:val="0"/>
              </w:rPr>
              <w:br/>
              <w:t>Weeks Ended</w:t>
              <w:b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w:t>
              <w:br/>
              <w:t>Ended</w:t>
              <w:br/>
              <w:t>September 30,</w:t>
              <w:br/>
              <w:t>2022</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Assembled workforce</w:t>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428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relationship</w:t>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953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amortization expense</w:t>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738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2,228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jc w:val="left"/>
              <w:rPr>
                <w:bdr w:val="double" w:sz="6" w:space="1" w:color="000000"/>
              </w:rPr>
            </w:pPr>
            <w:r>
              <w:rPr>
                <w:bdr w:val="double" w:sz="6" w:space="1" w:color="000000"/>
              </w:rPr>
              <w:t> </w:t>
            </w:r>
          </w:p>
        </w:tc>
        <w:tc>
          <w:tcPr>
            <w:tcW w:w="107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double" w:sz="6" w:space="1" w:color="000000"/>
              </w:rPr>
            </w:pPr>
            <w:r>
              <w:rPr>
                <w:bdr w:val="double" w:sz="6" w:space="1" w:color="000000"/>
              </w:rPr>
              <w:t> </w:t>
            </w:r>
          </w:p>
        </w:tc>
        <w:tc>
          <w:tcPr>
            <w:tcW w:w="114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jc w:val="left"/>
              <w:rPr>
                <w:bdr w:val="double" w:sz="6" w:space="1" w:color="000000"/>
              </w:rPr>
            </w:pPr>
            <w:r>
              <w:rPr>
                <w:bdr w:val="double" w:sz="6" w:space="1" w:color="000000"/>
              </w:rPr>
              <w:t> </w:t>
            </w:r>
          </w:p>
        </w:tc>
        <w:tc>
          <w:tcPr>
            <w:tcW w:w="107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Amortization expense for the thirteen and thirty-nine weeks ended October 1, 2023 was recorded as loss from discontinued operations on the accompanying unaudited condensed consolidated statements of operations and comprehensive income (loss). For the three and nine months ended September 30, 2022, amortization expense related to intangible assets of less than $0.1 million was recorded to general and administrative expense on the accompanying unaudited condensed consolidated statements of operations and comprehensive income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does not expect to recognize any future amortization expense of intangible assets as of October 1, 2023. </w:t>
      </w:r>
    </w:p>
    <w:p>
      <w:pPr>
        <w:pStyle w:val="TextBody"/>
        <w:bidi w:val="0"/>
        <w:spacing w:before="0" w:after="0"/>
        <w:jc w:val="left"/>
        <w:rPr>
          <w:shd w:fill="FFFFFF" w:val="clear"/>
        </w:rPr>
      </w:pPr>
      <w:r>
        <w:rPr>
          <w:shd w:fill="FFFFFF" w:val="clear"/>
        </w:rPr>
        <w:t> </w:t>
      </w:r>
    </w:p>
    <w:tbl>
      <w:tblPr>
        <w:tblW w:w="4570" w:type="dxa"/>
        <w:jc w:val="left"/>
        <w:tblInd w:w="0" w:type="dxa"/>
        <w:tblLayout w:type="fixed"/>
        <w:tblCellMar>
          <w:top w:w="0" w:type="dxa"/>
          <w:left w:w="0" w:type="dxa"/>
          <w:bottom w:w="0" w:type="dxa"/>
          <w:right w:w="0" w:type="dxa"/>
        </w:tblCellMar>
      </w:tblPr>
      <w:tblGrid>
        <w:gridCol w:w="425"/>
        <w:gridCol w:w="4145"/>
      </w:tblGrid>
      <w:tr>
        <w:trPr/>
        <w:tc>
          <w:tcPr>
            <w:tcW w:w="425" w:type="dxa"/>
            <w:tcBorders/>
            <w:vAlign w:val="center"/>
          </w:tcPr>
          <w:p>
            <w:pPr>
              <w:pStyle w:val="TableContents"/>
              <w:bidi w:val="0"/>
              <w:spacing w:before="0" w:after="0"/>
              <w:jc w:val="left"/>
              <w:rPr>
                <w:b/>
                <w:spacing w:val="0"/>
              </w:rPr>
            </w:pPr>
            <w:r>
              <w:rPr>
                <w:b/>
                <w:spacing w:val="0"/>
              </w:rPr>
              <w:t>(11)</w:t>
            </w:r>
          </w:p>
        </w:tc>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and other current liabilities consist of the following (in thousands): </w:t>
      </w:r>
    </w:p>
    <w:p>
      <w:pPr>
        <w:pStyle w:val="TextBody"/>
        <w:bidi w:val="0"/>
        <w:spacing w:before="0" w:after="0"/>
        <w:jc w:val="left"/>
        <w:rPr>
          <w:shd w:fill="FFFFFF" w:val="clear"/>
        </w:rPr>
      </w:pPr>
      <w:r>
        <w:rPr>
          <w:shd w:fill="FFFFFF" w:val="clear"/>
        </w:rPr>
        <w:t> </w:t>
      </w:r>
    </w:p>
    <w:tbl>
      <w:tblPr>
        <w:tblW w:w="8850" w:type="dxa"/>
        <w:jc w:val="left"/>
        <w:tblInd w:w="0" w:type="dxa"/>
        <w:tblLayout w:type="fixed"/>
        <w:tblCellMar>
          <w:top w:w="0" w:type="dxa"/>
          <w:left w:w="0" w:type="dxa"/>
          <w:bottom w:w="0" w:type="dxa"/>
          <w:right w:w="0" w:type="dxa"/>
        </w:tblCellMar>
      </w:tblPr>
      <w:tblGrid>
        <w:gridCol w:w="5975"/>
        <w:gridCol w:w="120"/>
        <w:gridCol w:w="185"/>
        <w:gridCol w:w="900"/>
        <w:gridCol w:w="60"/>
        <w:gridCol w:w="120"/>
        <w:gridCol w:w="241"/>
        <w:gridCol w:w="1174"/>
        <w:gridCol w:w="75"/>
      </w:tblGrid>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3,940</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Customer deposits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1,167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930</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Uninvoiced contract costs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3,554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1,914</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Inventory received but not invoiced</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1,391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972</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term loan and revolving loan amendment and final payment fees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2,400</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legal settlements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2,955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1,853</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taxes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931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1,245</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rebates and credits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880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1,076</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720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958</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warranty</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918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underwriters’ discount payable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warranty, current</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767</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4,693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3,775</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9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26,674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19,830</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9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2440" w:type="dxa"/>
        <w:jc w:val="left"/>
        <w:tblInd w:w="0" w:type="dxa"/>
        <w:tblLayout w:type="fixed"/>
        <w:tblCellMar>
          <w:top w:w="0" w:type="dxa"/>
          <w:left w:w="0" w:type="dxa"/>
          <w:bottom w:w="0" w:type="dxa"/>
          <w:right w:w="0" w:type="dxa"/>
        </w:tblCellMar>
      </w:tblPr>
      <w:tblGrid>
        <w:gridCol w:w="425"/>
        <w:gridCol w:w="2015"/>
      </w:tblGrid>
      <w:tr>
        <w:trPr/>
        <w:tc>
          <w:tcPr>
            <w:tcW w:w="425" w:type="dxa"/>
            <w:tcBorders/>
            <w:vAlign w:val="center"/>
          </w:tcPr>
          <w:p>
            <w:pPr>
              <w:pStyle w:val="TableContents"/>
              <w:bidi w:val="0"/>
              <w:spacing w:before="0" w:after="0"/>
              <w:jc w:val="left"/>
              <w:rPr>
                <w:b/>
                <w:spacing w:val="0"/>
              </w:rPr>
            </w:pPr>
            <w:r>
              <w:rPr>
                <w:b/>
                <w:spacing w:val="0"/>
              </w:rPr>
              <w:t>(12)</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 Plan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sponsors a 401(k) defined contribution and profit-sharing plan (“401(k) Plan”) for its eligible employees. This 401(k) Plan provides for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tax-deferred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thirteen or thirty-nine weeks ended October 1, 2023 and for the three or nine months ended September 30, 2022.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(13) Other Income (Expense),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Other income (expense), net consists of the following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035"/>
        <w:gridCol w:w="120"/>
        <w:gridCol w:w="169"/>
        <w:gridCol w:w="916"/>
        <w:gridCol w:w="155"/>
        <w:gridCol w:w="60"/>
        <w:gridCol w:w="397"/>
        <w:gridCol w:w="1078"/>
        <w:gridCol w:w="60"/>
        <w:gridCol w:w="120"/>
        <w:gridCol w:w="193"/>
        <w:gridCol w:w="1042"/>
        <w:gridCol w:w="155"/>
        <w:gridCol w:w="60"/>
        <w:gridCol w:w="295"/>
        <w:gridCol w:w="1180"/>
        <w:gridCol w:w="170"/>
      </w:tblGrid>
      <w:tr>
        <w:trPr/>
        <w:tc>
          <w:tcPr>
            <w:tcW w:w="4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w:t>
              <w:br/>
              <w:t>Weeks</w:t>
              <w:br/>
              <w:t>Ended</w:t>
              <w:br/>
              <w:t>October 1,</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w:t>
            </w:r>
          </w:p>
          <w:p>
            <w:pPr>
              <w:pStyle w:val="TableContents"/>
              <w:bidi w:val="0"/>
              <w:spacing w:before="0" w:after="0"/>
              <w:jc w:val="center"/>
              <w:rPr/>
            </w:pPr>
            <w:r>
              <w:rPr/>
            </w:r>
          </w:p>
          <w:p>
            <w:pPr>
              <w:pStyle w:val="TableContents"/>
              <w:bidi w:val="0"/>
              <w:spacing w:before="0" w:after="0"/>
              <w:jc w:val="center"/>
              <w:rPr>
                <w:b/>
                <w:spacing w:val="0"/>
              </w:rPr>
            </w:pPr>
            <w:r>
              <w:rPr>
                <w:b/>
                <w:spacing w:val="0"/>
              </w:rPr>
              <w:t>Months</w:t>
              <w:br/>
              <w:t>Ended</w:t>
              <w:br/>
              <w:t>September 30,</w:t>
              <w:b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w:t>
            </w:r>
          </w:p>
          <w:p>
            <w:pPr>
              <w:pStyle w:val="TableContents"/>
              <w:bidi w:val="0"/>
              <w:spacing w:before="0" w:after="0"/>
              <w:jc w:val="center"/>
              <w:rPr>
                <w:b/>
                <w:spacing w:val="0"/>
              </w:rPr>
            </w:pPr>
            <w:r>
              <w:rPr>
                <w:b/>
                <w:spacing w:val="0"/>
              </w:rPr>
              <w:br/>
              <w:t>Weeks</w:t>
              <w:br/>
              <w:t>Ended</w:t>
            </w:r>
          </w:p>
          <w:p>
            <w:pPr>
              <w:pStyle w:val="TableContents"/>
              <w:bidi w:val="0"/>
              <w:spacing w:before="0" w:after="0"/>
              <w:jc w:val="center"/>
              <w:rPr/>
            </w:pPr>
            <w:r>
              <w:rPr/>
            </w:r>
          </w:p>
          <w:p>
            <w:pPr>
              <w:pStyle w:val="TableContents"/>
              <w:bidi w:val="0"/>
              <w:spacing w:before="0" w:after="0"/>
              <w:jc w:val="center"/>
              <w:rPr>
                <w:b/>
                <w:spacing w:val="0"/>
              </w:rPr>
            </w:pPr>
            <w:r>
              <w:rPr>
                <w:b/>
                <w:spacing w:val="0"/>
              </w:rPr>
              <w:t>October 1,</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w:t>
              <w:br/>
              <w:t>Months</w:t>
              <w:br/>
              <w:t>Ended</w:t>
              <w:br/>
              <w:t>September 30,</w:t>
              <w:br/>
              <w:t>2022</w:t>
            </w:r>
          </w:p>
        </w:tc>
        <w:tc>
          <w:tcPr>
            <w:tcW w:w="170" w:type="dxa"/>
            <w:tcBorders/>
            <w:vAlign w:val="center"/>
          </w:tcPr>
          <w:p>
            <w:pPr>
              <w:pStyle w:val="TableContents"/>
              <w:bidi w:val="0"/>
              <w:spacing w:before="0" w:after="283"/>
              <w:jc w:val="left"/>
              <w:rPr/>
            </w:pPr>
            <w:r>
              <w:rPr/>
              <w:t> </w:t>
            </w:r>
          </w:p>
        </w:tc>
      </w:tr>
      <w:tr>
        <w:trPr/>
        <w:tc>
          <w:tcPr>
            <w:tcW w:w="4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redeemable convertible preferred stock warrant liability</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9,455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(142</w:t>
            </w:r>
          </w:p>
        </w:tc>
        <w:tc>
          <w:tcPr>
            <w:tcW w:w="170" w:type="dxa"/>
            <w:tcBorders/>
            <w:shd w:fill="CCEEFF" w:val="clear"/>
            <w:vAlign w:val="center"/>
          </w:tcPr>
          <w:p>
            <w:pPr>
              <w:pStyle w:val="TableContents"/>
              <w:bidi w:val="0"/>
              <w:spacing w:before="0" w:after="283"/>
              <w:jc w:val="left"/>
              <w:rPr/>
            </w:pPr>
            <w:r>
              <w:rPr/>
              <w:t>) </w:t>
            </w:r>
          </w:p>
        </w:tc>
      </w:tr>
      <w:tr>
        <w:trPr/>
        <w:tc>
          <w:tcPr>
            <w:tcW w:w="4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Carlyle warrants</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12,689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12,689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FACT public, private placement and working capital warrants</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4,170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extinguishment of convertible notes and SAFE agreements</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3,235</w:t>
            </w:r>
          </w:p>
        </w:tc>
        <w:tc>
          <w:tcPr>
            <w:tcW w:w="170" w:type="dxa"/>
            <w:tcBorders/>
            <w:vAlign w:val="center"/>
          </w:tcPr>
          <w:p>
            <w:pPr>
              <w:pStyle w:val="TableContents"/>
              <w:bidi w:val="0"/>
              <w:spacing w:before="0" w:after="283"/>
              <w:jc w:val="left"/>
              <w:rPr/>
            </w:pPr>
            <w:r>
              <w:rPr/>
              <w:t> </w:t>
            </w:r>
          </w:p>
        </w:tc>
      </w:tr>
      <w:tr>
        <w:trPr/>
        <w:tc>
          <w:tcPr>
            <w:tcW w:w="4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CS Solis debt extinguishment</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(10,338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(10,338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Bonus shares issued in connection with the Mergers</w:t>
            </w:r>
          </w:p>
          <w:p>
            <w:pPr>
              <w:pStyle w:val="TableContents"/>
              <w:bidi w:val="0"/>
              <w:spacing w:before="0" w:after="0"/>
              <w:jc w:val="left"/>
              <w:rPr>
                <w:rFonts w:ascii="Times New Roman" w:hAnsi="Times New Roman"/>
                <w:sz w:val="12"/>
              </w:rPr>
            </w:pPr>
            <w:r>
              <w:rPr>
                <w:rFonts w:ascii="Times New Roman" w:hAnsi="Times New Roman"/>
                <w:sz w:val="12"/>
              </w:rPr>
              <w:t>(2)</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(2,394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(2,394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forward purchase agreements</w:t>
            </w:r>
          </w:p>
          <w:p>
            <w:pPr>
              <w:pStyle w:val="TableContents"/>
              <w:bidi w:val="0"/>
              <w:spacing w:before="0" w:after="0"/>
              <w:jc w:val="left"/>
              <w:rPr>
                <w:rFonts w:ascii="Times New Roman" w:hAnsi="Times New Roman"/>
                <w:sz w:val="12"/>
              </w:rPr>
            </w:pPr>
            <w:r>
              <w:rPr>
                <w:rFonts w:ascii="Times New Roman" w:hAnsi="Times New Roman"/>
                <w:sz w:val="12"/>
              </w:rPr>
              <w:t>(3)</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forward purchase agreement liabilities</w:t>
            </w:r>
          </w:p>
          <w:p>
            <w:pPr>
              <w:pStyle w:val="TableContents"/>
              <w:bidi w:val="0"/>
              <w:spacing w:before="0" w:after="0"/>
              <w:jc w:val="left"/>
              <w:rPr>
                <w:rFonts w:ascii="Times New Roman" w:hAnsi="Times New Roman"/>
                <w:sz w:val="12"/>
              </w:rPr>
            </w:pPr>
            <w:r>
              <w:rPr>
                <w:rFonts w:ascii="Times New Roman" w:hAnsi="Times New Roman"/>
                <w:sz w:val="12"/>
              </w:rPr>
              <w:t>(4)</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(6,661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(6,661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shares in connection with the forward purchase agreements</w:t>
            </w:r>
          </w:p>
          <w:p>
            <w:pPr>
              <w:pStyle w:val="TableContents"/>
              <w:bidi w:val="0"/>
              <w:spacing w:before="0" w:after="0"/>
              <w:jc w:val="left"/>
              <w:rPr>
                <w:rFonts w:ascii="Times New Roman" w:hAnsi="Times New Roman"/>
                <w:sz w:val="12"/>
              </w:rPr>
            </w:pPr>
            <w:r>
              <w:rPr>
                <w:rFonts w:ascii="Times New Roman" w:hAnsi="Times New Roman"/>
                <w:sz w:val="12"/>
              </w:rPr>
              <w:t>(5)</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(35,490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(35,490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191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87</w:t>
            </w:r>
          </w:p>
        </w:tc>
        <w:tc>
          <w:tcPr>
            <w:tcW w:w="170" w:type="dxa"/>
            <w:tcBorders/>
            <w:vAlign w:val="center"/>
          </w:tcPr>
          <w:p>
            <w:pPr>
              <w:pStyle w:val="TableContents"/>
              <w:bidi w:val="0"/>
              <w:spacing w:before="0" w:after="283"/>
              <w:jc w:val="left"/>
              <w:rPr/>
            </w:pPr>
            <w:r>
              <w:rPr/>
              <w:t> </w:t>
            </w:r>
          </w:p>
        </w:tc>
      </w:tr>
      <w:tr>
        <w:trPr/>
        <w:tc>
          <w:tcPr>
            <w:tcW w:w="4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single" w:sz="2" w:space="1" w:color="000000"/>
              </w:rPr>
            </w:pPr>
            <w:r>
              <w:rPr>
                <w:bdr w:val="single" w:sz="2" w:space="1" w:color="000000"/>
              </w:rPr>
              <w:t> </w:t>
            </w:r>
          </w:p>
        </w:tc>
        <w:tc>
          <w:tcPr>
            <w:tcW w:w="91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(38,003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(28,302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3,180</w:t>
            </w:r>
          </w:p>
        </w:tc>
        <w:tc>
          <w:tcPr>
            <w:tcW w:w="170" w:type="dxa"/>
            <w:tcBorders/>
            <w:shd w:fill="CCEEFF" w:val="clear"/>
            <w:vAlign w:val="center"/>
          </w:tcPr>
          <w:p>
            <w:pPr>
              <w:pStyle w:val="TableContents"/>
              <w:bidi w:val="0"/>
              <w:spacing w:before="0" w:after="283"/>
              <w:jc w:val="left"/>
              <w:rPr/>
            </w:pPr>
            <w:r>
              <w:rPr/>
              <w:t> </w:t>
            </w:r>
          </w:p>
        </w:tc>
      </w:tr>
      <w:tr>
        <w:trPr/>
        <w:tc>
          <w:tcPr>
            <w:tcW w:w="4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double" w:sz="6" w:space="1" w:color="000000"/>
              </w:rPr>
            </w:pPr>
            <w:r>
              <w:rPr>
                <w:bdr w:val="double" w:sz="6" w:space="1" w:color="000000"/>
              </w:rPr>
              <w:t> </w:t>
            </w:r>
          </w:p>
        </w:tc>
        <w:tc>
          <w:tcPr>
            <w:tcW w:w="91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jc w:val="left"/>
              <w:rPr>
                <w:bdr w:val="double" w:sz="6" w:space="1" w:color="000000"/>
              </w:rPr>
            </w:pPr>
            <w:r>
              <w:rPr>
                <w:bdr w:val="double" w:sz="6" w:space="1" w:color="000000"/>
              </w:rPr>
              <w:t> </w:t>
            </w:r>
          </w:p>
        </w:tc>
        <w:tc>
          <w:tcPr>
            <w:tcW w:w="107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sz w:val="12"/>
              </w:rPr>
            </w:pPr>
            <w:r>
              <w:rPr>
                <w:sz w:val="12"/>
              </w:rPr>
              <w:t>(1)</w:t>
            </w:r>
          </w:p>
          <w:p>
            <w:pPr>
              <w:pStyle w:val="TableContents"/>
              <w:bidi w:val="0"/>
              <w:spacing w:before="0" w:after="0"/>
              <w:jc w:val="left"/>
              <w:rPr/>
            </w:pPr>
            <w:r>
              <w:rPr/>
              <w:t> </w:t>
            </w:r>
          </w:p>
        </w:tc>
        <w:tc>
          <w:tcPr>
            <w:tcW w:w="100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zero and $1.4 million of other income for the three and nine months ended September 30, 2022, respectively, recognized upon the conversion of related party convertible notes and SAFEs.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sz w:val="12"/>
              </w:rPr>
            </w:pPr>
            <w:r>
              <w:rPr>
                <w:sz w:val="12"/>
              </w:rPr>
              <w:t>(2)</w:t>
            </w:r>
          </w:p>
          <w:p>
            <w:pPr>
              <w:pStyle w:val="TableContents"/>
              <w:bidi w:val="0"/>
              <w:spacing w:before="0" w:after="0"/>
              <w:jc w:val="left"/>
              <w:rPr/>
            </w:pPr>
            <w:r>
              <w:rPr/>
              <w:t> </w:t>
            </w:r>
          </w:p>
        </w:tc>
        <w:tc>
          <w:tcPr>
            <w:tcW w:w="100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$0.7 million of other expense for each of the thirteen and thirty-nine weeks ended October 1, 2023 for bonus shares issued to related parties in connection with the Mergers.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sz w:val="12"/>
              </w:rPr>
            </w:pPr>
            <w:r>
              <w:rPr>
                <w:sz w:val="12"/>
              </w:rPr>
              <w:t>(3)</w:t>
            </w:r>
          </w:p>
          <w:p>
            <w:pPr>
              <w:pStyle w:val="TableContents"/>
              <w:bidi w:val="0"/>
              <w:spacing w:before="0" w:after="0"/>
              <w:jc w:val="left"/>
              <w:rPr/>
            </w:pPr>
            <w:r>
              <w:rPr/>
              <w:t> </w:t>
            </w:r>
          </w:p>
        </w:tc>
        <w:tc>
          <w:tcPr>
            <w:tcW w:w="100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$0.3 million of other income for each of the thirteen and thirty-nine weeks ended October 1, 2023 for forward purchase agreements entered into with related parties.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sz w:val="12"/>
              </w:rPr>
            </w:pPr>
            <w:r>
              <w:rPr>
                <w:sz w:val="12"/>
              </w:rPr>
              <w:t>(4)</w:t>
            </w:r>
          </w:p>
          <w:p>
            <w:pPr>
              <w:pStyle w:val="TableContents"/>
              <w:bidi w:val="0"/>
              <w:spacing w:before="0" w:after="0"/>
              <w:jc w:val="left"/>
              <w:rPr/>
            </w:pPr>
            <w:r>
              <w:rPr/>
              <w:t> </w:t>
            </w:r>
          </w:p>
        </w:tc>
        <w:tc>
          <w:tcPr>
            <w:tcW w:w="100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$5.9 million of other expense for each of the thirteen and thirty-nine weeks ended October 1, 2023 for forward purchase agreements entered into with related parties.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sz w:val="12"/>
              </w:rPr>
            </w:pPr>
            <w:r>
              <w:rPr>
                <w:sz w:val="12"/>
              </w:rPr>
              <w:t>(5)</w:t>
            </w:r>
          </w:p>
          <w:p>
            <w:pPr>
              <w:pStyle w:val="TableContents"/>
              <w:bidi w:val="0"/>
              <w:spacing w:before="0" w:after="0"/>
              <w:jc w:val="left"/>
              <w:rPr/>
            </w:pPr>
            <w:r>
              <w:rPr/>
              <w:t> </w:t>
            </w:r>
          </w:p>
        </w:tc>
        <w:tc>
          <w:tcPr>
            <w:tcW w:w="100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$30.7 million of other expense for each of the thirteen and thirty-nine weeks ended October 1, 2023 for shares issued to related parties in connection with the forward purchase agreements. </w:t>
            </w:r>
          </w:p>
        </w:tc>
      </w:tr>
    </w:tbl>
    <w:p>
      <w:pPr>
        <w:pStyle w:val="TextBody"/>
        <w:bidi w:val="0"/>
        <w:spacing w:before="0" w:after="0"/>
        <w:jc w:val="left"/>
        <w:rPr>
          <w:shd w:fill="FFFFFF" w:val="clear"/>
        </w:rPr>
      </w:pPr>
      <w:r>
        <w:rPr>
          <w:shd w:fill="FFFFFF" w:val="clear"/>
        </w:rPr>
        <w:t> </w:t>
      </w:r>
    </w:p>
    <w:tbl>
      <w:tblPr>
        <w:tblW w:w="1795" w:type="dxa"/>
        <w:jc w:val="left"/>
        <w:tblInd w:w="0" w:type="dxa"/>
        <w:tblLayout w:type="fixed"/>
        <w:tblCellMar>
          <w:top w:w="0" w:type="dxa"/>
          <w:left w:w="0" w:type="dxa"/>
          <w:bottom w:w="0" w:type="dxa"/>
          <w:right w:w="0" w:type="dxa"/>
        </w:tblCellMar>
      </w:tblPr>
      <w:tblGrid>
        <w:gridCol w:w="425"/>
        <w:gridCol w:w="1370"/>
      </w:tblGrid>
      <w:tr>
        <w:trPr/>
        <w:tc>
          <w:tcPr>
            <w:tcW w:w="425" w:type="dxa"/>
            <w:tcBorders/>
            <w:vAlign w:val="center"/>
          </w:tcPr>
          <w:p>
            <w:pPr>
              <w:pStyle w:val="TableContents"/>
              <w:bidi w:val="0"/>
              <w:spacing w:before="0" w:after="0"/>
              <w:jc w:val="left"/>
              <w:rPr>
                <w:b/>
                <w:spacing w:val="0"/>
              </w:rPr>
            </w:pPr>
            <w:r>
              <w:rPr>
                <w:b/>
                <w:spacing w:val="0"/>
              </w:rPr>
              <w:t>(14)</w:t>
            </w:r>
          </w:p>
        </w:tc>
        <w:tc>
          <w:tcPr>
            <w:tcW w:w="13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authorized the issuance of 1,000,000,000 shares of common stock and 10,000,000 shares of preferred stock as of October 1, 2023. No preferred stock has been issued.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reserved shares of common stock for issuance related to the following: </w:t>
      </w:r>
    </w:p>
    <w:p>
      <w:pPr>
        <w:pStyle w:val="TextBody"/>
        <w:bidi w:val="0"/>
        <w:spacing w:before="0" w:after="0"/>
        <w:jc w:val="left"/>
        <w:rPr>
          <w:shd w:fill="FFFFFF" w:val="clear"/>
        </w:rPr>
      </w:pPr>
      <w:r>
        <w:rPr>
          <w:shd w:fill="FFFFFF" w:val="clear"/>
        </w:rPr>
        <w:t> </w:t>
      </w:r>
    </w:p>
    <w:tbl>
      <w:tblPr>
        <w:tblW w:w="5845" w:type="dxa"/>
        <w:jc w:val="left"/>
        <w:tblInd w:w="0" w:type="dxa"/>
        <w:tblLayout w:type="fixed"/>
        <w:tblCellMar>
          <w:top w:w="0" w:type="dxa"/>
          <w:left w:w="0" w:type="dxa"/>
          <w:bottom w:w="0" w:type="dxa"/>
          <w:right w:w="0" w:type="dxa"/>
        </w:tblCellMar>
      </w:tblPr>
      <w:tblGrid>
        <w:gridCol w:w="4490"/>
        <w:gridCol w:w="120"/>
        <w:gridCol w:w="60"/>
        <w:gridCol w:w="1100"/>
        <w:gridCol w:w="75"/>
      </w:tblGrid>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br/>
              <w:t>October 1,</w:t>
              <w:br/>
              <w:t>2023</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27,637,266</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 stock purchase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2,628,996</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and RSUs, issued and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7,013,514</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and RSUs, authorized for future issuance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8,625,023</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reserved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45,904,799</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330" w:type="dxa"/>
        <w:jc w:val="left"/>
        <w:tblInd w:w="0" w:type="dxa"/>
        <w:tblLayout w:type="fixed"/>
        <w:tblCellMar>
          <w:top w:w="0" w:type="dxa"/>
          <w:left w:w="0" w:type="dxa"/>
          <w:bottom w:w="0" w:type="dxa"/>
          <w:right w:w="0" w:type="dxa"/>
        </w:tblCellMar>
      </w:tblPr>
      <w:tblGrid>
        <w:gridCol w:w="425"/>
        <w:gridCol w:w="905"/>
      </w:tblGrid>
      <w:tr>
        <w:trPr/>
        <w:tc>
          <w:tcPr>
            <w:tcW w:w="425" w:type="dxa"/>
            <w:tcBorders/>
            <w:vAlign w:val="center"/>
          </w:tcPr>
          <w:p>
            <w:pPr>
              <w:pStyle w:val="TableContents"/>
              <w:bidi w:val="0"/>
              <w:spacing w:before="0" w:after="0"/>
              <w:jc w:val="left"/>
              <w:rPr>
                <w:b/>
                <w:spacing w:val="0"/>
              </w:rPr>
            </w:pPr>
            <w:r>
              <w:rPr>
                <w:b/>
                <w:spacing w:val="0"/>
              </w:rPr>
              <w:t>(15)</w:t>
            </w:r>
          </w:p>
        </w:tc>
        <w:tc>
          <w:tcPr>
            <w:tcW w:w="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Warrants </w:t>
            </w:r>
          </w:p>
        </w:tc>
      </w:tr>
    </w:tbl>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B Warrants (Converted to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February 2016, the Company issued a warrant to purchase 5,054 shares of Series B preferred stock (the “Series B warrant”) in connection with a 2016 credit facility. The Series B warrant is immediately exercisable at an exercise price of $4.30 per share and has an expiration date of February 2026. The fair value of the Series B warrant was less than $0.1 million as of December 31, 2022 and as of July 18, 2023, when the Series B warrant was reclassified from warrant liability to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as the warrant is exercisable into shares of Complete Solaria Common Stock upon the close of the Mergers. The relative fair value of the Series B warrant at issuance was recorded as a debt issuance cost within other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non-current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liabilities on the accompanying unaudited condensed consolidated balance sheets, and changes in fair value have been recorded in other income (expense), net on the accompanying unaudited condensed consolidated statements of operations and comprehensive income (loss) for the thirteen and thirty-nine weeks ended October 1, 2023 and the three and nine months ended September 30, 2022.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C Warrants (Converted to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2016, the Company issued a warrant to purchase 148,477 shares of Series C preferred stock (the “Series C warrant”) in connection with the Series C financing. The Series C warrant agreement also provided for an additional number of Series C shares calculated on a monthly basis commencing on June 2016 based on the principal balance outstanding of the notes payable outstanding. The maximum number of shares exercisable under the Series C warrant agreement is 482,969 shares of Series C preferred stock. The Series C warrant was immediately exercisable at an exercise price of $1.00 per share and has an expiration date of July 2026. The fair value of the Series C warrant was $6.3 million as of December 31, 2022. The fair value of the Series C warrant was $2.3 million as of July 18, 2023, when the Series B warrant was reclassified from redeemable convertible preferred stock warrant liability to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as the warrant is exercisable into shares of Complete Solaria Common Stock upon the close of the Mergers. The relative fair value of the Series C warrant at issuance was recorded as Series C preferred stock issuance costs and redeemable convertible preferred stock warrant liability on the accompanying unaudited condensed consolidated balance sheets, and changes in fair value have been recorded in other income (expense), net on the accompanying unaudited condensed consolidated statements of operations and comprehensive income (loss) for the thirteen and thirty-nine weeks ended October 1, 2023 and the three and nine months ended September 30, 2022.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C-1</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Warrants (Converted to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January 2020, the Company issued a warrant to purchase 173,067 shares of common stock in conjunction with the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financing. The warrant is immediately exercisable at an exercise price of $0.01 per share and has an expiration date of January 2030. The warrant remains outstanding as of October 1, 2023. At issuance, the relative fair value of the warrant was determined to be $0.1 million using the Black-Scholes model with the following weighted average assumptions: expected term of 10 years; expected volatility of 62.5%; risk-free interest rate of 1.5%; and no dividend yield. The fair value of the warrant was recorded within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on the unaudited condensed consolidated balance sheets. The warrant is not remeasured in future periods as it meets the conditions for equity classification.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SVB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May and August 2021, the Company issued warrants to purchase 2,473 and 2,525 shares of common stock, respectively, in conjunction with the Fifth and Sixth Amendments to the Loan and Security Agreement (“Loan Agreement”) with Silicon Valley Bank (“SVB”). The warrants are immediately exercisable at exercise prices of $0.38 and $0.62 per share, respectively, and have expiration dates in 2033. The warrants remain outstanding as of October 1, 2023. At issuance, the relative fair value of the warrants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were determined to be less than $0.1 million in aggregate using the Black-Scholes model with the following weighted average assumptions: expected term of 12 years; expected volatility of 73.0%; risk-free interest rate of 1.7% and 1.3% for the May and August 2021 warrants, respectively; and no dividend yield. The fair value of the warrant was recorded within additional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paid-in-capital</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on the accompanying unaudited condensed consolidated balance sheets. The warrants are not remeasured in future periods as they meet the conditions for equity classification.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Promissory Note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2021, the Company issued a warrant to purchase 24,148 shares of common stock in conjunction with the issuance of a short-term promissory note. The warrant is immediately exercisable at an exercise price of $0.01 per share and has an expiration date of October 2031. The warrant remains outstanding as of October 1, 2023. At issuance, the relative fair value of the warrant was determined to be less than $0.1 million using the Black-Scholes model with the following weighted average assumptions: expected term of 10 years; expected volatility of 73.0%; risk-free interest rate of 1.5%; and no dividend yield. The fair value of the warrant was recorded within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on the unaudited condensed consolidated balance sheets. The warrant is not remeasured in future periods as it meets the conditions for equity classification.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Carlyle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February 2022, as part of a debt financing from Carlyle (refer to Note 16 – Borrowing Arrangements), the Company issued a warrant to purchase 2,886,952 shares of common stock in conjunction with the redeemable investment in CS Solis. The warrant contained two tranches, the first of which is immediately exercisable for 1,995,879 shares. The second tranche, which was determined to be a separate unit of account, was exercisable upon a subsequent investment from Carlyle in CS Solis. No subsequent investment was made and the investment period expired on December 31, 2022 and the second tranche of warrants expired prior to becoming exercisable. The vested warrant had an exercise price of $0.01 per share and had an expiration date of February 2029.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At issuance, the relative fair value of the warrant was determined to be $3.4 million using the Black-Scholes model with the following weighted average assumptions: expected term of 7 years; expected volatility of 73.0%; risk-free interest rate of 1.9%; and no dividend yield. The fair value of the warrant was recorded within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and as a discount on the long-term debt in CS Solis on the unaudited condensed consolidated balance sheets as of December 31, 2022.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and in connection with the closing of the Mergers, the Carlyle debt and warrants were modified. Based on the exchange ratio included in the Mergers, the 1,995,879 outstanding warrants to purchase Legacy Complete Solaria Common Stock prior to modification were exchanged into warrants to purchase 1,995,879 shares of Complete Solaria Common Stock. As part of the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Of the additional warrants that become exercisable after the modification, the tranches of 350,000 warrants vesting ten days after the date of the agreement and 150,000 warrants vesting thirty days after the date of the agreement are exercisable as of October 1, 2023.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modification of the warrant resulted in the reclassification of previously equity classified warrants to liability classification, which was accounted for in accordance with ASC 815 and ASC 718. The Company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recorded the fair value of the modified warrants as a warrant liability of $20.4 million, the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pre-modification</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fair value of the warrants as a reduction to additional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capital of $10.9 million and $9.5 million to other income (expense), net equal to the incremental value of the warrants upon the modification. The fair value of the warrant was determined based on its intrinsic value, given a nominal exercise price. At issuance, the relative fair value of the warrant was determined to be less than $20.4 million using the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Black-Scholes</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model with the following weighted average assumptions: expected term of 7 years; expected volatility of 77.0%; risk-free interest rate of 3.9%; and no dividend yield. As of October 1, 2023, the fair value of the warrant was $7.7 million, and the Company recorded the adjustment of $12.7 million as other income (expense), net on the unaudited condensed consolidated statements of operations and comprehensive income (loss).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Series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D-7</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Warrants (Converted to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2022, the Company issued warrants to purchase 656,630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(the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warrants”) in conjunction with the Business Combination. The warrant contains two tranches. The first tranche of 518,752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is exercisable at an exercise price of $2.50 per share upon consummation of a merger transaction, or at an exercise price of $2.04 per share upon remaining private and has an expiration date of April 2024. The second tranche of 137,878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is exercisable at an exercise price of $5.00 per share upon consummation of a merger transaction, or at an exercise price of $4.09 per share upon remaining private and has an expiration date of April 2024. The fair value of the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warrants was $7.8 million as of December 31, 2022 and $2.4 million as of July 18, 2023 when the warrants were reclassified from redeemable convertible preferred stock warrant liability to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as the exercise price of the warrants is fixed at $2.50 per share of Complete Solaria Common Stock for the first tranche and $5.00 per share of Complete Solaria Common Stock for the second tranche upon the closing of the Mergers. The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Warrants remain outstanding as of October 1, 2023.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November 2022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2022, the Company issued a warrant to a third-party service provider to purchase 78,962 shares of common stock in conjunction with the Business Combination. The warrant was immediately exercisable at an exercise price of $8.00 per share and had an expiration date of April 2024. In May 2023, the Company amended the warrant, modifying the shares of common stock to be purchased to 31,680, the exercise price to $0.01, and the expiration date to the earlier of October 2026 or the closing of an IPO. The impact of the modification was not material to the unaudited condensed consolidated financial statements. At issuance and upon the modification, the relative fair value of the warrant was determined to be $0.1 million using the Black-Scholes model with the following weighted average assumptions: expected term of 1.5 years; expected volatility of 78.5%; risk-free interest rate of 4.7%; and no dividend yield. The fair value of the warrant was recorded within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on the unaudited condensed consolidated balance sheets. The warrant is not remeasured in future periods as it meets the conditions for equity classification. Upon the Closing of the Mergers, the warrant was net exercised into 31,680 shares of Complete Solaria Common Stock.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July 2023 Common Stock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the Company issued a warrant to a third-party service provider to purchase 38,981 shares of common stock in exchange for services provided in obtaining financing at the Closing of the Mergers. The warrant is immediately exercisable at a price of $0.01 per share and has an expiration date of July 2028. At issuance, the fair value of the warrant was determined to be $0.2 million, based on the intrinsic value of the warrant and the $0.01 per share exercise price. As the warrant is accounted for as an equity issuance cost, the warrant is recorded only within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on the unaudited condensed consolidated balance sheets. The warrant is not remeasured in future periods as it meets the conditions for equity classification.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Warrant Consideration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in connection with the Mergers, the Company issued 6,266,572 warrants to purchase Complete Solaria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net of the issuance costs of the Mergers. As of October 1, 2023, all warrants issued as warrant consideration remain outstanding.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Public, Private Placement, and Working Capital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conjunction with the Mergers, Complete Solaria, as accounting acquirer, was deemed to assume 6,266,667 warrants to purchase FACT Class A Ordinary Shares that were held by the sponsor at an exercise price of $11.50 (“Private Placement Warrants”) and 8,625,000 warrants to purchase FACT’s shareholders FACT Class A Ordinary Shares at an exercise price of $11.50 (“Public Warrants”). Subsequent to the Mergers, the Private Placement Warrants and Public Warrants are exercisable for shares of Complete Solaria Common Stock and meet liability classification requirements since the warrants may be required to be settled in cash under a tender offer. In addition, Private Placement Warrants are potentially subject to a different settlement amount as a result of being held by the Sponsor which precludes the Private Placement Warrants from being considered indexed to the entity’s own stock. Therefore, these warrants are classified as liabilities on the unaudited condensed consolidated balance sheets.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determined the Public and Private warrants to be classified as a liability and fair valued the warrants on the issuance date using the publicly available price for the warrants of $6.4 million. The fair value of these warrants was $2.4 million as of October 1, 2023, and the Company recorded the change in fair value of $4.0 million in other income (expense), net in the unaudited condensed consolidated statements of operations and comprehensive income (loss) for the thirteen and thirty-nine weeks ended October 1, 2023.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Additionally, at the closing of the Mergers, the Company issued 716,668 Working Capital warrants, which have identical terms as the Private Placement Warrants to the sponsor in satisfaction of certain liabilities of FACT. The warrants were fair valued at $0.3 million upon the closing of the Mergers, which was recorded in warrant liability on the unaudited condensed consolidated balance sheets. As of October 1, 2023, the Working Capital warrants had a fair value of $0.1 million, and the Company recorded the change in fair value of $0.2 million as other income (expense), net on the unaudited condensed consolidated statements of operations and comprehensive income (loss). </w:t>
      </w:r>
    </w:p>
    <w:p>
      <w:pPr>
        <w:pStyle w:val="TextBody"/>
        <w:bidi w:val="0"/>
        <w:spacing w:before="0" w:after="0"/>
        <w:jc w:val="left"/>
        <w:rPr>
          <w:shd w:fill="FFFFFF" w:val="clear"/>
        </w:rPr>
      </w:pPr>
      <w:r>
        <w:rPr>
          <w:shd w:fill="FFFFFF" w:val="clear"/>
        </w:rPr>
        <w:t> </w:t>
      </w:r>
    </w:p>
    <w:tbl>
      <w:tblPr>
        <w:tblW w:w="2695" w:type="dxa"/>
        <w:jc w:val="left"/>
        <w:tblInd w:w="0" w:type="dxa"/>
        <w:tblLayout w:type="fixed"/>
        <w:tblCellMar>
          <w:top w:w="0" w:type="dxa"/>
          <w:left w:w="0" w:type="dxa"/>
          <w:bottom w:w="0" w:type="dxa"/>
          <w:right w:w="0" w:type="dxa"/>
        </w:tblCellMar>
      </w:tblPr>
      <w:tblGrid>
        <w:gridCol w:w="425"/>
        <w:gridCol w:w="2270"/>
      </w:tblGrid>
      <w:tr>
        <w:trPr/>
        <w:tc>
          <w:tcPr>
            <w:tcW w:w="425" w:type="dxa"/>
            <w:tcBorders/>
            <w:vAlign w:val="center"/>
          </w:tcPr>
          <w:p>
            <w:pPr>
              <w:pStyle w:val="TableContents"/>
              <w:bidi w:val="0"/>
              <w:spacing w:before="0" w:after="0"/>
              <w:jc w:val="left"/>
              <w:rPr>
                <w:b/>
                <w:spacing w:val="0"/>
              </w:rPr>
            </w:pPr>
            <w:r>
              <w:rPr>
                <w:b/>
                <w:spacing w:val="0"/>
              </w:rPr>
              <w:t>(16)</w:t>
            </w:r>
          </w:p>
        </w:tc>
        <w:tc>
          <w:tcPr>
            <w:tcW w:w="22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Borrowing Arrangements </w:t>
            </w:r>
          </w:p>
        </w:tc>
      </w:tr>
    </w:tbl>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Convertible notes, net and convertible notes, net, due to related parties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October 1, 2023 and December 31, 2022, the Company’s convertible notes consisted of the following (in thousands): </w:t>
      </w:r>
    </w:p>
    <w:p>
      <w:pPr>
        <w:pStyle w:val="TextBody"/>
        <w:bidi w:val="0"/>
        <w:spacing w:before="0" w:after="0"/>
        <w:jc w:val="left"/>
        <w:rPr>
          <w:shd w:fill="FFFFFF" w:val="clear"/>
        </w:rPr>
      </w:pPr>
      <w:r>
        <w:rPr>
          <w:shd w:fill="FFFFFF" w:val="clear"/>
        </w:rPr>
        <w:t> </w:t>
      </w:r>
    </w:p>
    <w:tbl>
      <w:tblPr>
        <w:tblW w:w="6600" w:type="dxa"/>
        <w:jc w:val="left"/>
        <w:tblInd w:w="0" w:type="dxa"/>
        <w:tblLayout w:type="fixed"/>
        <w:tblCellMar>
          <w:top w:w="0" w:type="dxa"/>
          <w:left w:w="0" w:type="dxa"/>
          <w:bottom w:w="0" w:type="dxa"/>
          <w:right w:w="0" w:type="dxa"/>
        </w:tblCellMar>
      </w:tblPr>
      <w:tblGrid>
        <w:gridCol w:w="3725"/>
        <w:gridCol w:w="120"/>
        <w:gridCol w:w="292"/>
        <w:gridCol w:w="793"/>
        <w:gridCol w:w="60"/>
        <w:gridCol w:w="120"/>
        <w:gridCol w:w="241"/>
        <w:gridCol w:w="1174"/>
        <w:gridCol w:w="75"/>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net, noncurrent</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 Convertible Notes</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3,434</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2022 Convertible Notes due to related parties</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15,510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0"/>
              <w:jc w:val="left"/>
              <w:rPr>
                <w:bdr w:val="single" w:sz="2" w:space="1" w:color="000000"/>
              </w:rPr>
            </w:pPr>
            <w:r>
              <w:rPr>
                <w:bdr w:val="single" w:sz="2" w:space="1" w:color="000000"/>
              </w:rPr>
              <w:t> </w:t>
            </w:r>
          </w:p>
        </w:tc>
        <w:tc>
          <w:tcPr>
            <w:tcW w:w="79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convertible notes</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18,944</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0"/>
              <w:jc w:val="left"/>
              <w:rPr>
                <w:bdr w:val="double" w:sz="6" w:space="1" w:color="000000"/>
              </w:rPr>
            </w:pPr>
            <w:r>
              <w:rPr>
                <w:bdr w:val="double" w:sz="6" w:space="1" w:color="000000"/>
              </w:rPr>
              <w:t> </w:t>
            </w:r>
          </w:p>
        </w:tc>
        <w:tc>
          <w:tcPr>
            <w:tcW w:w="79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Promissory Notes with Ecosystem Integrity Fund II, LP.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April 30, 2021, the Company issued a short-term Subordinated Convertible Promissory Note to Ecosystem Integrity Fund II, LP (“EIF”) for a total principal of $0.5 million plus accrued interest of 3.0% per annum due on June 30, 2021. The Note included a conversion feature which allows the holder to convert any portion of the note plus any unpaid accrued interest (“Conversion Amount”) into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on the maturity date of June 30, 2021 or thereafter. As of December 31, 2021 the principal and accrued interest remained outstanding and the holder did not elect to covert the note into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shares. The principal and accrued interest of $0.5 million was repaid in February 2022, and as such, the balance remaining at December 31, 2022 and thereafter remained zero.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2019-A</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2019, the Company issued a series of convertible notes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for $0.1 million in proceeds, with immaterial debt issuance costs, and which were due and payable on demand by the holders after August 2020. The notes carried simple interest of 6.0% and contained a conversion feature whereby the 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valued and bifurcated the share-settled redemption feature, which enabled the holders to convert the notes to the preferred shares at a predefined discount from the issuance price and recorded its initial fair value of less than $0.1 million as a discount on the convertible notes face amount. The debt discount was amortized to interest expense at a weighted-average effective interest rate of 17.6% through the maturity dates of the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share-settled redemption feature was estimated based on a probability-weighted analysis of the discounted value of the notes converting under a Next Equity Financing, a change in control, default, or maturity, and the changes in fair value were recognized as a component of other income (expense), net in the accompanying unaudited condensed consolidated statements of operations and comprehensive income (loss). The Company recorded zero in expense during the thirteen and thirty-nine weeks ended October 1, 2023 and the three and nine months ended September 30, 2022, related to the change in the fair value of the convertible notes embedded derivative liability. The convertible notes were carried within the accompanying unaudited condensed consolidated balance sheets at their original issuance value, net of unamortized debt discount and issuance costs. In March 2022, as part of the Company’s Series D Preferred Stock issuance,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converted into 62,500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The Company recognized a gain on the conversion of less than $0.1 million in other income (expense), net on the unaudited condensed consolidated statements of operations and comprehensive income (loss). As the full carrying value of the note was converted to Series D Preferred Stock, the balance remaining for the note at December 31, 2022 and thereafter remained zero.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did not recognize any interest expense related to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during the thirteen and thirty-nine weeks ended October 1, 2023 and the three months ended September 2022. Interest expense recognized related to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2019-A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during the nine months ended September 30, 2022 was immaterial.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2020-A</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2020, the Company issued a series of convertible notes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for $3.8 million in proceeds, with immaterial debt issuance costs, and which are due and payable on demand by the holders after April 2021. The notes carried simple interest of 2.0% and contained a conversion feature whereby the notes would convert at 80% of the issuance price of the preferred shares in the next equity financing. The notes also contained other embedded features such as conversion options that were exercisable upon the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occurrence of various contingencies. All of the embedded features were analyzed to determine whether they should be bifurcated and separately accounted for as a derivative. Pursuant to such analysis, the Company valued and bifurcated the share-settled redemption feature, which enables the holders to convert the notes to the preferred shares at a predefined discount from the issuance price and recorded its initial fair value of $0.5 million as a discount on the convertible notes face amount. The debt discount was amortized to interest expense at a weighted-average effective interest rate of 25.6% through the maturity dates of the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share-settled redemption feature was estimated based on a probability-weighted analysis of the discounted value of the notes converting under a Next Equity Financing, a change in control, default, or maturity, and the changes in fair value were recognized as a component of other income (expense), net in the accompanying unaudited condensed consolidated statements of operations and comprehensive income (loss). The Company recorded zero in expense during the thirteen and thirty-nine weeks ended October 1, 2023 and the three and nine months ended September 30, 2022, related to the change in the fair value of the convertible notes embedded derivative liability. The convertible notes were carried within the accompanying unaudited condensed consolidated balance sheets at their original issuance value, net of unamortized debt discount and issuance costs. In March 2022, as part of the Company’s Series D Preferred Stock issuance,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converted into 785,799 shares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Series D-1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The Company recognized a gain on the conversion of $0.9 million in other income (expense), net on the unaudited condensed consolidated statements of operations and comprehensive income (loss). As the full carrying value of the note was converted to Series D Preferred Stock, the balance remaining for the note at December 31, 2022 and thereafter remained zero.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did not recognize any interest expense related to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during the thirteen and thirty-nine weeks ended October 1, 2023 and the three months ended September 2022. Interest expense recognized during the nine months ended September 30, 2022 was immaterial.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2021-A</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2020, the Company issued a series of convertible notes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for $4.3 million in proceeds, with immaterial debt issuance costs, and which are due and payable on demand by the holders after February 2022. The holders are existing investors and are not expected to demand cash settlement, as the Company expects to raise additional preferred financing under which the notes will convert into preferred shares. The notes carry simple interest of 2.0% and contained a conversion feature whereby the 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valued and bifurcated the share-settled redemption feature, which enables the holders to convert the notes to the preferred shares at a predefined discount from the issuance price and recorded its initial fair value of $0.6 million as a discount on the convertible notes face amount. The debt discount is amortized to interest expense at a weighted-average effective interest rate of 18.1% through the maturity dates of the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the share-settled redemption feature was estimated based on a probability-weighted analysis of the discounted value of the notes converting under a Next Equity Financing, a change in control, default, or maturity, and the changes in fair value were recognized as a component of other income (expense), net in the unaudited condensed consolidated statements of operations and comprehensive income (loss). The Company recorded zero in expense during the thirteen and thirty-nine weeks ended October 1, 2023 and the three and nine months ended September 30, 2022, related to the change in the fair value of the convertible notes embedded derivative liability. The convertible notes were carried on the unaudited condensed consolidated balance sheets at their original issuance value, net of unamortized debt discount and issuance costs. In March 2022, as part of the Company’s Series D Preferred Stock issuance,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converted into 869,640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The Company recognized a gain on the conversion of $0.8 million in other income (expense), net on the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unaudited condensed consolidated statements of operations and comprehensive income (loss). As the full carrying value of the note was converted to Series D Preferred Stock, the balance remaining for the note at December 31, 2022 and thereafter remained zero.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part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financing, the Company entered into an additional convertible note with an existing investor for $0.5 million. The note carries PIK interest of 3.0% and is due and payable on demand at any time after June 30, 2021. The note contains an embedded conversion feature, which allows the holder to convert the note into a fixed number of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at any time after June 30, 2021. The Company concluded the conversion feature is not required to be bifurcated as an embedded derivative liability, and the note is carried at its principal plus accrued PIK interest. As the full carrying value of the note was converted to Series D Preferred Stock, the balance remaining for the note at December 31, 2022 and thereafter remained zero.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did not recognize any interest expense related to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during the thirteen and thirty-nine weeks ended October 1, 2023 and the three months ended September 30, 2022. Interest expense recognized during the nine months ended September 30, 2022 was immaterial.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2022 Convertible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connection with the Original Business Combination Agreement, the Company has raised a series of convertible notes (“2022 Convertible Notes”) during the fiscal year ended December 31, 2022 with an aggregate purchase price of $12.0 million, and during the thirty-nine weeks ended October 1, 2023 for an additional total purchase price of $21.3 million. Additionally, as part of the acquisition of Solaria, the Company assumed a note from an existing investor for its fair value of $6.7 million. The note contained the same terms as the other 2022 Convertible Notes. The Company did not incur significant issuance costs associated with the 2022 Convertible Notes. The 2022 Convertible Notes accrued interest at a rate of 5% per annum. Immediately prior to the closing of the Mergers, the 2022 Convertible Notes were converted into the number of shares of common stock of Complete Solaria equal to (x) the principal amount together with all accrued interest of the 2022 Convertible Notes divided by 0.75, divided by (y) the price of a share of common stock of Complete Solaria used to determine the conversion ratio in the Amended and Restated Business Combination Agreement. This resulted in the issuance of 5,316,460 shares of Complete Solaria common stock to the noteholders and no debt remains outstanding associated with the 2022 Convertible Notes as of October 1, 2023.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recognized interest expense of less than $0.1 million and $0.7 million related to the 2022 Convertible Notes during the thirteen and thirty-nine weeks ended October 1, 2023. The Company did not recognize any interest expense related to the 2022 Convertible Notes during the three and nine months ended September 30, 2022.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SAFE Agreements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2019 SAFE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September 2019, the Company issued the 2019 SAFE for $0.1 million in proceeds, with immaterial debt issuance costs. No interest was accrued on the 2019 SAFE. The 2019 SAFE contained conversion features that allowed the holder to convert the 2019 SAFE into shares of preferred stock upon the next equity financing, subject to a valuation cap. The 2019 SAFE was reported at fair value based on the probability-weighted expected return method (“PWERM”), which assigns value to the multiple settlement scenarios based on the probability of occurrence. The fair value of the 2019 SAFE was $0.2 million as of December 31, 2021 was recorded in SAFE Agreements in the accompanying unaudited condensed consolidated balance sheets. In March 2022, the Company converted the 2019 SAFE into 48,258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The Company recognized a gain on the conversion of the 2019 SAFE of less than $0.1 million in other income (expense), net on the unaudited condensed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consolidated statements of operations and comprehensive income (loss). As the full carrying value of the SAFE was converted to Series D Preferred Stock, the balance remaining for the SAFE at December 31, 2022 and thereafter remained zero.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2021 SAFE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2021, the Company issued the 2021 SAFE for $5.0 million in proceeds, with immaterial debt issuance costs. No interest is accrued on the 2021 SAFE. The 2021 SAFE contained conversion features that allowed the holder to convert the 2021 SAFE into shares of preferred stock upon the next equity financing, subject to a valuation cap. The 2019 SAFE was reported at fair value based on the PWERM, which assigns value to the multiple settlement scenarios based on the probability of occurrence. The fair value of the 2021 SAFE was $6.3 million as of December 31, 2021 is recorded in SAFE Agreements in the accompanying unaudited condensed consolidated balance sheets. In March 2022, the Company converted the 2021 SAFE into 1,005,366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The Company recognized a gain on the conversion of the 2021 SAFE of $1.4 million in other income (expense), net on the unaudited condensed consolidated statements of operations and comprehensive income (loss). As the full carrying value of the SAFE was converted to Series D Preferred Stock, the balance remaining for the SAFE at December 31, 2022 and thereafter remained zero.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Solaria SAFE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part of the acquisition of Solaria (refer to Note 6 – Business Combination) the Company acquired the Solaria SAFEs. The number of shares to be issued upon conversion of the SAFE notes contained various features to convert or redeem the Solaria SAFEs in the event of an equity financing, public offering, change of control or a dissolution event.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historically elected to account for all of the SAFE notes at estimated fair value pursuant to the fair value option and recorded the change in estimated fair value as other income (expense), net in the unaudited condensed consolidated statements of operations and comprehensive income (loss) until the notes are converted or settled. The SAFE notes were amended through the SAFE Assumption Amendment, Assignment and Assumption Agreement on November 4, 2022, as part of the Business Combination with Complete Solar, whereby all the SAFE notes were assumed by Complete Solar. As part of the purchase price accounting discussed in Note 4 – Reverse Recapitalization, the estimated fair value of the SAFE notes was determined to be $60.5 million. Post consummation of the Business Combination the SAFE notes were converted to 8,171,662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D-8</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as discussed in Note 6 – Business Combination.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Notes Payable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Loan and Security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January 2020, the Company entered into the Loan Agreement with SVB. The Loan Agreement, as amended, provided for a line of credit up to $7.0 million and has a maturity date of February 2022. Advances under the line of credit bore interest at the greater of 5.25% or the prime rate (as published in the Wall Street Journal) plus 3.5% per annum. All borrowings under the line of credit were to be secured by substantially all of the Company’s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During 2021, the Company entered into several amendments to the Loan Agreement, and in May and August 2021 in connection with the Fifth and Sixth Amendments, the Company issued warrants to purchase 5,122 shares and 5,229 shares of common stock at exercise prices of $0.38 per share and $0.62 per share, respectively. The fair value of the warrants were recorded as deferred issuance costs and amortized to interest expense. As of December 31, 2022 and thereafter, there were no unamortized debt issuance costs.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Under the Loan Agreement, the Company was subject to certain reporting covenants, such as a requirement for the Company’s monthly unaudited condensed consolidated financial statements and compliance certificate, as well as a financial covenant to maintain a minimum liquidity ratio of 1.75 to 1.00. In 2021, the Loan Agreement was amended to add a new financial covenant, requiring the Company to obtain new equity of at least $15.0 million by a specified date, which the Company did not meet; however, the default was later waived by SVB.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February 2022, as part of the transaction to raise long-term debt in CS Solis, the Company repaid the principal and accrued interest of the Loan Agreement of $6.7 million, which terminated the agreement with SVB. As such, as of December 31, 2022 and thereafter, there was no debt related to this agreement on the Company’s balance sheet.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2021 Promissory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2021, the Company issued a short-term promissory note for $0.5 million in proceeds, with immaterial debt issuance costs. The promissory note carried simple interest of 2.0% and were due and payable after February 2022. In February 2022, the Company repaid the 2021 Promissory Note.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2021, the Company issued a short-term promissory note for $2.0 million in proceeds, with immaterial debt issuance costs. The promissory note contained a financing fee of $0.3 million, which was due and payable along with the principal amount in January 2022. In connection with the promissory note, the Company issued a warrant to purchase 50,000 shares of common stock at an exercise price of $0.01 per share. The principal and accrued interest of the note payable was repaid in January 2022, and no amounts remained outstanding as of December 31, 2022 and thereafter.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Current Insight Promissory Note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January 2021, the Company issued a promissory note for a principal amount of $0.1 million in connection with the purchase of Current Insight, with immaterial debt issuance costs. The promissory note bears interest at 0.14% per annum and has equal monthly installments due and payable through the maturity date of January 2022. The principal and accrued interest was repaid in January 2022, and no amounts remained outstanding as of December 31, 2022 and thereafter.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2018 Bridge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2018, Solaria Corporation issued senior subordinated convertible secured notes (“2018 Notes”) totaling approximately $3.4 million in exchange for cash. The notes bear interest at the rate of 8% per annum and the investors are entitled to receive twice of the face value of the notes at maturity. The 2018 Notes are secured by substantially all of the assets of Solaria Corporation. In 2021, the 2018 Notes were amended extending the maturity date to December 13, 2022. In connection with the 2021 amendment, Solaria had issued warrants to purchase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E-1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 as discussed in Note 6 – Business Combination.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2022, the Company entered into an amendment to the 2018 Bridge Notes extending the maturity date from December 13, 2022 to December 13, 2023. In connection with the amendment, the notes will continue to bear interest at 8% per annum and are entitled to an increased repayment premium from 110% to 120% of the principal and accrued interest at the time of repayment.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concluded that the modification was a troubled debt restructuring as the Company was experiencing financial difficulty and the amended terms resulted in a concession to the Company. As the future undiscounted cash payments under the modified terms exceeded the carrying amount of the Solaria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Bridge Notes on the date of modification, the modification was accounted for prospectively. The incremental repayment premium is being amortized to interest expense using the effective interest rate method. As of October 1, 2023 and December 31, 2022, the carrying value of the Bridge Notes was $10.7 million and $9.8 million, respectively. Interest expense recognized for the thirteen and thirty-nine weeks ended October 1, 2023 was $0.3 million and $1.0 million, respectively. The Company did not recognize any interest expense related to the 2018 Bridge Notes during the three and nine months ended September 30, 2022. As of October 1, 2023, the carrying value of the 2018 Bridge Notes approximates their fair value.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SCI Term Loan and Revolver Loan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2020, Solaria entered into a loan agreement (“SCI Loan Agreement”) with Structural Capital Investments III, LP (“SCI”).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SCI Loan Agreement comprises of two facilities, a term loan (the “Term Loan”) and a revolving loan (the “Revolving Loan”) (together “Original Agreement”) for $5.0 million each with a maturity date of October 31, 2023. Both the Term Loan and the Revolving Loan were fully drawn upon closing. The Term Loan was repaid prior to the acquisition of Solaria by Complete Solar and was not included in the Business Combination.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Revolving Loan also has a term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thirty-six</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months, principal repayments at the end of the term and an annual interest rate of 7.75% or Prime rate plus 4.5%, whichever is higher. The SCI Loan Agreement required the Company to meet certain financial covenants relating to maintenance of specified restricted cash balance, achieving specified revenue target and maintaining specified contribution margin (“Financial Covenants”) over the term of each of the Revolving Loan. The Revolving Loan is collateralized substantially by all assets and property of the Company.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the years ended December 31, 2022 and December 31, 2021, Solaria entered into several Amended and Restated Loan and Security Agreements as a forbearance agreement for SCI to forbear from exercising any rights and remedies available to it as a result of Company not meeting certain Financial Covenants required by the Original Agreement. As a result of these amendment changes were made to the Financial Covenants and Solaria recorded a total of $1.9 million amendment fees in Other Liabilities and was included in the acquired liabilities for purchase price accounting.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Solaria had historically issued warrants to purchase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E-1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redeemable convertible preferred stock of Solaria (“SCI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E-1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warrants”). The warrants were fully exercisable in whole or in part at any time during the term of the Original agreement. As part of the Business Combination with Complete Solar, all the outstanding SCI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E-1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warrants were assumed by the parent company, Complete Solaria as discussed in Note 6 – Business Combination.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Revolving Loan outstanding on the date of the Business Combination was fair valued at $5.0 million for the purpose of purchase price accounting discussed in Note 6 – Business Combination. The Revolving Loan principal balance at October 1, 2023 and December 31, 2022 amounted to $5.0 million. Interest expense recognized for the thirteen and thirty-nine weeks ended October 1, 2023 was $0.2 million and $0.5 million, respectively. The Company was in compliance with all the Financial Covenants as of October 1, 2023. In October 2023, the Company entered into an Assignment and Acceptance Agreement whereby Structural Capital Investments III, LP assigns the SCI debt to Kline Hill Partners Fund LP, Kline Hill Partners IV SPV LLC, Kline Hill Partners Opportunity IV SPV LLC, and Rodgers Massey Revocable Living Trust for a total purchase price of $5.0 million, as discussed in Note 22 – Subsequent Events.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Secured Credit Facility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2022, the Company entered into a secured credit facility agreement with Kline Hill Partners IV SPV LLC and Kline Hill Partners Opportunity IV SPV LLC. The secured credit facility agreement allows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to borrow up to 70% of the net amount of its eligible vendor purchase orders with a maximum amount of $10.0 million at any point in time. The purchase orders are backed by relevant customer sales orders which serves as a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The Company may prepay any borrowed amount without premium or penalty. Under the original terms, the secured credit facility agreement was due to mature in April 2023. The Company is in the process of amending the secured credit facility agreement to extend its maturity date.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At October 1, 2023, the outstanding net debt amounted to $11.7 million, including accrued financing cost of $4.1 million, compared to December 31, 2022, where the outstanding net debt amounted to $5.6 million, including accrued financing cost of $0.1 million. The Company has recognized interest expense of zero and $3.1 million related to the Secured Credit Facility during the thirteen and thirty-nine weeks ended October 1, 2023, respectively. The Company did not recognize any interest expense related to the Secured Credit Facility during the three and nine months ended September 30, 2022. As of October 1, 2023, the total estimated fair value of the Secured Credit Facility approximates its carrying value.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Polar Settlement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September 2023, in connection with the Mergers, the Company entered into a settlement and release agreement with Polar Multi-Strategy Master Fund (“Polar”) for the settlement of a working capital loan that had been made by Polar to the Sponsor, prior to the closing of the Mergers. As part of the settlement agreement, the Company agreed to pay Polar $0.5 million as a return of capital, which is paid in ten equal monthly installments and does not accrue interest. During the thirteen and thirty-nine weeks ended October 1, 2023, the Company made one payment of less than $0.1 million, and as of October 1, 2023, and $0.5 million remains outstanding.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Debt in CS Solis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described above, as part of the reorganization in February 2022 of the Company, the Company received an investment from Carlyle. The investment was made pursuant to a subscription agreement, under which Carlyle contributed $25.6 million in exchange for 100 Class B Membership Units of CS Solis and the Company contributed the net assets of Complete Solar, Inc. in exchange for 100 Class A Membership Units. The Class B Membership Units are mandatorily redeemable by the Company on the three-year anniversary of the effective date of the CS Solis amended and restated LLC agreement (February 14, 2025). The Class B Membership Units accrue interest that is payable upon redemption at a rate of 10.5% (which is structured as a dividend payable based on 25% of the investment amount measured quarterly), compounded annually, and subject to increases in the event the Company declares any dividends. In connection with the investment, the Company issued a warrant to purchase 5,978,960 shares of the Company’s common stock at a price of $0.01 per share, of which, 4,132,513 shares are immediately exercisable. The Company has accounted for the mandatorily redeemable investment from Carlyle in accordance with ASC 480, Distinguishing Liabilities from Equity, and has recorded the investment as a liability, which was accreted to its redemption value under the effective interest method. The Company has recorded the warrants as a discount to the liability. Refer to Note 14 – Common Stock, for further discussion of the warrants issued in connection with the Class B Membership Units.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July 17 and July 18, 2023, and in connection with obtaining consent for the Mergers, Legacy Complete Solaria, FACT and Carlyle entered into an Amended and Restated Consent to the Business Combination Agreement (“Carlyle Debt Modification Agreement”) and an amended and restated warrant agreement (“Carlyle Warrant Amendment”), which modified the terms of the mandatorily redeemable investment made by Carlyle in Legacy Complete Solaria.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Carlyle Debt Modification Agreement accelerates the redemption date of the investment, which was previously February 14, 2025 and is March 31, 2024 subsequent to the modification. Additionally, as part of the amendment, the parties entered into an amended and restated warrant agreement. As part of the Carlyle Warrant Amendment, Complete Solaria issued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The warrants are classified as liabilities under ASC 815 and are recorded within warrant liability on the unaudited condensed consolidated statements of operations and comprehensive income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accounted for the modification of the long-term debt in CS Solis as a debt extinguishment in accordance with ASC 480 and ASC 470. As a result of the extinguishment, the Company recorded a loss on extinguishment, of $10.3 million, which is recorded within other expense on the unaudited condensed consolidated statements of operations and comprehensive income (loss). As of the modification date, the Company recorded the fair value of the new debt of $28.4 million as short-term debt in CS Solis, and the amount will be accreted to its redemption value of $31.9 million under the effective interest method.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recorded a liability of $29.2 million and zero included in short-term debt in CS Solis on the unaudited condensed consolidated balance sheets as of October 1, 2023 and December 31, 2022, respectively. The Company has recorded a liability of zero and $25.2 million included in long-term debt in CS Solis on the unaudited condensed consolidated balance sheets as of October 1, 2023 and December 31, 2022, respectively. The Company has recorded accretion of the liability as interest expense of $1.2 million and $2.7 million for the thirteen and thirty-nine weeks ended October 1, 2023, respectively, and made payments of interest expense of $0.2 million for each of the thirteen and thirty-nine weeks ended October 1, 2023. The Company has recorded accretion of the liability as interest expense of $0.7 million and $1.7 million for the three and nine months ended September 30, 2022, respectively. During the thirteen and thirty-nine weeks ended October 1, 2023, the Company recorded amortization of issuance costs as interest expense of less than $0.1 million and $0.7 million, respectively. During the three and nine months ended September 30, 2022, the Company recorded the amortization of issuance costs as interest expense of $0.4 million and $0.9 million, respectively. As of October 1, 2023, the total estimated fair value of the Company’s debt in CS Solis was $29.1 million, which was estimated based on Level 3 inputs. </w:t>
      </w:r>
    </w:p>
    <w:p>
      <w:pPr>
        <w:pStyle w:val="TextBody"/>
        <w:bidi w:val="0"/>
        <w:spacing w:before="0" w:after="0"/>
        <w:jc w:val="left"/>
        <w:rPr>
          <w:shd w:fill="FFFFFF" w:val="clear"/>
        </w:rPr>
      </w:pPr>
      <w:r>
        <w:rPr>
          <w:shd w:fill="FFFFFF" w:val="clear"/>
        </w:rPr>
        <w:t> </w:t>
      </w:r>
    </w:p>
    <w:tbl>
      <w:tblPr>
        <w:tblW w:w="2800" w:type="dxa"/>
        <w:jc w:val="left"/>
        <w:tblInd w:w="0" w:type="dxa"/>
        <w:tblLayout w:type="fixed"/>
        <w:tblCellMar>
          <w:top w:w="0" w:type="dxa"/>
          <w:left w:w="0" w:type="dxa"/>
          <w:bottom w:w="0" w:type="dxa"/>
          <w:right w:w="0" w:type="dxa"/>
        </w:tblCellMar>
      </w:tblPr>
      <w:tblGrid>
        <w:gridCol w:w="425"/>
        <w:gridCol w:w="2375"/>
      </w:tblGrid>
      <w:tr>
        <w:trPr/>
        <w:tc>
          <w:tcPr>
            <w:tcW w:w="425" w:type="dxa"/>
            <w:tcBorders/>
            <w:vAlign w:val="center"/>
          </w:tcPr>
          <w:p>
            <w:pPr>
              <w:pStyle w:val="TableContents"/>
              <w:bidi w:val="0"/>
              <w:spacing w:before="0" w:after="0"/>
              <w:jc w:val="left"/>
              <w:rPr>
                <w:b/>
                <w:spacing w:val="0"/>
              </w:rPr>
            </w:pPr>
            <w:r>
              <w:rPr>
                <w:b/>
                <w:spacing w:val="0"/>
              </w:rPr>
              <w:t>(17)</w:t>
            </w:r>
          </w:p>
        </w:tc>
        <w:tc>
          <w:tcPr>
            <w:tcW w:w="23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Complete Solaria Common Stock may be issued under the 2023 Plan. In addition, the number of shares of Complete Solaria Common Stock reserved for issuance under the 2023 Plan will automatically increase on January 1 of each year, starting on January 1, 2024 and ending on January 1, 2033, in an amount equal to the lesser of (1) 4% of the total number of shares of Complete Solaria’s Common Stock outstanding on December 31 of the preceding year, or (2) a lesser number of shares of Complete Solaria Common Stock determined by Complete Solaria’s Board prior to the date of the increase. The maximum number of shares of Complete Solaria Common Stock that may be issued on the exercise of ISOs under the 2023 Plan is three times the number of shares available for issuance upon the 2023 Plan becoming effective (or 26,289,966 shares).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 The 2022 Plan is the successor of the Complete Solar 2021 Stock Plan, which was amended and assumed in connection with the acquisition of Solaria. The 2011 Plan is the Complete Solar 2011 Stock Plan that was assumed by Complete Solaria in the Required Transaction. The 2016 Plan and the 2006 Plan are the Solaria stock plans that were assumed by Complete Solaria in the Required Transaction.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Under the Plans, the Company has granted service and performance-based stock options and restricted stock units (“RSUs”).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 summary of stock option activity for the thirty-nine weeks ended October 1, 2023 under the Plans is as follows: </w:t>
      </w:r>
    </w:p>
    <w:p>
      <w:pPr>
        <w:pStyle w:val="TextBody"/>
        <w:bidi w:val="0"/>
        <w:spacing w:before="0" w:after="0"/>
        <w:jc w:val="left"/>
        <w:rPr>
          <w:shd w:fill="FFFFFF" w:val="clear"/>
        </w:rPr>
      </w:pPr>
      <w:r>
        <w:rPr>
          <w:shd w:fill="FFFFFF" w:val="clear"/>
        </w:rPr>
        <w:t> </w:t>
      </w:r>
    </w:p>
    <w:tbl>
      <w:tblPr>
        <w:tblW w:w="9223" w:type="dxa"/>
        <w:jc w:val="left"/>
        <w:tblInd w:w="0" w:type="dxa"/>
        <w:tblLayout w:type="fixed"/>
        <w:tblCellMar>
          <w:top w:w="0" w:type="dxa"/>
          <w:left w:w="0" w:type="dxa"/>
          <w:bottom w:w="0" w:type="dxa"/>
          <w:right w:w="0" w:type="dxa"/>
        </w:tblCellMar>
      </w:tblPr>
      <w:tblGrid>
        <w:gridCol w:w="3800"/>
        <w:gridCol w:w="60"/>
        <w:gridCol w:w="65"/>
        <w:gridCol w:w="1064"/>
        <w:gridCol w:w="155"/>
        <w:gridCol w:w="60"/>
        <w:gridCol w:w="240"/>
        <w:gridCol w:w="755"/>
        <w:gridCol w:w="60"/>
        <w:gridCol w:w="60"/>
        <w:gridCol w:w="150"/>
        <w:gridCol w:w="1100"/>
        <w:gridCol w:w="60"/>
        <w:gridCol w:w="60"/>
        <w:gridCol w:w="248"/>
        <w:gridCol w:w="1211"/>
        <w:gridCol w:w="75"/>
      </w:tblGrid>
      <w:tr>
        <w:trPr/>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8"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Options Outstanding</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Aggregate</w:t>
              <w:br/>
              <w:t>Intrinsic</w:t>
              <w:br/>
              <w:t>Value</w:t>
            </w:r>
          </w:p>
          <w:p>
            <w:pPr>
              <w:pStyle w:val="TableContents"/>
              <w:bidi w:val="0"/>
              <w:spacing w:before="0" w:after="0"/>
              <w:jc w:val="center"/>
              <w:rPr/>
            </w:pPr>
            <w:r>
              <w:rPr/>
            </w:r>
          </w:p>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Outstanding—December 31, 2022</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4,970,419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34,180</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granted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2,164,946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(67,292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canceled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(142,218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6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bdr w:val="single" w:sz="2" w:space="1" w:color="000000"/>
              </w:rPr>
            </w:pPr>
            <w:r>
              <w:rPr>
                <w:bdr w:val="single" w:sz="2" w:space="1" w:color="000000"/>
              </w:rPr>
              <w:t> </w:t>
            </w:r>
          </w:p>
        </w:tc>
        <w:tc>
          <w:tcPr>
            <w:tcW w:w="121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Outstanding—October 1, 2023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6,925,855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2,727</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6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21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 and expected to vest—October 1, 2023</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6,925,855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283"/>
              <w:jc w:val="right"/>
              <w:rPr/>
            </w:pPr>
            <w:r>
              <w:rPr/>
              <w:t>2,727</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6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21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and exercisable—October 1, 2023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3,037,856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2,245</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6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21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 summary of RSU activity for the thirty-nine weeks ended October 1, 2023 under the Plans is as follows: </w:t>
      </w:r>
    </w:p>
    <w:p>
      <w:pPr>
        <w:pStyle w:val="TextBody"/>
        <w:bidi w:val="0"/>
        <w:spacing w:before="0" w:after="0"/>
        <w:jc w:val="left"/>
        <w:rPr>
          <w:shd w:fill="FFFFFF" w:val="clear"/>
        </w:rPr>
      </w:pPr>
      <w:r>
        <w:rPr>
          <w:shd w:fill="FFFFFF" w:val="clear"/>
        </w:rPr>
        <w:t> </w:t>
      </w:r>
    </w:p>
    <w:tbl>
      <w:tblPr>
        <w:tblW w:w="5330" w:type="dxa"/>
        <w:jc w:val="left"/>
        <w:tblInd w:w="0" w:type="dxa"/>
        <w:tblLayout w:type="fixed"/>
        <w:tblCellMar>
          <w:top w:w="0" w:type="dxa"/>
          <w:left w:w="0" w:type="dxa"/>
          <w:bottom w:w="0" w:type="dxa"/>
          <w:right w:w="0" w:type="dxa"/>
        </w:tblCellMar>
      </w:tblPr>
      <w:tblGrid>
        <w:gridCol w:w="2615"/>
        <w:gridCol w:w="120"/>
        <w:gridCol w:w="72"/>
        <w:gridCol w:w="1058"/>
        <w:gridCol w:w="155"/>
        <w:gridCol w:w="120"/>
        <w:gridCol w:w="269"/>
        <w:gridCol w:w="846"/>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RSUs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Grant</w:t>
              <w:br/>
              <w:t>Date</w:t>
              <w:br/>
              <w:t>Fair Value</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at December 31, 2022</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84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728,600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w:t>
            </w:r>
          </w:p>
        </w:tc>
        <w:tc>
          <w:tcPr>
            <w:tcW w:w="846" w:type="dxa"/>
            <w:tcBorders/>
            <w:vAlign w:val="center"/>
          </w:tcPr>
          <w:p>
            <w:pPr>
              <w:pStyle w:val="TableContents"/>
              <w:bidi w:val="0"/>
              <w:spacing w:before="0" w:after="283"/>
              <w:jc w:val="right"/>
              <w:rPr/>
            </w:pPr>
            <w:r>
              <w:rPr/>
              <w:t>5.00</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and released</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(155,473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4.84</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Cancelled or forfeited</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(485,468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w:t>
            </w:r>
          </w:p>
        </w:tc>
        <w:tc>
          <w:tcPr>
            <w:tcW w:w="846" w:type="dxa"/>
            <w:tcBorders/>
            <w:vAlign w:val="center"/>
          </w:tcPr>
          <w:p>
            <w:pPr>
              <w:pStyle w:val="TableContents"/>
              <w:bidi w:val="0"/>
              <w:spacing w:before="0" w:after="283"/>
              <w:jc w:val="right"/>
              <w:rPr/>
            </w:pPr>
            <w:r>
              <w:rPr/>
              <w:t>5.07</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0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at October 1, 2023</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87,659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5.07</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105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Stock-based compensation expense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stock-based compensation expense and its allocation within the accompanying unaudited condensed consolidated statements of operations and comprehensive income (loss) (in thousands): </w:t>
      </w:r>
    </w:p>
    <w:p>
      <w:pPr>
        <w:pStyle w:val="TextBody"/>
        <w:bidi w:val="0"/>
        <w:spacing w:before="0" w:after="0"/>
        <w:jc w:val="left"/>
        <w:rPr>
          <w:shd w:fill="FFFFFF" w:val="clear"/>
        </w:rPr>
      </w:pPr>
      <w:r>
        <w:rPr>
          <w:shd w:fill="FFFFFF" w:val="clear"/>
        </w:rPr>
        <w:t> </w:t>
      </w:r>
    </w:p>
    <w:tbl>
      <w:tblPr>
        <w:tblW w:w="10120" w:type="dxa"/>
        <w:jc w:val="left"/>
        <w:tblInd w:w="0" w:type="dxa"/>
        <w:tblLayout w:type="fixed"/>
        <w:tblCellMar>
          <w:top w:w="0" w:type="dxa"/>
          <w:left w:w="0" w:type="dxa"/>
          <w:bottom w:w="0" w:type="dxa"/>
          <w:right w:w="0" w:type="dxa"/>
        </w:tblCellMar>
      </w:tblPr>
      <w:tblGrid>
        <w:gridCol w:w="3695"/>
        <w:gridCol w:w="60"/>
        <w:gridCol w:w="286"/>
        <w:gridCol w:w="1144"/>
        <w:gridCol w:w="60"/>
        <w:gridCol w:w="60"/>
        <w:gridCol w:w="413"/>
        <w:gridCol w:w="1122"/>
        <w:gridCol w:w="60"/>
        <w:gridCol w:w="60"/>
        <w:gridCol w:w="286"/>
        <w:gridCol w:w="1144"/>
        <w:gridCol w:w="60"/>
        <w:gridCol w:w="60"/>
        <w:gridCol w:w="413"/>
        <w:gridCol w:w="1122"/>
        <w:gridCol w:w="75"/>
      </w:tblGrid>
      <w:tr>
        <w:trPr/>
        <w:tc>
          <w:tcPr>
            <w:tcW w:w="3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w:t>
              <w:br/>
              <w:t>Weeks Ended</w:t>
              <w:b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w:t>
              <w:br/>
              <w:t>Months Ended</w:t>
              <w:br/>
              <w:t>September 30,</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w:t>
            </w:r>
          </w:p>
          <w:p>
            <w:pPr>
              <w:pStyle w:val="TableContents"/>
              <w:bidi w:val="0"/>
              <w:spacing w:before="0" w:after="0"/>
              <w:jc w:val="center"/>
              <w:rPr>
                <w:b/>
                <w:spacing w:val="0"/>
              </w:rPr>
            </w:pPr>
            <w:r>
              <w:rPr>
                <w:b/>
                <w:spacing w:val="0"/>
              </w:rPr>
              <w:br/>
              <w:t>Weeks Ended</w:t>
              <w:b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w:t>
              <w:br/>
              <w:t>Months Ended</w:t>
              <w:br/>
              <w:t>September 30,</w:t>
              <w:br/>
              <w:t>2022</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337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120</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535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1,835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bdr w:val="single" w:sz="2" w:space="1" w:color="000000"/>
              </w:rPr>
            </w:pPr>
            <w:r>
              <w:rPr>
                <w:bdr w:val="single" w:sz="2" w:space="1" w:color="000000"/>
              </w:rPr>
              <w:t> </w:t>
            </w:r>
          </w:p>
        </w:tc>
        <w:tc>
          <w:tcPr>
            <w:tcW w:w="11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bdr w:val="single" w:sz="2" w:space="1" w:color="000000"/>
              </w:rPr>
            </w:pPr>
            <w:r>
              <w:rPr>
                <w:bdr w:val="single" w:sz="2" w:space="1" w:color="000000"/>
              </w:rPr>
              <w:t> </w:t>
            </w:r>
          </w:p>
        </w:tc>
        <w:tc>
          <w:tcPr>
            <w:tcW w:w="112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2,114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4,156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217</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double" w:sz="6" w:space="1" w:color="000000"/>
              </w:rPr>
            </w:pPr>
            <w:r>
              <w:rPr>
                <w:bdr w:val="double" w:sz="6" w:space="1" w:color="000000"/>
              </w:rPr>
              <w:t> </w:t>
            </w:r>
          </w:p>
        </w:tc>
        <w:tc>
          <w:tcPr>
            <w:tcW w:w="114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bdr w:val="double" w:sz="6" w:space="1" w:color="000000"/>
              </w:rPr>
            </w:pPr>
            <w:r>
              <w:rPr>
                <w:bdr w:val="double" w:sz="6" w:space="1" w:color="000000"/>
              </w:rPr>
              <w:t> </w:t>
            </w:r>
          </w:p>
        </w:tc>
        <w:tc>
          <w:tcPr>
            <w:tcW w:w="112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double" w:sz="6" w:space="1" w:color="000000"/>
              </w:rPr>
            </w:pPr>
            <w:r>
              <w:rPr>
                <w:bdr w:val="double" w:sz="6" w:space="1" w:color="000000"/>
              </w:rPr>
              <w:t> </w:t>
            </w:r>
          </w:p>
        </w:tc>
        <w:tc>
          <w:tcPr>
            <w:tcW w:w="114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bdr w:val="double" w:sz="6" w:space="1" w:color="000000"/>
              </w:rPr>
            </w:pPr>
            <w:r>
              <w:rPr>
                <w:bdr w:val="double" w:sz="6" w:space="1" w:color="000000"/>
              </w:rPr>
              <w:t> </w:t>
            </w:r>
          </w:p>
        </w:tc>
        <w:tc>
          <w:tcPr>
            <w:tcW w:w="112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October 1, 2023, there was a total of $16.4 million and $0.2 million of unrecognized stock-based compensation costs related to service-based options and RSUs, respectively. Such compensation cost is expected to be recognized over a weighted-average period of approximately 2.13 years and 4.75 years for service-based options and RSUs, respectively.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the Company’s board of directors approved the modification to accelerate the vesting of 52,167 options for employees that were terminated. Additionally, at the same time, the board of directors approved an extension of the post termination exercise period for 280,412 vested options of terminated employees. In connection with the modifications, the Company recorded incremental stock-based compensation expense of $0.1 million. </w:t>
      </w:r>
    </w:p>
    <w:p>
      <w:pPr>
        <w:pStyle w:val="TextBody"/>
        <w:bidi w:val="0"/>
        <w:spacing w:before="0" w:after="0"/>
        <w:jc w:val="left"/>
        <w:rPr>
          <w:shd w:fill="FFFFFF" w:val="clear"/>
        </w:rPr>
      </w:pPr>
      <w:r>
        <w:rPr>
          <w:shd w:fill="FFFFFF" w:val="clear"/>
        </w:rPr>
        <w:t> </w:t>
      </w:r>
    </w:p>
    <w:tbl>
      <w:tblPr>
        <w:tblW w:w="3130" w:type="dxa"/>
        <w:jc w:val="left"/>
        <w:tblInd w:w="0" w:type="dxa"/>
        <w:tblLayout w:type="fixed"/>
        <w:tblCellMar>
          <w:top w:w="0" w:type="dxa"/>
          <w:left w:w="0" w:type="dxa"/>
          <w:bottom w:w="0" w:type="dxa"/>
          <w:right w:w="0" w:type="dxa"/>
        </w:tblCellMar>
      </w:tblPr>
      <w:tblGrid>
        <w:gridCol w:w="425"/>
        <w:gridCol w:w="2705"/>
      </w:tblGrid>
      <w:tr>
        <w:trPr/>
        <w:tc>
          <w:tcPr>
            <w:tcW w:w="425" w:type="dxa"/>
            <w:tcBorders/>
            <w:vAlign w:val="center"/>
          </w:tcPr>
          <w:p>
            <w:pPr>
              <w:pStyle w:val="TableContents"/>
              <w:bidi w:val="0"/>
              <w:spacing w:before="0" w:after="0"/>
              <w:jc w:val="left"/>
              <w:rPr>
                <w:b/>
                <w:spacing w:val="0"/>
              </w:rPr>
            </w:pPr>
            <w:r>
              <w:rPr>
                <w:b/>
                <w:spacing w:val="0"/>
              </w:rPr>
              <w:t>(18)</w:t>
            </w:r>
          </w:p>
        </w:tc>
        <w:tc>
          <w:tcPr>
            <w:tcW w:w="27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Stock Purchase Plan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adopted an Employee Stock Purchase Plan (the “ESPP Plan”) in connection with the consummation of the Mergers in July 2023. All qualified employees may voluntarily enroll to purchase the Company’s common stock through payroll deductions at a price equal to 85% of the lower of the fair market values of the stock of the offering periods or the applicable purchase date. As of October 1, 2023, 2,628,996 shares were reserved for future issuance under the ESPP Plan. </w:t>
      </w:r>
    </w:p>
    <w:p>
      <w:pPr>
        <w:pStyle w:val="TextBody"/>
        <w:bidi w:val="0"/>
        <w:spacing w:before="0" w:after="0"/>
        <w:jc w:val="left"/>
        <w:rPr>
          <w:shd w:fill="FFFFFF" w:val="clear"/>
        </w:rPr>
      </w:pPr>
      <w:r>
        <w:rPr>
          <w:shd w:fill="FFFFFF" w:val="clear"/>
        </w:rPr>
        <w:t> </w:t>
      </w:r>
    </w:p>
    <w:tbl>
      <w:tblPr>
        <w:tblW w:w="3280" w:type="dxa"/>
        <w:jc w:val="left"/>
        <w:tblInd w:w="0" w:type="dxa"/>
        <w:tblLayout w:type="fixed"/>
        <w:tblCellMar>
          <w:top w:w="0" w:type="dxa"/>
          <w:left w:w="0" w:type="dxa"/>
          <w:bottom w:w="0" w:type="dxa"/>
          <w:right w:w="0" w:type="dxa"/>
        </w:tblCellMar>
      </w:tblPr>
      <w:tblGrid>
        <w:gridCol w:w="425"/>
        <w:gridCol w:w="2855"/>
      </w:tblGrid>
      <w:tr>
        <w:trPr/>
        <w:tc>
          <w:tcPr>
            <w:tcW w:w="425" w:type="dxa"/>
            <w:tcBorders/>
            <w:vAlign w:val="center"/>
          </w:tcPr>
          <w:p>
            <w:pPr>
              <w:pStyle w:val="TableContents"/>
              <w:bidi w:val="0"/>
              <w:spacing w:before="0" w:after="0"/>
              <w:jc w:val="left"/>
              <w:rPr>
                <w:b/>
                <w:spacing w:val="0"/>
              </w:rPr>
            </w:pPr>
            <w:r>
              <w:rPr>
                <w:b/>
                <w:spacing w:val="0"/>
              </w:rPr>
              <w:t>(19)</w:t>
            </w:r>
          </w:p>
        </w:tc>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Operating 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leases its facilities under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non-cancelable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operating lease agreements. The Company’s leases have remaining terms of 0.3 years to 3.1 years. Options to renew or extend leases beyond their initial term have been excluded from measurement of the ROU assets and lease liabilities as exercise is not reasonably certain. Operating leases are reflected on the unaudited condensed consolidated balance sheets within operating lease ROU assets and the related current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non-current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operating lease liabilities. ROU assets represent the right to use an underlying asset for the lease term, and lease liabilities represent the obligation to make lease payments arising from lease agreement. Operating lease ROU assets and liabilities are recognized at the commencement date, or the date on which the lessor makes the underlying asset available for use, based upon the present value of the lease payments over the respective lease term. Lease expense is recognized on a straight-line basis over the lease term, subject to any changes in the lease or expectation regarding the terms. Variable lease costs such as common area maintenance, property taxes and insurance are expensed as incurred. Variable lease cost was $0.1 million and $0.3 million for the thirteen and thirty-nine weeks ended October 1, 2023, respectively, and $0.1 million and $0.2 million for the three and nine months September 30, 2022, respectively. Total lease expense for the thirteen and thirty-nine weeks ended October 1, 2023 was $0.3 million and $1.0 million, respectively, and for the three and nine months ended September 30, 2022 was $0.2 million and $0.5 million, respectively.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made $0.3 million and $0.8 million of cash payments related to operating leases during the thirteen and thirty-nine weeks ended October 1, 2023, respectively and made $0.1 million and $0.4 million of cash payments related to operating leases during the three and nine months ended September 30, 2022, respectively. New operating lease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assets obtained in exchange for operating lease liabilities were zero during the thirteen and thirty-nine weeks ended October 1, 2023 and zero and $0.2 million during the three and nine months ended September 30, 2022, respectively.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weighted average remaining lease term and the discount rate for the Company’s operating leases are as follows: </w:t>
      </w:r>
    </w:p>
    <w:p>
      <w:pPr>
        <w:pStyle w:val="TextBody"/>
        <w:bidi w:val="0"/>
        <w:spacing w:before="0" w:after="0"/>
        <w:jc w:val="left"/>
        <w:rPr>
          <w:shd w:fill="FFFFFF" w:val="clear"/>
        </w:rPr>
      </w:pPr>
      <w:r>
        <w:rPr>
          <w:shd w:fill="FFFFFF" w:val="clear"/>
        </w:rPr>
        <w:t> </w:t>
      </w:r>
    </w:p>
    <w:tbl>
      <w:tblPr>
        <w:tblW w:w="4555" w:type="dxa"/>
        <w:jc w:val="left"/>
        <w:tblInd w:w="0" w:type="dxa"/>
        <w:tblLayout w:type="fixed"/>
        <w:tblCellMar>
          <w:top w:w="0" w:type="dxa"/>
          <w:left w:w="0" w:type="dxa"/>
          <w:bottom w:w="0" w:type="dxa"/>
          <w:right w:w="0" w:type="dxa"/>
        </w:tblCellMar>
      </w:tblPr>
      <w:tblGrid>
        <w:gridCol w:w="3335"/>
        <w:gridCol w:w="120"/>
        <w:gridCol w:w="1100"/>
      </w:tblGrid>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Remaining average remaining lease term</w:t>
            </w:r>
          </w:p>
        </w:tc>
        <w:tc>
          <w:tcPr>
            <w:tcW w:w="12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2.61 years</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15.20%</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Future minimum lease payments under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non-cancelable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operating leases as of October 1, 2023 are as follows (in thousands): </w:t>
      </w:r>
    </w:p>
    <w:p>
      <w:pPr>
        <w:pStyle w:val="TextBody"/>
        <w:bidi w:val="0"/>
        <w:spacing w:before="0" w:after="0"/>
        <w:jc w:val="left"/>
        <w:rPr>
          <w:shd w:fill="FFFFFF" w:val="clear"/>
        </w:rPr>
      </w:pPr>
      <w:r>
        <w:rPr>
          <w:shd w:fill="FFFFFF" w:val="clear"/>
        </w:rPr>
        <w:t> </w:t>
      </w:r>
    </w:p>
    <w:tbl>
      <w:tblPr>
        <w:tblW w:w="6080" w:type="dxa"/>
        <w:jc w:val="left"/>
        <w:tblInd w:w="0" w:type="dxa"/>
        <w:tblLayout w:type="fixed"/>
        <w:tblCellMar>
          <w:top w:w="0" w:type="dxa"/>
          <w:left w:w="0" w:type="dxa"/>
          <w:bottom w:w="0" w:type="dxa"/>
          <w:right w:w="0" w:type="dxa"/>
        </w:tblCellMar>
      </w:tblPr>
      <w:tblGrid>
        <w:gridCol w:w="5090"/>
        <w:gridCol w:w="120"/>
        <w:gridCol w:w="140"/>
        <w:gridCol w:w="560"/>
        <w:gridCol w:w="170"/>
      </w:tblGrid>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 (excluding the thirty-nine weeks ended October 1,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263</w:t>
            </w:r>
          </w:p>
        </w:tc>
        <w:tc>
          <w:tcPr>
            <w:tcW w:w="170"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743</w:t>
            </w:r>
          </w:p>
        </w:tc>
        <w:tc>
          <w:tcPr>
            <w:tcW w:w="17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592</w:t>
            </w:r>
          </w:p>
        </w:tc>
        <w:tc>
          <w:tcPr>
            <w:tcW w:w="170"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477</w:t>
            </w:r>
          </w:p>
        </w:tc>
        <w:tc>
          <w:tcPr>
            <w:tcW w:w="17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 and thereafter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undiscounted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2,075</w:t>
            </w:r>
          </w:p>
        </w:tc>
        <w:tc>
          <w:tcPr>
            <w:tcW w:w="17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(565</w:t>
            </w:r>
          </w:p>
        </w:tc>
        <w:tc>
          <w:tcPr>
            <w:tcW w:w="170"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1,510</w:t>
            </w:r>
          </w:p>
        </w:tc>
        <w:tc>
          <w:tcPr>
            <w:tcW w:w="17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Warranty Provision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typically provides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10-year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warranty on its solar energy system installations, which provides assurance over the workmanship in performing the installation, including roof leaks caused by the Company’s performance. For solar panel sales, the Company provides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30-year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warranty that the products will be free from defects in material and workmanship. The Company will retain its warranty obligation associated with its panel sales, subsequent to the disposal of its panel business.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accrues warranty costs when revenue is recognized for solar energy systems sales and panel sales,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unaudited condensed consolidated statements of operations and comprehensive income (loss). Warranty costs primarily consist of replacement materials and equipment and labor costs for service personnel.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Activity by period relating to the Company’s warranty provision was as follows (in thousands): </w:t>
      </w:r>
    </w:p>
    <w:p>
      <w:pPr>
        <w:pStyle w:val="TextBody"/>
        <w:bidi w:val="0"/>
        <w:spacing w:before="0" w:after="0"/>
        <w:jc w:val="left"/>
        <w:rPr>
          <w:shd w:fill="FFFFFF" w:val="clear"/>
        </w:rPr>
      </w:pPr>
      <w:r>
        <w:rPr>
          <w:shd w:fill="FFFFFF" w:val="clear"/>
        </w:rPr>
        <w:t> </w:t>
      </w:r>
    </w:p>
    <w:tbl>
      <w:tblPr>
        <w:tblW w:w="7210" w:type="dxa"/>
        <w:jc w:val="left"/>
        <w:tblInd w:w="0" w:type="dxa"/>
        <w:tblLayout w:type="fixed"/>
        <w:tblCellMar>
          <w:top w:w="0" w:type="dxa"/>
          <w:left w:w="0" w:type="dxa"/>
          <w:bottom w:w="0" w:type="dxa"/>
          <w:right w:w="0" w:type="dxa"/>
        </w:tblCellMar>
      </w:tblPr>
      <w:tblGrid>
        <w:gridCol w:w="3800"/>
        <w:gridCol w:w="120"/>
        <w:gridCol w:w="258"/>
        <w:gridCol w:w="1172"/>
        <w:gridCol w:w="155"/>
        <w:gridCol w:w="120"/>
        <w:gridCol w:w="255"/>
        <w:gridCol w:w="1160"/>
        <w:gridCol w:w="170"/>
      </w:tblGrid>
      <w:tr>
        <w:trPr/>
        <w:tc>
          <w:tcPr>
            <w:tcW w:w="3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w:t>
            </w:r>
          </w:p>
          <w:p>
            <w:pPr>
              <w:pStyle w:val="TableContents"/>
              <w:bidi w:val="0"/>
              <w:spacing w:before="0" w:after="0"/>
              <w:jc w:val="center"/>
              <w:rPr>
                <w:b/>
                <w:spacing w:val="0"/>
              </w:rPr>
            </w:pPr>
            <w:r>
              <w:rPr>
                <w:b/>
                <w:spacing w:val="0"/>
              </w:rPr>
              <w:br/>
              <w:t>Weeks Ended</w:t>
              <w:br/>
              <w:t>October 1,</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w:t>
              <w:br/>
              <w:t>December 31,</w:t>
              <w:br/>
              <w:t>2022</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beginning of period</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3,981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2,281</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Warranty liability from Business Combination</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1,943</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Accruals for new warranties issued</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2,100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1,492</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Settlements</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(2,060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(1,735</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11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end of period</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4,021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3,981</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11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double" w:sz="6" w:space="1" w:color="000000"/>
              </w:rPr>
            </w:pPr>
            <w:r>
              <w:rPr>
                <w:bdr w:val="double" w:sz="6" w:space="1" w:color="000000"/>
              </w:rPr>
              <w:t> </w:t>
            </w:r>
          </w:p>
        </w:tc>
        <w:tc>
          <w:tcPr>
            <w:tcW w:w="1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current</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605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767</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 noncurrent</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3,416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3,214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Indemnification Agreements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will not have a material adverse effect on the business, financial position, results of operations, or cash flows.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Legal Matters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have a material adverse effect on the business, financial position, results of operations, or cash flows. The Company has recorded $3.0 million and $1.9 million as a loss contingency in accrued expenses and other current liabilities on the unaudited condensed consolidated balance sheets as of October 1, 2023 and December 31, 2022, respectively, primarily associated with the pending settlement of the following legal matters.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Katerra 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July 22, 2022, Katerra, Inc. filed a complaint for breach of contract and turnover of property under Section 542(b) of the Bankruptcy Code in the United States Bankruptcy Court for the Southern District of Texas. The complaint seeks damages for the amounts due under the Settlement Agreement and for attorney’s fees. The Company filed an answer to the complaint on September 6, 2022. On May 11, 2023, the parties reached a settlement in which Solaria agreed to pay Katerra $0.8 million, paid in monthly payments beginning on May 25, 2023 and ending by October 25, 2023. As of October 1, 2023, the remaining balance of payments owed in relation to the settlement was $0.1 million.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SolarPark 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16, 2023, SolarPark filed a complaint against Solaria and the Company in the United States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Solaria filed a Notice of Withdrawal of Appeal and will not appeal the Court’s Preliminary Injunction Order. No liability has been recorded in the Company’s unaudited condensed consolidated financial statements as the likelihood of a loss is not probable at this time.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Siemens 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July 22, 2021, Siemens filed a lawsuit for breach of contract and warranty against the Company and demanded $6.9 million plus legal fees. The case is currently in trial. The Company has recorded $2.0 million and zero as a loss contingency related to this litigation in accrued expenses and other current liabilities on the unaudited condensed consolidated balance sheets as of October 1, 2023 and December 31, 2022, respectively.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China Bridge 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24 2023, China Bridge Capital Limited (“China Bridge”) alleged breach of contract and demanded $6.0 million. The complaint names FACT as the defendant. The complaint alleges China Bridge and FACT entered into a financial advisory agreement in October 2022 whereby FACT engaged China Bridge to advise and assist FACT in identifying a company for FACT to acquire. As part of the agreement, China Bridge claims that FACT agreed to pay China Bridge a $6.0 million advisory fee if FACT completed such an acquisition. China Bridge claims it introduced Complete Solaria to FACT and is therefore owed the $6.0 million advisory fee. The Company believes that the allegations lack merit and intends to vigorously defend all claims asserted. No liability has been recorded in the Company’s unaudited condensed consolidated financial statements as the likelihood of a loss is not probable at this time.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Letters of Credit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had $3.5 million of outstanding letters of credit related to normal business transactions as of October 1, 2023.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and $3.9 million as of October 1, 2023 and December 31, 2022, respectively. </w:t>
      </w:r>
    </w:p>
    <w:p>
      <w:pPr>
        <w:pStyle w:val="TextBody"/>
        <w:bidi w:val="0"/>
        <w:spacing w:before="0" w:after="0"/>
        <w:jc w:val="left"/>
        <w:rPr>
          <w:shd w:fill="FFFFFF" w:val="clear"/>
        </w:rPr>
      </w:pPr>
      <w:r>
        <w:rPr>
          <w:shd w:fill="FFFFFF" w:val="clear"/>
        </w:rPr>
        <w:t> </w:t>
      </w:r>
    </w:p>
    <w:tbl>
      <w:tblPr>
        <w:tblW w:w="3640" w:type="dxa"/>
        <w:jc w:val="left"/>
        <w:tblInd w:w="0" w:type="dxa"/>
        <w:tblLayout w:type="fixed"/>
        <w:tblCellMar>
          <w:top w:w="0" w:type="dxa"/>
          <w:left w:w="0" w:type="dxa"/>
          <w:bottom w:w="0" w:type="dxa"/>
          <w:right w:w="0" w:type="dxa"/>
        </w:tblCellMar>
      </w:tblPr>
      <w:tblGrid>
        <w:gridCol w:w="425"/>
        <w:gridCol w:w="3215"/>
      </w:tblGrid>
      <w:tr>
        <w:trPr/>
        <w:tc>
          <w:tcPr>
            <w:tcW w:w="425" w:type="dxa"/>
            <w:tcBorders/>
            <w:vAlign w:val="center"/>
          </w:tcPr>
          <w:p>
            <w:pPr>
              <w:pStyle w:val="TableContents"/>
              <w:bidi w:val="0"/>
              <w:spacing w:before="0" w:after="0"/>
              <w:jc w:val="left"/>
              <w:rPr>
                <w:b/>
                <w:spacing w:val="0"/>
              </w:rPr>
            </w:pPr>
            <w:r>
              <w:rPr>
                <w:b/>
                <w:spacing w:val="0"/>
              </w:rPr>
              <w:t>(20)</w:t>
            </w:r>
          </w:p>
        </w:tc>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Basic and Diluted Net Loss Per Share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uses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two-class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method to calculate net loss per share. No dividends were declared or paid for the thirteen or thirty-nine weeks ended October 1, 2023 or for the three or nine months ended September 30, 2022. Undistributed earnings for each period are allocated to participating securities, including the redeemable convertible preferred stock, based on the contractual participation rights of the security to share in the current earnings as if all current period earnings had been distributed. As there is no contractual obligation for the redeemable convertible preferred stock to share in losses, the Company’s basic net loss per share is computed by dividing the net loss attributable to common stockholders by the weighted-average shares of common stock outstanding during periods with undistributed losses.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unaudited basic and diluted shares and net loss per share for the three and nine months ended September 30, 2022 have been retroactively restated to give effect to the conversion of shares of legal acquiree’s convertible instruments into shares of legal acquiree common stock as though the conversion had occurred as of the beginning of the period. The retroactive restatement is consistent with the presentation on the accompanying unaudited condensed consolidated statements of stockholders’ deficit.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the computation of the Company’s basic and diluted net loss per share attributable to common stockholders for the thirteen and thirty-nine weeks ended October 1, 2023 and three and nine months ended September 30, 2022 (in thousands, except share and per share amounts):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483"/>
        <w:gridCol w:w="60"/>
        <w:gridCol w:w="151"/>
        <w:gridCol w:w="1194"/>
        <w:gridCol w:w="155"/>
        <w:gridCol w:w="60"/>
        <w:gridCol w:w="173"/>
        <w:gridCol w:w="1362"/>
        <w:gridCol w:w="155"/>
        <w:gridCol w:w="60"/>
        <w:gridCol w:w="161"/>
        <w:gridCol w:w="1269"/>
        <w:gridCol w:w="155"/>
        <w:gridCol w:w="60"/>
        <w:gridCol w:w="173"/>
        <w:gridCol w:w="1362"/>
        <w:gridCol w:w="172"/>
      </w:tblGrid>
      <w:tr>
        <w:trPr/>
        <w:tc>
          <w:tcPr>
            <w:tcW w:w="3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4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w:t>
              <w:br/>
              <w:t>Weeks Ended</w:t>
              <w:br/>
              <w:t>October 1,</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w:t>
              <w:br/>
              <w:t>Months Ended</w:t>
              <w:br/>
              <w:t>September 30,</w:t>
              <w:b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Thirty-Nine</w:t>
            </w:r>
          </w:p>
          <w:p>
            <w:pPr>
              <w:pStyle w:val="TableContents"/>
              <w:bidi w:val="0"/>
              <w:spacing w:before="0" w:after="0"/>
              <w:jc w:val="center"/>
              <w:rPr>
                <w:b/>
                <w:spacing w:val="0"/>
              </w:rPr>
            </w:pPr>
            <w:r>
              <w:rPr>
                <w:b/>
                <w:spacing w:val="0"/>
              </w:rPr>
              <w:br/>
              <w:t>Weeks Ended</w:t>
              <w:br/>
              <w:t>October 1,</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w:t>
              <w:br/>
              <w:t>Months Ended</w:t>
              <w:br/>
              <w:t>September 30,</w:t>
              <w:br/>
              <w:t>2022</w:t>
            </w:r>
          </w:p>
        </w:tc>
        <w:tc>
          <w:tcPr>
            <w:tcW w:w="172" w:type="dxa"/>
            <w:tcBorders/>
            <w:vAlign w:val="center"/>
          </w:tcPr>
          <w:p>
            <w:pPr>
              <w:pStyle w:val="TableContents"/>
              <w:bidi w:val="0"/>
              <w:spacing w:before="0" w:after="283"/>
              <w:jc w:val="left"/>
              <w:rPr/>
            </w:pPr>
            <w:r>
              <w:rPr/>
              <w:t> </w:t>
            </w:r>
          </w:p>
        </w:tc>
      </w:tr>
      <w:tr>
        <w:trPr/>
        <w:tc>
          <w:tcPr>
            <w:tcW w:w="348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19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36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36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4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(50,973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362" w:type="dxa"/>
            <w:tcBorders/>
            <w:vAlign w:val="center"/>
          </w:tcPr>
          <w:p>
            <w:pPr>
              <w:pStyle w:val="TableContents"/>
              <w:bidi w:val="0"/>
              <w:spacing w:before="0" w:after="283"/>
              <w:jc w:val="right"/>
              <w:rPr/>
            </w:pPr>
            <w:r>
              <w:rPr/>
              <w:t>(4,146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(73,448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362" w:type="dxa"/>
            <w:tcBorders/>
            <w:vAlign w:val="center"/>
          </w:tcPr>
          <w:p>
            <w:pPr>
              <w:pStyle w:val="TableContents"/>
              <w:bidi w:val="0"/>
              <w:spacing w:before="0" w:after="283"/>
              <w:jc w:val="right"/>
              <w:rPr/>
            </w:pPr>
            <w:r>
              <w:rPr/>
              <w:t>(10,809</w:t>
            </w:r>
          </w:p>
        </w:tc>
        <w:tc>
          <w:tcPr>
            <w:tcW w:w="172" w:type="dxa"/>
            <w:tcBorders/>
            <w:vAlign w:val="center"/>
          </w:tcPr>
          <w:p>
            <w:pPr>
              <w:pStyle w:val="TableContents"/>
              <w:bidi w:val="0"/>
              <w:spacing w:before="0" w:after="283"/>
              <w:jc w:val="left"/>
              <w:rPr/>
            </w:pPr>
            <w:r>
              <w:rPr/>
              <w:t>) </w:t>
            </w:r>
          </w:p>
        </w:tc>
      </w:tr>
      <w:tr>
        <w:trPr/>
        <w:tc>
          <w:tcPr>
            <w:tcW w:w="3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from discontinued operations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(155,909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(168,458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3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3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3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4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(206,882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362" w:type="dxa"/>
            <w:tcBorders/>
            <w:vAlign w:val="center"/>
          </w:tcPr>
          <w:p>
            <w:pPr>
              <w:pStyle w:val="TableContents"/>
              <w:bidi w:val="0"/>
              <w:spacing w:before="0" w:after="283"/>
              <w:jc w:val="right"/>
              <w:rPr/>
            </w:pPr>
            <w:r>
              <w:rPr/>
              <w:t>(4,146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(241,906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362" w:type="dxa"/>
            <w:tcBorders/>
            <w:vAlign w:val="center"/>
          </w:tcPr>
          <w:p>
            <w:pPr>
              <w:pStyle w:val="TableContents"/>
              <w:bidi w:val="0"/>
              <w:spacing w:before="0" w:after="283"/>
              <w:jc w:val="right"/>
              <w:rPr/>
            </w:pPr>
            <w:r>
              <w:rPr/>
              <w:t>(10,809</w:t>
            </w:r>
          </w:p>
        </w:tc>
        <w:tc>
          <w:tcPr>
            <w:tcW w:w="172" w:type="dxa"/>
            <w:tcBorders/>
            <w:vAlign w:val="center"/>
          </w:tcPr>
          <w:p>
            <w:pPr>
              <w:pStyle w:val="TableContents"/>
              <w:bidi w:val="0"/>
              <w:spacing w:before="0" w:after="283"/>
              <w:jc w:val="left"/>
              <w:rPr/>
            </w:pPr>
            <w:r>
              <w:rPr/>
              <w:t>) </w:t>
            </w:r>
          </w:p>
        </w:tc>
      </w:tr>
      <w:tr>
        <w:trPr/>
        <w:tc>
          <w:tcPr>
            <w:tcW w:w="348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19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36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36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4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39,821,078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13,431,410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16,969,979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13,053,367</w:t>
            </w:r>
          </w:p>
        </w:tc>
        <w:tc>
          <w:tcPr>
            <w:tcW w:w="172" w:type="dxa"/>
            <w:tcBorders/>
            <w:vAlign w:val="center"/>
          </w:tcPr>
          <w:p>
            <w:pPr>
              <w:pStyle w:val="TableContents"/>
              <w:bidi w:val="0"/>
              <w:spacing w:before="0" w:after="283"/>
              <w:jc w:val="left"/>
              <w:rPr/>
            </w:pPr>
            <w:r>
              <w:rPr/>
              <w:t> </w:t>
            </w:r>
          </w:p>
        </w:tc>
      </w:tr>
      <w:tr>
        <w:trPr/>
        <w:tc>
          <w:tcPr>
            <w:tcW w:w="348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19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36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36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4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 – basic and diluted</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362" w:type="dxa"/>
            <w:tcBorders/>
            <w:vAlign w:val="center"/>
          </w:tcPr>
          <w:p>
            <w:pPr>
              <w:pStyle w:val="TableContents"/>
              <w:bidi w:val="0"/>
              <w:spacing w:before="0" w:after="283"/>
              <w:jc w:val="right"/>
              <w:rPr/>
            </w:pPr>
            <w:r>
              <w:rPr/>
              <w:t>(0.31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(4.33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362" w:type="dxa"/>
            <w:tcBorders/>
            <w:vAlign w:val="center"/>
          </w:tcPr>
          <w:p>
            <w:pPr>
              <w:pStyle w:val="TableContents"/>
              <w:bidi w:val="0"/>
              <w:spacing w:before="0" w:after="283"/>
              <w:jc w:val="right"/>
              <w:rPr/>
            </w:pPr>
            <w:r>
              <w:rPr/>
              <w:t>(0.83</w:t>
            </w:r>
          </w:p>
        </w:tc>
        <w:tc>
          <w:tcPr>
            <w:tcW w:w="172" w:type="dxa"/>
            <w:tcBorders/>
            <w:vAlign w:val="center"/>
          </w:tcPr>
          <w:p>
            <w:pPr>
              <w:pStyle w:val="TableContents"/>
              <w:bidi w:val="0"/>
              <w:spacing w:before="0" w:after="283"/>
              <w:jc w:val="left"/>
              <w:rPr/>
            </w:pPr>
            <w:r>
              <w:rPr/>
              <w:t>) </w:t>
            </w:r>
          </w:p>
        </w:tc>
      </w:tr>
      <w:tr>
        <w:trPr/>
        <w:tc>
          <w:tcPr>
            <w:tcW w:w="3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36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362"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3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 – basic and diluted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(3.92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(9.92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3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36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362"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34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(5.20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362" w:type="dxa"/>
            <w:tcBorders/>
            <w:vAlign w:val="center"/>
          </w:tcPr>
          <w:p>
            <w:pPr>
              <w:pStyle w:val="TableContents"/>
              <w:bidi w:val="0"/>
              <w:spacing w:before="0" w:after="283"/>
              <w:jc w:val="right"/>
              <w:rPr/>
            </w:pPr>
            <w:r>
              <w:rPr/>
              <w:t>(0.31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(14.25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362" w:type="dxa"/>
            <w:tcBorders/>
            <w:vAlign w:val="center"/>
          </w:tcPr>
          <w:p>
            <w:pPr>
              <w:pStyle w:val="TableContents"/>
              <w:bidi w:val="0"/>
              <w:spacing w:before="0" w:after="283"/>
              <w:jc w:val="right"/>
              <w:rPr/>
            </w:pPr>
            <w:r>
              <w:rPr/>
              <w:t>(0.83</w:t>
            </w:r>
          </w:p>
        </w:tc>
        <w:tc>
          <w:tcPr>
            <w:tcW w:w="172" w:type="dxa"/>
            <w:tcBorders/>
            <w:vAlign w:val="center"/>
          </w:tcPr>
          <w:p>
            <w:pPr>
              <w:pStyle w:val="TableContents"/>
              <w:bidi w:val="0"/>
              <w:spacing w:before="0" w:after="283"/>
              <w:jc w:val="left"/>
              <w:rPr/>
            </w:pPr>
            <w:r>
              <w:rPr/>
              <w:t>) </w:t>
            </w:r>
          </w:p>
        </w:tc>
      </w:tr>
      <w:tr>
        <w:trPr/>
        <w:tc>
          <w:tcPr>
            <w:tcW w:w="3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36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362"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Basic and diluted net loss per share attributable to common stockholders is the same for the thirteen and thirty-nine weeks ended October 1, 2023 and three and nine months ended September 30, 2022 because the inclusion of potential shares of common stock would have been anti-dilutive for the periods presented.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following table presents the potential common shares outstanding that were excluded from the computation of diluted net loss per share of common stock as of the periods presented because including them would have been antidilutive: </w:t>
      </w:r>
    </w:p>
    <w:p>
      <w:pPr>
        <w:pStyle w:val="TextBody"/>
        <w:bidi w:val="0"/>
        <w:spacing w:before="0" w:after="0"/>
        <w:jc w:val="left"/>
        <w:rPr>
          <w:shd w:fill="FFFFFF" w:val="clear"/>
        </w:rPr>
      </w:pPr>
      <w:r>
        <w:rPr>
          <w:shd w:fill="FFFFFF" w:val="clear"/>
        </w:rPr>
        <w:t> </w:t>
      </w:r>
    </w:p>
    <w:tbl>
      <w:tblPr>
        <w:tblW w:w="8280" w:type="dxa"/>
        <w:jc w:val="left"/>
        <w:tblInd w:w="0" w:type="dxa"/>
        <w:tblLayout w:type="fixed"/>
        <w:tblCellMar>
          <w:top w:w="0" w:type="dxa"/>
          <w:left w:w="0" w:type="dxa"/>
          <w:bottom w:w="0" w:type="dxa"/>
          <w:right w:w="0" w:type="dxa"/>
        </w:tblCellMar>
      </w:tblPr>
      <w:tblGrid>
        <w:gridCol w:w="5330"/>
        <w:gridCol w:w="120"/>
        <w:gridCol w:w="60"/>
        <w:gridCol w:w="1100"/>
        <w:gridCol w:w="60"/>
        <w:gridCol w:w="120"/>
        <w:gridCol w:w="81"/>
        <w:gridCol w:w="1334"/>
        <w:gridCol w:w="75"/>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October 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23,626,132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2,000,878</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warrants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488,024</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and RSUs issued and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7,013,514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2,430,949</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single" w:sz="2" w:space="1" w:color="000000"/>
              </w:rPr>
            </w:pPr>
            <w:r>
              <w:rPr>
                <w:bdr w:val="single" w:sz="2" w:space="1" w:color="000000"/>
              </w:rPr>
              <w:t> </w:t>
            </w:r>
          </w:p>
        </w:tc>
        <w:tc>
          <w:tcPr>
            <w:tcW w:w="133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Potential common shares excluded from diluted net loss per share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30,639,646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4,919,851</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double" w:sz="6" w:space="1" w:color="000000"/>
              </w:rPr>
            </w:pPr>
            <w:r>
              <w:rPr>
                <w:bdr w:val="double" w:sz="6" w:space="1" w:color="000000"/>
              </w:rPr>
              <w:t> </w:t>
            </w:r>
          </w:p>
        </w:tc>
        <w:tc>
          <w:tcPr>
            <w:tcW w:w="133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2830" w:type="dxa"/>
        <w:jc w:val="left"/>
        <w:tblInd w:w="0" w:type="dxa"/>
        <w:tblLayout w:type="fixed"/>
        <w:tblCellMar>
          <w:top w:w="0" w:type="dxa"/>
          <w:left w:w="0" w:type="dxa"/>
          <w:bottom w:w="0" w:type="dxa"/>
          <w:right w:w="0" w:type="dxa"/>
        </w:tblCellMar>
      </w:tblPr>
      <w:tblGrid>
        <w:gridCol w:w="425"/>
        <w:gridCol w:w="2405"/>
      </w:tblGrid>
      <w:tr>
        <w:trPr/>
        <w:tc>
          <w:tcPr>
            <w:tcW w:w="425" w:type="dxa"/>
            <w:tcBorders/>
            <w:vAlign w:val="center"/>
          </w:tcPr>
          <w:p>
            <w:pPr>
              <w:pStyle w:val="TableContents"/>
              <w:bidi w:val="0"/>
              <w:spacing w:before="0" w:after="0"/>
              <w:jc w:val="left"/>
              <w:rPr>
                <w:b/>
                <w:spacing w:val="0"/>
              </w:rPr>
            </w:pPr>
            <w:r>
              <w:rPr>
                <w:b/>
                <w:spacing w:val="0"/>
              </w:rPr>
              <w:t>(21)</w:t>
            </w:r>
          </w:p>
        </w:tc>
        <w:tc>
          <w:tcPr>
            <w:tcW w:w="24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Related Party Convertible Promissory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2020, the Company issued convertible promissory notes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(“2020-A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of approximately $3.8 million to various investors, out of which $3.3 million was issued to nine related parties. The principal amount of the outstanding balance accrued interest at 2.0% per annum. In 2021, the Company subsequently issued convertible promissory notes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(“2021-A</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Notes”) of approximately $4.8 million to various investors, out of which $3.6 million was issued to four related parties. The principal amount of the outstanding balance accrued interest at 2.0% per annum. Refer to Note 16 – Borrowing Arrangements for further details.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March 2022, as part of the Company’s Series D redeemable convertible preferred stock issuance, the Company converted all of the outstanding convertible note series. As part of the conversion, the Company recognized a gain on the extinguishment of related party convertible notes of $1.4 million, which was recorded in other income (expense), net on the unaudited condensed consolidated statements of operations and comprehensive income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2022 through June 2023, the Company issued convertible promissory notes (“2022 Convertible Notes”) of approximately $33.3 million to various investors, out of which $12.1 million was issued to five related parties. Additionally, the Company acquired a related party convertible note, on the same terms as the 2022 Convertible Notes as part of the acquisition of Solaria, with a fair value of $6.7 million at the time of the acquisition. The related party debt is presented as convertible notes, net, due to related parties, noncurrent in the accompanying unaudited condensed consolidated balance sheets. The principal amount of the outstanding balance on the 2022 Convertible Notes accrues at 5.0%, compounded annually. For the thirteen and thirty-nine weeks ended October 1, 2023, the Company has recognized less than $0.1 million and $0.4 million, respectively, in interest expense related to the related party 2022 Convertible Promissory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2023, the Company received $3.5 million of prefunded PIPE proceeds from a related party investor in conjunction with the Company’s merger with Freedom Acquisition I Corp (refer to Note 1(a) – Description of Business and Note 4 – Reverse Recapitalization). The $3.5 million investment converted to equity for reclassification of prepaid PIPE, which is reflected in the unaudited condensed consolidated statements of redeemable convertible preferred stock and stockholders’ deficit for the thirteen and thirty-nine weeks ended October 1, 2023.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in connection with the Mergers, in addition to the $3.5 million of related party PIPE proceeds noted above, the Company received additional PIPE proceeds from related parties of $12.1 million, which is reflected in the unaudited condensed consolidated statements of redeemable convertible preferred stock and stockholders’ deficit for the thirteen and thirty-nine weeks ended October 1, 2023.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In July 2023, in connection with the Mergers, the Company issued 120,000 shares to a related party as a transaction bonus. As a result of the issuance, the Company recognized $0.7 million of expense within other income (expense), net in its unaudited condensed consolidated statements of operations and comprehensive income (loss) for the thirteen and thirty-nine weeks ended October 1, 2023.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the Company entered into a series of FPAs as described in Note 5 – Forward Purchase Agreements. In connection with the FPAs, the Company recognized other expense of $30.7 million for each of the thirteen and thirty-nine weeks ended October 1, 2023 in connection with the issuance of 5,670,000 shares of Complete Solaria Common Stock to the related party FPA Sellers. The Company also recognized other income of $0.3 million in connection with the issuance of the FPAs with related parties. As of October 1, 2023, the Company has recognized a liability associated with the FPAs of $5.6 million due to related parties in its unaudited condensed consolidated balance sheets, and the Company has recognized other expense associated with the change in fair value of the FPA liability due to related parties of $5.9 million in its unaudited condensed consolidated statements of operations and comprehensive income (loss) for both the thirteen and thirty-nine weeks ended October 1, 2023.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September 2023, in connection with the Mergers, the Company entered into a settlement and release agreement with a related party for the settlement of a working capital loan made to the Sponsor, prior to the closing of the Mergers. As part of the settlement agreement, the Company agreed to pay the related party $0.5 million as a return of capital, which is paid in ten equal monthly installments and does not accrue interest. During each of the thirteen and thirty-nine weeks ended October 1, 2023, the Company made one payment of $0.1 million. As of October 1, 2023, $0.5 million remains outstanding.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There were no other material related party transactions during the thirteen and thirty-nine weeks ended October 1, 2023 or the three and nine months ended September 30, 2022.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(22) Subsequent Events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preparing the unaudited condensed consolidated financial statements as of and for the thirty-nine weeks ended October 1, 2023, the Company evaluated subsequent events for recognition and measurement purposes through November 14, 2023, which is the date the financial statements were available to be issued. The Company noted no subsequent events through November 14, 2023 that would materially impact the unaudited condensed consolidated financial statements, except for the following: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2023, the Company entered into an Assignment and Acceptance Agreement (“Assignment Agreement”), whereby Structural Capital Investments III, LP assigns the SCI debt to Kline Hill Partners Fund LP, Kline Hill Partners IV SPV LLC, Kline Hill Partners Opportunity IV SPV LLC, and Rodgers Massey Revocable Living Trust for a total purchase price of $5.0 million. The Company has identified this as a related party transaction.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2023, in connection with the Assignment Agreement, the Company also entered into the First Amendment to Warrant to Purchase Stock Agreements with the holders of the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warrants. Pursuant to the terms of the agreement, the warrants to purchase 1,376,414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converted into warrants to purchase 656,630 shares of common stock (the “replacement warrants”). As a result of the warrant amendment, the Company reclassified the replacement warrants from equity to liability. The replacement warrants were remeasured to the fair value on the amendment effective date and the Company will record subsequent changes in fair value in other income (expense), net on the unaudited condensed consolidated statements of operations and comprehensive income (loss). </w:t>
      </w:r>
    </w:p>
    <w:p>
      <w:pPr>
        <w:pStyle w:val="TextBody"/>
        <w:bidi w:val="0"/>
        <w:spacing w:before="120" w:after="283"/>
        <w:jc w:val="left"/>
        <w:rPr>
          <w:rFonts w:ascii="Times New Roman" w:hAnsi="Times New Roman"/>
          <w:sz w:val="20"/>
          <w:shd w:fill="FFFFFF" w:val="clear"/>
        </w:rPr>
      </w:pPr>
      <w:r>
        <w:rPr>
          <w:rFonts w:ascii="Times New Roman" w:hAnsi="Times New Roman"/>
          <w:sz w:val="20"/>
          <w:shd w:fill="FFFFFF" w:val="clear"/>
        </w:rPr>
        <w:t xml:space="preserve">In October 2023, the Company completed the sale of its solar panel business to Maxeon, pursuant to the terms of the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 The Company recorded an impairment charge of $1.7 million related to a decline in the fair value of the Maxeon shares between the end of the fiscal quarter on October 1, 2023 and the disposal date of October 6, 2023. No significant transaction costs were incurred subsequent to the balance sheet date. </w:t>
      </w:r>
    </w:p>
    <w:p>
      <w:pPr>
        <w:pStyle w:val="TextBody"/>
        <w:bidi w:val="0"/>
        <w:spacing w:before="0" w:after="0"/>
        <w:jc w:val="right"/>
        <w:rPr>
          <w:rFonts w:ascii="Times New Roman" w:hAnsi="Times New Roman"/>
          <w:b/>
          <w:sz w:val="20"/>
        </w:rPr>
      </w:pPr>
      <w:bookmarkStart w:id="5" w:name="d474289dex992.htm"/>
      <w:bookmarkStart w:id="6" w:name="ksd474289dex992"/>
      <w:bookmarkEnd w:id="5"/>
      <w:bookmarkEnd w:id="6"/>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bookmarkStart w:id="7" w:name="rom474289_7"/>
      <w:bookmarkEnd w:id="7"/>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our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Complete Solaria was formed in November 2022 through the merger of Complete Solar and Solaria.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its sales partners, making them competitive with national providers. This turnkey solution makes it easy for anyone to sell solar. </w:t>
      </w:r>
    </w:p>
    <w:p>
      <w:pPr>
        <w:pStyle w:val="TextBody"/>
        <w:bidi w:val="0"/>
        <w:spacing w:before="240" w:after="0"/>
        <w:jc w:val="left"/>
        <w:rPr>
          <w:rFonts w:ascii="Times New Roman" w:hAnsi="Times New Roman"/>
          <w:sz w:val="20"/>
        </w:rPr>
      </w:pPr>
      <w:r>
        <w:rPr>
          <w:rFonts w:ascii="Times New Roman" w:hAnsi="Times New Roman"/>
          <w:sz w:val="20"/>
        </w:rPr>
        <w:t xml:space="preserve">We fulfill our customer contracts by engaging with local construction specialists. We manage the customer experience and complete all pre-construction activities prior to delivering build-ready projects including hardware, engineering plans, and building permits to its builder partners. We manage and coordinate this process through our proprietary HelioTrackTM software system. </w:t>
      </w:r>
    </w:p>
    <w:p>
      <w:pPr>
        <w:pStyle w:val="TextBody"/>
        <w:bidi w:val="0"/>
        <w:spacing w:before="240" w:after="0"/>
        <w:jc w:val="left"/>
        <w:rPr>
          <w:rFonts w:ascii="Times New Roman" w:hAnsi="Times New Roman"/>
          <w:sz w:val="20"/>
        </w:rPr>
      </w:pPr>
      <w:r>
        <w:rPr>
          <w:rFonts w:ascii="Times New Roman" w:hAnsi="Times New Roman"/>
          <w:sz w:val="20"/>
        </w:rPr>
        <w:t xml:space="preserve">Effective January 1, 2023, we changed our fiscal quarters to four, thirteen-week periods within a standard calendar year. Each annual reporting period begins on January 1 and ends on December 31. Since the fiscal quarter change was made after the end of fiscal 2022, we will continue to report prior year financial information based on its prior year fiscal calendar. Our financial results for the thirty-nine weeks ended October 1, 2023 are compared to our results for the nine months ended September 30, 2022. The comparison of these two periods is primarily affected by the difference of one day between the first three quarters of fiscal 2023 and the first three quarters of 2022. </w:t>
      </w:r>
    </w:p>
    <w:p>
      <w:pPr>
        <w:pStyle w:val="TextBody"/>
        <w:bidi w:val="0"/>
        <w:spacing w:before="240" w:after="0"/>
        <w:jc w:val="left"/>
        <w:rPr>
          <w:rFonts w:ascii="Times New Roman" w:hAnsi="Times New Roman"/>
          <w:sz w:val="20"/>
        </w:rPr>
      </w:pPr>
      <w:r>
        <w:rPr>
          <w:rFonts w:ascii="Times New Roman" w:hAnsi="Times New Roman"/>
          <w:sz w:val="20"/>
        </w:rPr>
        <w:t xml:space="preserve">There is substantial doubt about the entitys ability to continue as a going concern within one year after the date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relating to its ability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Growth Strategy and Outlook </w:t>
      </w:r>
    </w:p>
    <w:p>
      <w:pPr>
        <w:pStyle w:val="TextBody"/>
        <w:bidi w:val="0"/>
        <w:spacing w:before="120" w:after="0"/>
        <w:jc w:val="left"/>
        <w:rPr>
          <w:rFonts w:ascii="Times New Roman" w:hAnsi="Times New Roman"/>
          <w:sz w:val="20"/>
        </w:rPr>
      </w:pPr>
      <w:r>
        <w:rPr>
          <w:rFonts w:ascii="Times New Roman" w:hAnsi="Times New Roman"/>
          <w:sz w:val="20"/>
        </w:rPr>
        <w:t xml:space="preserve">Complete Solarias growth strategy contains the following elements: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Increase revenue by expanding installation capacity and developing new geographic markets  </w:t>
            </w:r>
            <w:r>
              <w:rPr>
                <w:rFonts w:ascii="Times New Roman" w:hAnsi="Times New Roman"/>
                <w:sz w:val="20"/>
              </w:rPr>
              <w:t xml:space="preserve">We continue to expand our network of partners who will install systems resulting from sales generated by our sales partners. By leveraging this network of skilled builders, we aim to increase our installation capacity in our traditional markets and expand our offering into new geographies throughout the United States. This will enable greater sales growth in existing markets and create new revenue in expansion markets.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Increase revenue and margin by engaging national-scale sales partners</w:t>
            </w:r>
            <w:r>
              <w:rPr>
                <w:rFonts w:ascii="Times New Roman" w:hAnsi="Times New Roman"/>
                <w:sz w:val="20"/>
              </w:rPr>
              <w:t xml:space="preserve">  We aim to offer a turnkey solar solution to prospective sales 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Business Combination </w:t>
      </w:r>
    </w:p>
    <w:p>
      <w:pPr>
        <w:pStyle w:val="TextBody"/>
        <w:bidi w:val="0"/>
        <w:spacing w:before="120" w:after="0"/>
        <w:jc w:val="left"/>
        <w:rPr>
          <w:rFonts w:ascii="Times New Roman" w:hAnsi="Times New Roman"/>
          <w:sz w:val="20"/>
        </w:rPr>
      </w:pPr>
      <w:r>
        <w:rPr>
          <w:rFonts w:ascii="Times New Roman" w:hAnsi="Times New Roman"/>
          <w:sz w:val="20"/>
        </w:rPr>
        <w:t>Complete Solar entered into a Business Combination Agreement with FACT, First Merger Sub, Second Merger Sub, and Solaria on October 3, 2022. The Business Combination was consummated on July 18, 2023. Upon the terms and subject to the conditions of the Business Combination, (i) First Merger Sub merged with and into Complete Solaria with Complete Solaria surviving as a wholly-owned subsidiary of FACT (the </w:t>
      </w:r>
      <w:r>
        <w:rPr>
          <w:rFonts w:ascii="Times New Roman" w:hAnsi="Times New Roman"/>
          <w:b/>
          <w:sz w:val="20"/>
        </w:rPr>
        <w:t>First Merger</w:t>
      </w:r>
      <w:r>
        <w:rPr>
          <w:rFonts w:ascii="Times New Roman" w:hAnsi="Times New Roman"/>
          <w:sz w:val="20"/>
        </w:rPr>
        <w:t>), (ii) immediately thereafter and as part of the same overall transaction, Complete Solaria merged with and into Second Merger Sub, with Second Merger Sub surviving as a wholly-owned subsidiary of FACT (the </w:t>
      </w:r>
      <w:r>
        <w:rPr>
          <w:rFonts w:ascii="Times New Roman" w:hAnsi="Times New Roman"/>
          <w:b/>
          <w:sz w:val="20"/>
        </w:rPr>
        <w:t>Second Merger</w:t>
      </w:r>
      <w:r>
        <w:rPr>
          <w:rFonts w:ascii="Times New Roman" w:hAnsi="Times New Roman"/>
          <w:sz w:val="20"/>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SolarCA LLC (</w:t>
      </w:r>
      <w:r>
        <w:rPr>
          <w:rFonts w:ascii="Times New Roman" w:hAnsi="Times New Roman"/>
          <w:b/>
          <w:sz w:val="20"/>
        </w:rPr>
        <w:t>Third Merger Sub</w:t>
      </w:r>
      <w:r>
        <w:rPr>
          <w:rFonts w:ascii="Times New Roman" w:hAnsi="Times New Roman"/>
          <w:sz w:val="20"/>
        </w:rPr>
        <w:t>), with Third Merger Sub surviving as a wholly-owned subsidiary of FACT (the </w:t>
      </w:r>
      <w:r>
        <w:rPr>
          <w:rFonts w:ascii="Times New Roman" w:hAnsi="Times New Roman"/>
          <w:b/>
          <w:sz w:val="20"/>
        </w:rPr>
        <w:t>Additional Merger</w:t>
      </w:r>
      <w:r>
        <w:rPr>
          <w:rFonts w:ascii="Times New Roman" w:hAnsi="Times New Roman"/>
          <w:sz w:val="20"/>
        </w:rPr>
        <w:t>, and together with the First Merger and the Second Merger, the </w:t>
      </w:r>
      <w:r>
        <w:rPr>
          <w:rFonts w:ascii="Times New Roman" w:hAnsi="Times New Roman"/>
          <w:b/>
          <w:sz w:val="20"/>
        </w:rPr>
        <w:t>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merger between Complete Solaria and FACT has been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have been treated as the equivalent of a capital transaction in which Complete Solaria is issuing stock for the net assets of FACT. The net assets of FACT have been stated at historical cost, with no goodwill or other intangible assets recorded. </w:t>
      </w:r>
    </w:p>
    <w:p>
      <w:pPr>
        <w:pStyle w:val="TextBody"/>
        <w:bidi w:val="0"/>
        <w:spacing w:before="360" w:after="0"/>
        <w:jc w:val="left"/>
        <w:rPr>
          <w:rFonts w:ascii="Times New Roman" w:hAnsi="Times New Roman"/>
          <w:b/>
          <w:sz w:val="20"/>
        </w:rPr>
      </w:pPr>
      <w:r>
        <w:rPr>
          <w:rFonts w:ascii="Times New Roman" w:hAnsi="Times New Roman"/>
          <w:b/>
          <w:sz w:val="20"/>
        </w:rPr>
        <w:t xml:space="preserve">Disposal Transaction </w:t>
      </w:r>
    </w:p>
    <w:p>
      <w:pPr>
        <w:pStyle w:val="TextBody"/>
        <w:bidi w:val="0"/>
        <w:spacing w:before="120" w:after="0"/>
        <w:jc w:val="left"/>
        <w:rPr>
          <w:rFonts w:ascii="Times New Roman" w:hAnsi="Times New Roman"/>
          <w:sz w:val="20"/>
        </w:rPr>
      </w:pPr>
      <w:r>
        <w:rPr>
          <w:rFonts w:ascii="Times New Roman" w:hAnsi="Times New Roman"/>
          <w:sz w:val="20"/>
        </w:rPr>
        <w:t>On August 18, 2023, we entered into a Non-Binding Letter of Intent to sell certain of our North American solar panel assets, inclusive of certain intellectual property and customer contracts, to Maxeon Solar Technologies, Ltd. (</w:t>
      </w:r>
      <w:r>
        <w:rPr>
          <w:rFonts w:ascii="Times New Roman" w:hAnsi="Times New Roman"/>
          <w:b/>
          <w:sz w:val="20"/>
        </w:rPr>
        <w:t>Maxeon</w:t>
      </w:r>
      <w:r>
        <w:rPr>
          <w:rFonts w:ascii="Times New Roman" w:hAnsi="Times New Roman"/>
          <w:sz w:val="20"/>
        </w:rPr>
        <w:t>). Subsequent to the execution of the Non-Binding Letter of Intent, on September 20, 2023, we entered into an asset purchase agreement (the </w:t>
      </w:r>
      <w:r>
        <w:rPr>
          <w:rFonts w:ascii="Times New Roman" w:hAnsi="Times New Roman"/>
          <w:b/>
          <w:sz w:val="20"/>
        </w:rPr>
        <w:t>Disposal Agreement</w:t>
      </w:r>
      <w:r>
        <w:rPr>
          <w:rFonts w:ascii="Times New Roman" w:hAnsi="Times New Roman"/>
          <w:sz w:val="20"/>
        </w:rPr>
        <w:t>) for the sale of certain assets to Maxeon. The Disposal Agreement also includes a supply agreement for Maxeon to supply its premium, high-performance, high-efficiency solar panels to Complete Solaria. The transaction closed on October 6, 2023. Under the terms of the Disposal Agreement, Maxeon agreed to acquire the identified assets and certain employees of Complete Solaria for an aggregate purchase price consisting of 1,100,000 Maxeon Common Shares (the </w:t>
      </w:r>
      <w:r>
        <w:rPr>
          <w:rFonts w:ascii="Times New Roman" w:hAnsi="Times New Roman"/>
          <w:b/>
          <w:sz w:val="20"/>
        </w:rPr>
        <w:t>Disposal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Disposal Transaction, we determined that the criteria were met for held for sale and discontinued operations classification as of the end of our third fiscal quarter as the divestiture represents a strategic shift in our business. We recorded an impairment of $147.5 million associated with the recording of the assets as held for sale during the thirty-nine weeks ended October 1, 2023 and loss on disposal of $1.8 million during the fourth quarter. </w:t>
      </w:r>
    </w:p>
    <w:p>
      <w:pPr>
        <w:pStyle w:val="TextBody"/>
        <w:bidi w:val="0"/>
        <w:spacing w:before="240" w:after="0"/>
        <w:jc w:val="left"/>
        <w:rPr>
          <w:rFonts w:ascii="Times New Roman" w:hAnsi="Times New Roman"/>
          <w:sz w:val="20"/>
        </w:rPr>
      </w:pPr>
      <w:r>
        <w:rPr>
          <w:rFonts w:ascii="Times New Roman" w:hAnsi="Times New Roman"/>
          <w:sz w:val="20"/>
        </w:rPr>
        <w:t xml:space="preserve">Below, we have discussed our historical results of continuing operations, which excludes our product revenues and related metrics, as all results of operations associated with the solar panel business have been presented as discontinued operations, unless otherwise noted.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Key Financial Definitions/Components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by providing customer solar solutions through a standardized platform to our residential solar providers and companies to facilitate the sale and installation of solar energy systems. Our contracts consist of two performance obligations, which include solar installation services and post-installation services that are performed prior to inspection by the authority having jurisdiction. The significant majority of our revenue is recognized at a point in time upon the completion of the installation and the remainder is recognized upon inspection. Revenue is recognized net of a reserve for the performance guarantee of solar output. </w:t>
      </w:r>
    </w:p>
    <w:p>
      <w:pPr>
        <w:pStyle w:val="TextBody"/>
        <w:bidi w:val="0"/>
        <w:spacing w:before="240" w:after="0"/>
        <w:jc w:val="left"/>
        <w:rPr>
          <w:rFonts w:ascii="Times New Roman" w:hAnsi="Times New Roman"/>
          <w:sz w:val="20"/>
        </w:rPr>
      </w:pPr>
      <w:r>
        <w:rPr>
          <w:rFonts w:ascii="Times New Roman" w:hAnsi="Times New Roman"/>
          <w:sz w:val="20"/>
        </w:rPr>
        <w:t xml:space="preserve">We enter into three types of customer contracts for solar energy installations. The majority of our revenue is recognized through contracts where the homeowner enters into a power purchase agreement with our distribution partner. We perform the solar energy installation services on behalf of our distribution partner, who owns the solar energy system upon installation. Additionally, we enter into a Solar Purchase and Installation Agreement directly with homeowners, whereby the homeowner either pays cash or obtains financing through a third-party loan partner. In cash contracts with homeowners, we recognize revenue based on the price we charge to the homeowner. We record revenue in the amount received from the financing partner, net of any financing fees charged to the homeowner, which we consider to be a customer incentive.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revenue, we also enter into contracts to provide our software enhanced service offerings, including design and proposal services, to customers that include solar installers and solar sales organizations. We perform these leveraging our HelioQuoteTM platform and other software tools to create computer aided drawings, structural letters, and electrical reviews for installers and proposals for installers. We charge a fixed fee per service offering, which we recognize in the period the service is performed.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revenues consists primarily of the cost of solar energy systems, and installation and other subcontracting costs. Cost of revenue also includes associated warranty costs, shipping and handling, allocated overhead costs, depreciation, and amortization of internally developed software.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Commissions </w:t>
      </w:r>
    </w:p>
    <w:p>
      <w:pPr>
        <w:pStyle w:val="TextBody"/>
        <w:bidi w:val="0"/>
        <w:spacing w:before="120" w:after="0"/>
        <w:jc w:val="left"/>
        <w:rPr>
          <w:rFonts w:ascii="Times New Roman" w:hAnsi="Times New Roman"/>
          <w:sz w:val="20"/>
        </w:rPr>
      </w:pPr>
      <w:r>
        <w:rPr>
          <w:rFonts w:ascii="Times New Roman" w:hAnsi="Times New Roman"/>
          <w:sz w:val="20"/>
        </w:rPr>
        <w:t xml:space="preserve">Sales commissions are direct and incremental costs of obtaining customer contracts. These costs are paid to third-party vendors who source residential customer contracts for the sale of solar energy systems.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Sales and marketing expenses primarily consist of personnel related costs, including salaries and employee benefits, stock-based compensation, and other promotional and advertising expenses. We expense certain sales and marketing, including promotional expenses,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 and related expenses for our employees, in our finance, research, engineering and administrative teams including salaries, bonuses, payroll taxes, and stock-based compensation. It also consists of legal, consulting, and professional fees, rent expenses pertaining to our offices, business insurance costs and other costs. We expect an increase in audit, tax, accounting, legal and other costs related to compliance with applicable securities and other regulations, as well as additional insurance, investor relations, and other costs associated with being a public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primarily relates to interest expense on the issuance of debt and convertible notes and the amortization of debt issuance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consists of changes in the fair value of our convertible notes, the impact of debt extinguishment, and changes in the fair value of stock warrant liabilities and forward purchase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primarily consists of income taxes in certain foreign and state jurisdictions in which we conduct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Supply Chain Constraints and Risk </w:t>
      </w:r>
    </w:p>
    <w:p>
      <w:pPr>
        <w:pStyle w:val="TextBody"/>
        <w:bidi w:val="0"/>
        <w:spacing w:before="120" w:after="0"/>
        <w:jc w:val="left"/>
        <w:rPr>
          <w:rFonts w:ascii="Times New Roman" w:hAnsi="Times New Roman"/>
          <w:sz w:val="20"/>
        </w:rPr>
      </w:pPr>
      <w:r>
        <w:rPr>
          <w:rFonts w:ascii="Times New Roman" w:hAnsi="Times New Roman"/>
          <w:sz w:val="20"/>
        </w:rPr>
        <w:t xml:space="preserve">We rely on a small number of suppliers of solar energy systems and other equipment. If any of our suppliers was unable or unwilling to provide us with contracted quantities in a timely manner at prices, quality levels and volumes acceptable to us, we would have very limited alternatives for supply, and we may not be able find suitable replacements for our customers, or at all. Such an event could materially adversely affect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In an effort to mitigate unpredictable lead times, we experienced substantial build up in inventory on hand commencing in early 2022 in response to global supply chain constraints. In certain cases, this has caused delays in critical equipment and inventory, longer lead times, and has resulted in cost volatility. These shortages and delays can be attributed in part to the COVID-19 pandemic and resulting government action, as well as broader macroeconomic conditions and have been exacerbated by the ongoing conflicts in Ukraine and Israel. While we believe that a majority of our suppliers have secured sufficient supply to permit them to continue delivery and installations through the end of 2023, if these shortages and delays persist into 2024, they could adversely affect the timing of when battery energy storage systems can be delivered and installed, and when (or if) we can begin to generate revenue from those systems. If any of our suppliers of solar modules experienced disruptions in the supply of the modules component parts, for example semiconductor solar wafers or investors,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cost of the materials and wage rates, these additional costs have been offset by the related rise in electricity rates. </w:t>
      </w:r>
    </w:p>
    <w:p>
      <w:pPr>
        <w:pStyle w:val="TextBody"/>
        <w:bidi w:val="0"/>
        <w:spacing w:before="240" w:after="0"/>
        <w:jc w:val="left"/>
        <w:rPr>
          <w:rFonts w:ascii="Times New Roman" w:hAnsi="Times New Roman"/>
          <w:sz w:val="20"/>
        </w:rPr>
      </w:pPr>
      <w:r>
        <w:rPr>
          <w:rFonts w:ascii="Times New Roman" w:hAnsi="Times New Roman"/>
          <w:sz w:val="20"/>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 For additional information on risk factors that could impact our results, please refer to </w:t>
      </w:r>
      <w:r>
        <w:rPr>
          <w:rFonts w:ascii="Times New Roman" w:hAnsi="Times New Roman"/>
          <w:i/>
          <w:sz w:val="20"/>
        </w:rPr>
        <w:t>Risk Factors</w:t>
      </w:r>
      <w:r>
        <w:rPr>
          <w:rFonts w:ascii="Times New Roman" w:hAnsi="Times New Roman"/>
          <w:sz w:val="20"/>
        </w:rPr>
        <w:t xml:space="preserve"> located elsewhere in this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Our discussion and analysis of our financial condition and results of operations are based upon our financial statements, which have been prepared in accordance with generally accepted accounting principles in the United States (</w:t>
      </w:r>
      <w:r>
        <w:rPr>
          <w:rFonts w:ascii="Times New Roman" w:hAnsi="Times New Roman"/>
          <w:b/>
          <w:sz w:val="20"/>
        </w:rPr>
        <w:t>GAAP</w:t>
      </w:r>
      <w:r>
        <w:rPr>
          <w:rFonts w:ascii="Times New Roman" w:hAnsi="Times New Roman"/>
          <w:sz w:val="20"/>
        </w:rPr>
        <w:t xml:space="preserve">).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Summary of Significant Accounting Policies, to our consolidated financial statements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policies associated with our revenue recognition, product warranties, inventory excess and obsolescence and stock-based compensation have the greatest impact on our consolidated financial statements. Therefore, we consider these to be our critical accounting policies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recognize revenue when control of goods or services is transferred to customers, in an amount that reflects the consideration we expect to be entitled to in exchange for those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Revenue  Solar Energy System Installations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our revenue is generated from the installation of solar energy systems. We identify two performance obligations, which include installation services and post-installation services, and we recognize revenue when control transfers to the customer, upon the completion of the installation and upon the solar energy system passes inspection by the authority having jurisdiction, respectively. We apply judgment in allocating the transaction price between the installation and post-installation performance obligations, based on the estimated costs to perform our services. Changes in such estimates could have a material impact on the timing of our revenue recognition. </w:t>
      </w:r>
    </w:p>
    <w:p>
      <w:pPr>
        <w:pStyle w:val="TextBody"/>
        <w:bidi w:val="0"/>
        <w:spacing w:before="240" w:after="0"/>
        <w:jc w:val="left"/>
        <w:rPr>
          <w:rFonts w:ascii="Times New Roman" w:hAnsi="Times New Roman"/>
          <w:sz w:val="20"/>
        </w:rPr>
      </w:pPr>
      <w:r>
        <w:rPr>
          <w:rFonts w:ascii="Times New Roman" w:hAnsi="Times New Roman"/>
          <w:sz w:val="20"/>
        </w:rPr>
        <w:t xml:space="preserve">Our contracts with customers generally contain a performance guarantee of system output, and we will issue payments to customers if output falls below contractually stated thresholds over the performance guarantee period, which is typically 10 years. We apply judgment in estimating the reduction in revenue associated with the performance guarantee, which is historically not material. However, due to the long-term nature of the guarantee, changes in future estimates could have a material impact on the estimate of our revenue reserve. </w:t>
      </w:r>
    </w:p>
    <w:p>
      <w:pPr>
        <w:pStyle w:val="TextBody"/>
        <w:bidi w:val="0"/>
        <w:spacing w:before="360" w:after="0"/>
        <w:jc w:val="left"/>
        <w:rPr>
          <w:rFonts w:ascii="Times New Roman" w:hAnsi="Times New Roman"/>
          <w:sz w:val="20"/>
        </w:rPr>
      </w:pPr>
      <w:r>
        <w:rPr>
          <w:rFonts w:ascii="Times New Roman" w:hAnsi="Times New Roman"/>
          <w:i/>
          <w:sz w:val="20"/>
        </w:rPr>
        <w:t>Revenue  Software Enhanced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recognize revenue from software enhanced services, which include proposals generated from our HelioQuoteTM platform and design services performed using internally developed and external software applications. We contract with solar installers to generate proposals and we contract with solar sales entities to perform design services for their potential customers. Under each type of customer contract, we generate a fixed number of proposals or designs for the customer in the month the services are contracted. Contracts with customers are enforceable on a month-to-month basis and we recognize revenue each month based on the volume of services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Product Warranties </w:t>
      </w:r>
    </w:p>
    <w:p>
      <w:pPr>
        <w:pStyle w:val="TextBody"/>
        <w:bidi w:val="0"/>
        <w:spacing w:before="120" w:after="0"/>
        <w:jc w:val="left"/>
        <w:rPr>
          <w:rFonts w:ascii="Times New Roman" w:hAnsi="Times New Roman"/>
          <w:sz w:val="20"/>
        </w:rPr>
      </w:pPr>
      <w:r>
        <w:rPr>
          <w:rFonts w:ascii="Times New Roman" w:hAnsi="Times New Roman"/>
          <w:sz w:val="20"/>
        </w:rPr>
        <w:t xml:space="preserve">We typically provide a 10-year, warranty on our solar energy system installations, which provides assurance over the workmanship in performing the installation, including roof leaks caused by our performance. For solar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panel sales, recognized prior to the Disposal Transaction we provide a 30-year warranty that the products will be free from defects in material and workmanship. We record a liability for estimated future warranty claims based on historical trends and new installations. To the extent that warranty claim behavior differs from historical trends, we may experience a material change in our warranty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Inventory Excess and Obsolescence </w:t>
      </w:r>
    </w:p>
    <w:p>
      <w:pPr>
        <w:pStyle w:val="TextBody"/>
        <w:bidi w:val="0"/>
        <w:spacing w:before="120" w:after="0"/>
        <w:jc w:val="left"/>
        <w:rPr>
          <w:rFonts w:ascii="Times New Roman" w:hAnsi="Times New Roman"/>
          <w:sz w:val="20"/>
        </w:rPr>
      </w:pPr>
      <w:r>
        <w:rPr>
          <w:rFonts w:ascii="Times New Roman" w:hAnsi="Times New Roman"/>
          <w:sz w:val="20"/>
        </w:rPr>
        <w:t xml:space="preserve">Our inventory consists of completed solar energy systems and related components, which we classify as finished goods. We record a reserve for inventory which is considered obsolete or in excess of anticipated demand based on a consideration of marketability and product life cycle stage, component cost trends, demand forecasts, historical revenues, and assumptions about future demand and market conditions. We apply judgment in estimating the excess and obsolete inventory, and changes in demand for our inventory components could have a material impact on our inventory reserve balance.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recognize stock-based compensation expense over the requisite service period on a straight-line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 For accounting purposes, we estimate grant-date fair value of stock options using the Black-Scholes option pricing model. The Black-Scholes option pricing model requires the input of highly subjective assumptions, including the fair value of the underlying common stock prior to the Business Combination, the expected term of the option the expected volatility of the price of our common stock and expected dividend yield. We determine these inputs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Expected Term</w:t>
            </w:r>
            <w:r>
              <w:rPr>
                <w:rFonts w:ascii="Times New Roman" w:hAnsi="Times New Roman"/>
                <w:sz w:val="20"/>
              </w:rPr>
              <w:t xml:space="preserve"> - Expected term represents the period that our stock-based awards are expected to be outstanding and is determined using the simplified method.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 - Expected volatility is estimated by studying the volatility of comparable public companies for similar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Expected Dividend</w:t>
            </w:r>
            <w:r>
              <w:rPr>
                <w:rFonts w:ascii="Times New Roman" w:hAnsi="Times New Roman"/>
                <w:sz w:val="20"/>
              </w:rPr>
              <w:t xml:space="preserve"> -The Black-Scholes valuation model calls for a single expected dividend yield as an input. We have never paid dividends and have no plans to pay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 - We derive the risk-free interest rate assumption from the U.S. Treasurys rates for the U.S. Treasury zero-coupon bonds with maturities similar to those of the expected term of the awards being valued.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Forfeitures</w:t>
            </w:r>
            <w:r>
              <w:rPr>
                <w:rFonts w:ascii="Times New Roman" w:hAnsi="Times New Roman"/>
                <w:sz w:val="20"/>
              </w:rPr>
              <w:t xml:space="preserve"> - We recognize forfeitures as they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assumptions used in the Black-Scholes option pricing model change significantly, stock-based compensation for future awards may differ materially compared to the awards granted previously. For the thirty-nine weeks ended October 1, 2023, stock-based compensation expense was $4.2 million, of which $1.8 million, related to discontinued operations. As of October 1, 2023, we had approximately $16.6 million of total unrecognized stock-based compensation expense related to stock options.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recently issued accounting standards applicable to Complete Solaria is described in Note 2, Summary of Significant Accounting Policies in the Notes to Financial Statements and Note 2, Summary of Significant Accounting Policies in the Notes to Unaudited Condensed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Thirteen weeks ended October 1, 2023 compared to three months ended September 30,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unaudited statements of operations data for the thirteen weeks ended October 1, 2023 and the three months ended September 30, 2022, respectively. We have derived this data from our unaudited condensed consolidated financial statements included elsewhere in this prospectus. This information should be read in conjunction with our unaudited condensed consolidated financial statements and related notes included elsewhere in this prospectus. The results of historical periods are not necessarily indicative of the results of operations for any future period.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90"/>
        <w:gridCol w:w="246"/>
        <w:gridCol w:w="197"/>
        <w:gridCol w:w="1260"/>
        <w:gridCol w:w="275"/>
        <w:gridCol w:w="167"/>
        <w:gridCol w:w="251"/>
        <w:gridCol w:w="1252"/>
        <w:gridCol w:w="275"/>
        <w:gridCol w:w="167"/>
        <w:gridCol w:w="140"/>
        <w:gridCol w:w="875"/>
        <w:gridCol w:w="155"/>
        <w:gridCol w:w="224"/>
        <w:gridCol w:w="152"/>
        <w:gridCol w:w="981"/>
        <w:gridCol w:w="281"/>
      </w:tblGrid>
      <w:tr>
        <w:trPr/>
        <w:tc>
          <w:tcPr>
            <w:tcW w:w="249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4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246" w:type="dxa"/>
            <w:tcBorders/>
            <w:vAlign w:val="bottom"/>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bottom"/>
          </w:tcPr>
          <w:p>
            <w:pPr>
              <w:pStyle w:val="TableContents"/>
              <w:bidi w:val="0"/>
              <w:spacing w:before="0" w:after="283"/>
              <w:jc w:val="center"/>
              <w:rPr/>
            </w:pPr>
            <w:r>
              <w:rPr>
                <w:b/>
              </w:rPr>
              <w:t>Thirteen</w:t>
              <w:br/>
              <w:t>Weeks Ended</w:t>
            </w:r>
            <w:r>
              <w:rPr/>
              <w:br/>
            </w:r>
            <w:r>
              <w:rPr>
                <w:b/>
              </w:rPr>
              <w:t>October 1,</w:t>
              <w:br/>
              <w:t>2023</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September 30,</w:t>
              <w:br/>
              <w:t>2022</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1" w:type="dxa"/>
            <w:tcBorders/>
            <w:vAlign w:val="bottom"/>
          </w:tcPr>
          <w:p>
            <w:pPr>
              <w:pStyle w:val="TableContents"/>
              <w:bidi w:val="0"/>
              <w:spacing w:before="0" w:after="283"/>
              <w:jc w:val="left"/>
              <w:rPr/>
            </w:pPr>
            <w:r>
              <w:rPr/>
              <w:t> </w:t>
            </w:r>
          </w:p>
        </w:tc>
      </w:tr>
      <w:tr>
        <w:trPr/>
        <w:tc>
          <w:tcPr>
            <w:tcW w:w="2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4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24,590</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12,260</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12,330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101</w:t>
            </w:r>
          </w:p>
        </w:tc>
        <w:tc>
          <w:tcPr>
            <w:tcW w:w="281" w:type="dxa"/>
            <w:tcBorders/>
            <w:shd w:fill="CCEEFF" w:val="clear"/>
            <w:vAlign w:val="bottom"/>
          </w:tcPr>
          <w:p>
            <w:pPr>
              <w:pStyle w:val="TableContents"/>
              <w:bidi w:val="0"/>
              <w:spacing w:before="0" w:after="283"/>
              <w:jc w:val="left"/>
              <w:rPr/>
            </w:pPr>
            <w:r>
              <w:rPr/>
              <w:t>% </w:t>
            </w:r>
          </w:p>
        </w:tc>
      </w:tr>
      <w:tr>
        <w:trPr/>
        <w:tc>
          <w:tcPr>
            <w:tcW w:w="249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revenues(1)</w:t>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18,354</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8,266</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10,088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122</w:t>
            </w:r>
          </w:p>
        </w:tc>
        <w:tc>
          <w:tcPr>
            <w:tcW w:w="281" w:type="dxa"/>
            <w:tcBorders/>
            <w:vAlign w:val="bottom"/>
          </w:tcPr>
          <w:p>
            <w:pPr>
              <w:pStyle w:val="TableContents"/>
              <w:bidi w:val="0"/>
              <w:spacing w:before="0" w:after="283"/>
              <w:jc w:val="left"/>
              <w:rPr/>
            </w:pPr>
            <w:r>
              <w:rPr/>
              <w:t>% </w:t>
            </w:r>
          </w:p>
        </w:tc>
      </w:tr>
      <w:tr>
        <w:trPr/>
        <w:tc>
          <w:tcPr>
            <w:tcW w:w="24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4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6,236</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3,994</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2,242</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56</w:t>
            </w:r>
          </w:p>
        </w:tc>
        <w:tc>
          <w:tcPr>
            <w:tcW w:w="281" w:type="dxa"/>
            <w:tcBorders/>
            <w:shd w:fill="CCEEFF" w:val="clear"/>
            <w:vAlign w:val="bottom"/>
          </w:tcPr>
          <w:p>
            <w:pPr>
              <w:pStyle w:val="TableContents"/>
              <w:bidi w:val="0"/>
              <w:spacing w:before="0" w:after="283"/>
              <w:jc w:val="left"/>
              <w:rPr/>
            </w:pPr>
            <w:r>
              <w:rPr/>
              <w:t>% </w:t>
            </w:r>
          </w:p>
        </w:tc>
      </w:tr>
      <w:tr>
        <w:trPr/>
        <w:tc>
          <w:tcPr>
            <w:tcW w:w="2490"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 %</w:t>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33</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2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4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25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2490" w:type="dxa"/>
            <w:tcBorders/>
          </w:tcPr>
          <w:p>
            <w:pPr>
              <w:pStyle w:val="TableContents"/>
              <w:bidi w:val="0"/>
              <w:spacing w:before="0" w:after="0"/>
              <w:jc w:val="left"/>
              <w:rPr>
                <w:rFonts w:ascii="Times New Roman" w:hAnsi="Times New Roman"/>
                <w:sz w:val="20"/>
              </w:rPr>
            </w:pPr>
            <w:r>
              <w:rPr>
                <w:rFonts w:ascii="Times New Roman" w:hAnsi="Times New Roman"/>
                <w:sz w:val="20"/>
              </w:rPr>
              <w:t>Sales commissions</w:t>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8,755</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3,572</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5,183</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145</w:t>
            </w:r>
          </w:p>
        </w:tc>
        <w:tc>
          <w:tcPr>
            <w:tcW w:w="281" w:type="dxa"/>
            <w:tcBorders/>
            <w:vAlign w:val="bottom"/>
          </w:tcPr>
          <w:p>
            <w:pPr>
              <w:pStyle w:val="TableContents"/>
              <w:bidi w:val="0"/>
              <w:spacing w:before="0" w:after="283"/>
              <w:jc w:val="left"/>
              <w:rPr/>
            </w:pPr>
            <w:r>
              <w:rPr/>
              <w:t>% </w:t>
            </w:r>
          </w:p>
        </w:tc>
      </w:tr>
      <w:tr>
        <w:trPr/>
        <w:tc>
          <w:tcPr>
            <w:tcW w:w="2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marketing(1)</w:t>
            </w:r>
          </w:p>
        </w:tc>
        <w:tc>
          <w:tcPr>
            <w:tcW w:w="24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2,214</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1,604</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38</w:t>
            </w:r>
          </w:p>
        </w:tc>
        <w:tc>
          <w:tcPr>
            <w:tcW w:w="281" w:type="dxa"/>
            <w:tcBorders/>
            <w:shd w:fill="CCEEFF" w:val="clear"/>
            <w:vAlign w:val="bottom"/>
          </w:tcPr>
          <w:p>
            <w:pPr>
              <w:pStyle w:val="TableContents"/>
              <w:bidi w:val="0"/>
              <w:spacing w:before="0" w:after="283"/>
              <w:jc w:val="left"/>
              <w:rPr/>
            </w:pPr>
            <w:r>
              <w:rPr/>
              <w:t>% </w:t>
            </w:r>
          </w:p>
        </w:tc>
      </w:tr>
      <w:tr>
        <w:trPr/>
        <w:tc>
          <w:tcPr>
            <w:tcW w:w="249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administrative(1)</w:t>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6,345</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2,027</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4,318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213</w:t>
            </w:r>
          </w:p>
        </w:tc>
        <w:tc>
          <w:tcPr>
            <w:tcW w:w="281" w:type="dxa"/>
            <w:tcBorders/>
            <w:vAlign w:val="bottom"/>
          </w:tcPr>
          <w:p>
            <w:pPr>
              <w:pStyle w:val="TableContents"/>
              <w:bidi w:val="0"/>
              <w:spacing w:before="0" w:after="283"/>
              <w:jc w:val="left"/>
              <w:rPr/>
            </w:pPr>
            <w:r>
              <w:rPr/>
              <w:t>% </w:t>
            </w:r>
          </w:p>
        </w:tc>
      </w:tr>
      <w:tr>
        <w:trPr/>
        <w:tc>
          <w:tcPr>
            <w:tcW w:w="24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4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17,314</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7,203</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10,111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140</w:t>
            </w:r>
          </w:p>
        </w:tc>
        <w:tc>
          <w:tcPr>
            <w:tcW w:w="281" w:type="dxa"/>
            <w:tcBorders/>
            <w:shd w:fill="CCEEFF" w:val="clear"/>
            <w:vAlign w:val="bottom"/>
          </w:tcPr>
          <w:p>
            <w:pPr>
              <w:pStyle w:val="TableContents"/>
              <w:bidi w:val="0"/>
              <w:spacing w:before="0" w:after="283"/>
              <w:jc w:val="left"/>
              <w:rPr/>
            </w:pPr>
            <w:r>
              <w:rPr/>
              <w:t>% </w:t>
            </w:r>
          </w:p>
        </w:tc>
      </w:tr>
      <w:tr>
        <w:trPr/>
        <w:tc>
          <w:tcPr>
            <w:tcW w:w="24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490"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(11,078</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(3,209</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(7,869</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245</w:t>
            </w:r>
          </w:p>
        </w:tc>
        <w:tc>
          <w:tcPr>
            <w:tcW w:w="281" w:type="dxa"/>
            <w:tcBorders/>
            <w:vAlign w:val="bottom"/>
          </w:tcPr>
          <w:p>
            <w:pPr>
              <w:pStyle w:val="TableContents"/>
              <w:bidi w:val="0"/>
              <w:spacing w:before="0" w:after="283"/>
              <w:jc w:val="left"/>
              <w:rPr/>
            </w:pPr>
            <w:r>
              <w:rPr/>
              <w:t>% </w:t>
            </w:r>
          </w:p>
        </w:tc>
      </w:tr>
      <w:tr>
        <w:trPr/>
        <w:tc>
          <w:tcPr>
            <w:tcW w:w="2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expense(2)</w:t>
            </w:r>
          </w:p>
        </w:tc>
        <w:tc>
          <w:tcPr>
            <w:tcW w:w="24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(1,902</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(941</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(961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102</w:t>
            </w:r>
          </w:p>
        </w:tc>
        <w:tc>
          <w:tcPr>
            <w:tcW w:w="281" w:type="dxa"/>
            <w:tcBorders/>
            <w:shd w:fill="CCEEFF" w:val="clear"/>
            <w:vAlign w:val="bottom"/>
          </w:tcPr>
          <w:p>
            <w:pPr>
              <w:pStyle w:val="TableContents"/>
              <w:bidi w:val="0"/>
              <w:spacing w:before="0" w:after="283"/>
              <w:jc w:val="left"/>
              <w:rPr/>
            </w:pPr>
            <w:r>
              <w:rPr/>
              <w:t>% </w:t>
            </w:r>
          </w:p>
        </w:tc>
      </w:tr>
      <w:tr>
        <w:trPr/>
        <w:tc>
          <w:tcPr>
            <w:tcW w:w="249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2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net(3)</w:t>
            </w:r>
          </w:p>
        </w:tc>
        <w:tc>
          <w:tcPr>
            <w:tcW w:w="24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(38,003</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(38,007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24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490" w:type="dxa"/>
            <w:tcBorders/>
          </w:tcPr>
          <w:p>
            <w:pPr>
              <w:pStyle w:val="TableContents"/>
              <w:bidi w:val="0"/>
              <w:spacing w:before="0" w:after="0"/>
              <w:jc w:val="left"/>
              <w:rPr>
                <w:rFonts w:ascii="Times New Roman" w:hAnsi="Times New Roman"/>
                <w:sz w:val="20"/>
              </w:rPr>
            </w:pPr>
            <w:r>
              <w:rPr>
                <w:rFonts w:ascii="Times New Roman" w:hAnsi="Times New Roman"/>
                <w:sz w:val="20"/>
              </w:rPr>
              <w:t>Loss from continuing operations before taxes</w:t>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(50,974</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(4,146</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(46,828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2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(provision)</w:t>
            </w:r>
          </w:p>
        </w:tc>
        <w:tc>
          <w:tcPr>
            <w:tcW w:w="24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24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490"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(50,973</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(4,146</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(46,827</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2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discontinued operations, net of tax</w:t>
            </w:r>
          </w:p>
        </w:tc>
        <w:tc>
          <w:tcPr>
            <w:tcW w:w="24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(155,909</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(155,909</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24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49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(206,882</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(4,146</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(202,736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24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change not meaningful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stock-based compensation expense as follows (in thousands):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22"/>
        <w:gridCol w:w="484"/>
        <w:gridCol w:w="328"/>
        <w:gridCol w:w="1313"/>
        <w:gridCol w:w="60"/>
        <w:gridCol w:w="484"/>
        <w:gridCol w:w="523"/>
        <w:gridCol w:w="977"/>
        <w:gridCol w:w="64"/>
      </w:tblGrid>
      <w:tr>
        <w:trPr/>
        <w:tc>
          <w:tcPr>
            <w:tcW w:w="3522"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22"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6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Thirteen Weeks</w:t>
              <w:br/>
              <w:t>Ended</w:t>
              <w:br/>
              <w:t>October 1,</w:t>
              <w:br/>
              <w:t>2023</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September 30,</w:t>
              <w:br/>
              <w:t>2022</w:t>
            </w:r>
          </w:p>
        </w:tc>
        <w:tc>
          <w:tcPr>
            <w:tcW w:w="64"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48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1313"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1</w:t>
            </w:r>
          </w:p>
        </w:tc>
        <w:tc>
          <w:tcPr>
            <w:tcW w:w="64"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48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8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1,416</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47</w:t>
            </w:r>
          </w:p>
        </w:tc>
        <w:tc>
          <w:tcPr>
            <w:tcW w:w="64" w:type="dxa"/>
            <w:tcBorders/>
            <w:shd w:fill="CCEEFF" w:val="clear"/>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523"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48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1,579</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523"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interest expense to related party of $0.1 million and zero during the thirteen weeks ended October 1, 2023 and the three months ended September 30, 2022, respectively.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other income (expense), net from related parties of $36.9 million and zero during the thirteen weeks ended October 1, 2023 and the three months ended September 30, 2022, respectively.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We disaggregate our revenues based on the following types of services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76"/>
        <w:gridCol w:w="279"/>
        <w:gridCol w:w="244"/>
        <w:gridCol w:w="1213"/>
        <w:gridCol w:w="60"/>
        <w:gridCol w:w="279"/>
        <w:gridCol w:w="251"/>
        <w:gridCol w:w="1247"/>
        <w:gridCol w:w="60"/>
        <w:gridCol w:w="279"/>
        <w:gridCol w:w="140"/>
        <w:gridCol w:w="684"/>
        <w:gridCol w:w="155"/>
        <w:gridCol w:w="245"/>
        <w:gridCol w:w="111"/>
        <w:gridCol w:w="707"/>
        <w:gridCol w:w="358"/>
      </w:tblGrid>
      <w:tr>
        <w:trPr/>
        <w:tc>
          <w:tcPr>
            <w:tcW w:w="3076"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Thirteen</w:t>
              <w:br/>
              <w:t>Weeks Ended</w:t>
              <w:br/>
              <w:t>October 1,</w:t>
              <w:br/>
              <w:t>2023</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September 30,</w:t>
              <w:br/>
              <w:t>2022</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8" w:type="dxa"/>
            <w:tcBorders/>
            <w:vAlign w:val="bottom"/>
          </w:tcPr>
          <w:p>
            <w:pPr>
              <w:pStyle w:val="TableContents"/>
              <w:bidi w:val="0"/>
              <w:spacing w:before="0" w:after="283"/>
              <w:jc w:val="left"/>
              <w:rPr/>
            </w:pPr>
            <w:r>
              <w:rPr/>
              <w:t> </w:t>
            </w:r>
          </w:p>
        </w:tc>
      </w:tr>
      <w:tr>
        <w:trPr/>
        <w:tc>
          <w:tcPr>
            <w:tcW w:w="3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Solar energy system installations</w:t>
            </w:r>
          </w:p>
        </w:tc>
        <w:tc>
          <w:tcPr>
            <w:tcW w:w="279" w:type="dxa"/>
            <w:tcBorders/>
            <w:shd w:fill="CCEEFF" w:val="clear"/>
            <w:vAlign w:val="bottom"/>
          </w:tcPr>
          <w:p>
            <w:pPr>
              <w:pStyle w:val="TableContents"/>
              <w:bidi w:val="0"/>
              <w:spacing w:before="0" w:after="283"/>
              <w:jc w:val="left"/>
              <w:rPr/>
            </w:pPr>
            <w:r>
              <w:rPr/>
              <w:t>  </w:t>
            </w:r>
          </w:p>
        </w:tc>
        <w:tc>
          <w:tcPr>
            <w:tcW w:w="244" w:type="dxa"/>
            <w:tcBorders/>
            <w:shd w:fill="CCEEFF" w:val="clear"/>
          </w:tcPr>
          <w:p>
            <w:pPr>
              <w:pStyle w:val="TableContents"/>
              <w:bidi w:val="0"/>
              <w:spacing w:before="0" w:after="283"/>
              <w:jc w:val="left"/>
              <w:rPr/>
            </w:pPr>
            <w:r>
              <w:rPr/>
              <w:t>$</w:t>
            </w:r>
          </w:p>
        </w:tc>
        <w:tc>
          <w:tcPr>
            <w:tcW w:w="1213" w:type="dxa"/>
            <w:tcBorders/>
            <w:shd w:fill="CCEEFF" w:val="clear"/>
          </w:tcPr>
          <w:p>
            <w:pPr>
              <w:pStyle w:val="TableContents"/>
              <w:bidi w:val="0"/>
              <w:spacing w:before="0" w:after="283"/>
              <w:jc w:val="right"/>
              <w:rPr/>
            </w:pPr>
            <w:r>
              <w:rPr/>
              <w:t>23,915</w:t>
            </w:r>
          </w:p>
        </w:tc>
        <w:tc>
          <w:tcPr>
            <w:tcW w:w="60" w:type="dxa"/>
            <w:tcBorders/>
            <w:shd w:fill="CCEEFF" w:val="clear"/>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51" w:type="dxa"/>
            <w:tcBorders/>
            <w:shd w:fill="CCEEFF" w:val="clear"/>
          </w:tcPr>
          <w:p>
            <w:pPr>
              <w:pStyle w:val="TableContents"/>
              <w:bidi w:val="0"/>
              <w:spacing w:before="0" w:after="283"/>
              <w:jc w:val="left"/>
              <w:rPr/>
            </w:pPr>
            <w:r>
              <w:rPr/>
              <w:t>$</w:t>
            </w:r>
          </w:p>
        </w:tc>
        <w:tc>
          <w:tcPr>
            <w:tcW w:w="1247" w:type="dxa"/>
            <w:tcBorders/>
            <w:shd w:fill="CCEEFF" w:val="clear"/>
          </w:tcPr>
          <w:p>
            <w:pPr>
              <w:pStyle w:val="TableContents"/>
              <w:bidi w:val="0"/>
              <w:spacing w:before="0" w:after="283"/>
              <w:jc w:val="right"/>
              <w:rPr/>
            </w:pPr>
            <w:r>
              <w:rPr/>
              <w:t>11,120</w:t>
            </w:r>
          </w:p>
        </w:tc>
        <w:tc>
          <w:tcPr>
            <w:tcW w:w="60" w:type="dxa"/>
            <w:tcBorders/>
            <w:shd w:fill="CCEEFF" w:val="clear"/>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84" w:type="dxa"/>
            <w:tcBorders/>
            <w:shd w:fill="CCEEFF" w:val="clear"/>
          </w:tcPr>
          <w:p>
            <w:pPr>
              <w:pStyle w:val="TableContents"/>
              <w:bidi w:val="0"/>
              <w:spacing w:before="0" w:after="283"/>
              <w:jc w:val="right"/>
              <w:rPr/>
            </w:pPr>
            <w:r>
              <w:rPr/>
              <w:t>12,795</w:t>
            </w:r>
          </w:p>
        </w:tc>
        <w:tc>
          <w:tcPr>
            <w:tcW w:w="155" w:type="dxa"/>
            <w:tcBorders/>
            <w:shd w:fill="CCEEFF" w:val="clear"/>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11" w:type="dxa"/>
            <w:tcBorders/>
            <w:shd w:fill="CCEEFF" w:val="clear"/>
          </w:tcPr>
          <w:p>
            <w:pPr>
              <w:pStyle w:val="TableContents"/>
              <w:bidi w:val="0"/>
              <w:spacing w:before="0" w:after="283"/>
              <w:jc w:val="left"/>
              <w:rPr/>
            </w:pPr>
            <w:r>
              <w:rPr/>
              <w:t> </w:t>
            </w:r>
          </w:p>
        </w:tc>
        <w:tc>
          <w:tcPr>
            <w:tcW w:w="707" w:type="dxa"/>
            <w:tcBorders/>
            <w:shd w:fill="CCEEFF" w:val="clear"/>
          </w:tcPr>
          <w:p>
            <w:pPr>
              <w:pStyle w:val="TableContents"/>
              <w:bidi w:val="0"/>
              <w:spacing w:before="0" w:after="283"/>
              <w:jc w:val="right"/>
              <w:rPr/>
            </w:pPr>
            <w:r>
              <w:rPr/>
              <w:t>115</w:t>
            </w:r>
          </w:p>
        </w:tc>
        <w:tc>
          <w:tcPr>
            <w:tcW w:w="358" w:type="dxa"/>
            <w:tcBorders/>
            <w:shd w:fill="CCEEFF" w:val="clear"/>
          </w:tcPr>
          <w:p>
            <w:pPr>
              <w:pStyle w:val="TableContents"/>
              <w:bidi w:val="0"/>
              <w:spacing w:before="0" w:after="283"/>
              <w:jc w:val="left"/>
              <w:rPr/>
            </w:pPr>
            <w:r>
              <w:rPr/>
              <w:t>% </w:t>
            </w:r>
          </w:p>
        </w:tc>
      </w:tr>
      <w:tr>
        <w:trPr/>
        <w:tc>
          <w:tcPr>
            <w:tcW w:w="3076" w:type="dxa"/>
            <w:tcBorders/>
          </w:tcPr>
          <w:p>
            <w:pPr>
              <w:pStyle w:val="TableContents"/>
              <w:bidi w:val="0"/>
              <w:spacing w:before="0" w:after="0"/>
              <w:jc w:val="left"/>
              <w:rPr>
                <w:rFonts w:ascii="Times New Roman" w:hAnsi="Times New Roman"/>
                <w:sz w:val="20"/>
              </w:rPr>
            </w:pPr>
            <w:r>
              <w:rPr>
                <w:rFonts w:ascii="Times New Roman" w:hAnsi="Times New Roman"/>
                <w:sz w:val="20"/>
              </w:rPr>
              <w:t>Software enhanced services</w:t>
            </w:r>
          </w:p>
        </w:tc>
        <w:tc>
          <w:tcPr>
            <w:tcW w:w="27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675</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1,140</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(465</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(41</w:t>
            </w:r>
          </w:p>
        </w:tc>
        <w:tc>
          <w:tcPr>
            <w:tcW w:w="358" w:type="dxa"/>
            <w:tcBorders/>
            <w:vAlign w:val="bottom"/>
          </w:tcPr>
          <w:p>
            <w:pPr>
              <w:pStyle w:val="TableContents"/>
              <w:bidi w:val="0"/>
              <w:spacing w:before="0" w:after="283"/>
              <w:jc w:val="left"/>
              <w:rPr/>
            </w:pPr>
            <w:r>
              <w:rPr/>
              <w:t>)% </w:t>
            </w:r>
          </w:p>
        </w:tc>
      </w:tr>
      <w:tr>
        <w:trPr/>
        <w:tc>
          <w:tcPr>
            <w:tcW w:w="3076"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79" w:type="dxa"/>
            <w:tcBorders/>
            <w:shd w:fill="CCEEFF" w:val="clear"/>
            <w:vAlign w:val="bottom"/>
          </w:tcPr>
          <w:p>
            <w:pPr>
              <w:pStyle w:val="TableContents"/>
              <w:bidi w:val="0"/>
              <w:spacing w:before="0" w:after="283"/>
              <w:jc w:val="left"/>
              <w:rPr/>
            </w:pPr>
            <w:r>
              <w:rPr/>
              <w:t>  </w:t>
            </w:r>
          </w:p>
        </w:tc>
        <w:tc>
          <w:tcPr>
            <w:tcW w:w="244" w:type="dxa"/>
            <w:tcBorders/>
            <w:shd w:fill="CCEEFF" w:val="clear"/>
          </w:tcPr>
          <w:p>
            <w:pPr>
              <w:pStyle w:val="TableContents"/>
              <w:bidi w:val="0"/>
              <w:spacing w:before="0" w:after="283"/>
              <w:jc w:val="left"/>
              <w:rPr/>
            </w:pPr>
            <w:r>
              <w:rPr/>
              <w:t>$</w:t>
            </w:r>
          </w:p>
        </w:tc>
        <w:tc>
          <w:tcPr>
            <w:tcW w:w="1213" w:type="dxa"/>
            <w:tcBorders/>
            <w:shd w:fill="CCEEFF" w:val="clear"/>
          </w:tcPr>
          <w:p>
            <w:pPr>
              <w:pStyle w:val="TableContents"/>
              <w:bidi w:val="0"/>
              <w:spacing w:before="0" w:after="283"/>
              <w:jc w:val="right"/>
              <w:rPr/>
            </w:pPr>
            <w:r>
              <w:rPr/>
              <w:t>24,590</w:t>
            </w:r>
          </w:p>
        </w:tc>
        <w:tc>
          <w:tcPr>
            <w:tcW w:w="60" w:type="dxa"/>
            <w:tcBorders/>
            <w:shd w:fill="CCEEFF" w:val="clear"/>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51" w:type="dxa"/>
            <w:tcBorders/>
            <w:shd w:fill="CCEEFF" w:val="clear"/>
          </w:tcPr>
          <w:p>
            <w:pPr>
              <w:pStyle w:val="TableContents"/>
              <w:bidi w:val="0"/>
              <w:spacing w:before="0" w:after="283"/>
              <w:jc w:val="left"/>
              <w:rPr/>
            </w:pPr>
            <w:r>
              <w:rPr/>
              <w:t>$</w:t>
            </w:r>
          </w:p>
        </w:tc>
        <w:tc>
          <w:tcPr>
            <w:tcW w:w="1247" w:type="dxa"/>
            <w:tcBorders/>
            <w:shd w:fill="CCEEFF" w:val="clear"/>
          </w:tcPr>
          <w:p>
            <w:pPr>
              <w:pStyle w:val="TableContents"/>
              <w:bidi w:val="0"/>
              <w:spacing w:before="0" w:after="283"/>
              <w:jc w:val="right"/>
              <w:rPr/>
            </w:pPr>
            <w:r>
              <w:rPr/>
              <w:t>12,260</w:t>
            </w:r>
          </w:p>
        </w:tc>
        <w:tc>
          <w:tcPr>
            <w:tcW w:w="60" w:type="dxa"/>
            <w:tcBorders/>
            <w:shd w:fill="CCEEFF" w:val="clear"/>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84" w:type="dxa"/>
            <w:tcBorders/>
            <w:shd w:fill="CCEEFF" w:val="clear"/>
          </w:tcPr>
          <w:p>
            <w:pPr>
              <w:pStyle w:val="TableContents"/>
              <w:bidi w:val="0"/>
              <w:spacing w:before="0" w:after="283"/>
              <w:jc w:val="right"/>
              <w:rPr/>
            </w:pPr>
            <w:r>
              <w:rPr/>
              <w:t>12,330</w:t>
            </w:r>
          </w:p>
        </w:tc>
        <w:tc>
          <w:tcPr>
            <w:tcW w:w="155" w:type="dxa"/>
            <w:tcBorders/>
            <w:shd w:fill="CCEEFF" w:val="clear"/>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11" w:type="dxa"/>
            <w:tcBorders/>
            <w:shd w:fill="CCEEFF" w:val="clear"/>
          </w:tcPr>
          <w:p>
            <w:pPr>
              <w:pStyle w:val="TableContents"/>
              <w:bidi w:val="0"/>
              <w:spacing w:before="0" w:after="283"/>
              <w:jc w:val="left"/>
              <w:rPr/>
            </w:pPr>
            <w:r>
              <w:rPr/>
              <w:t> </w:t>
            </w:r>
          </w:p>
        </w:tc>
        <w:tc>
          <w:tcPr>
            <w:tcW w:w="707" w:type="dxa"/>
            <w:tcBorders/>
            <w:shd w:fill="CCEEFF" w:val="clear"/>
          </w:tcPr>
          <w:p>
            <w:pPr>
              <w:pStyle w:val="TableContents"/>
              <w:bidi w:val="0"/>
              <w:spacing w:before="0" w:after="283"/>
              <w:jc w:val="right"/>
              <w:rPr/>
            </w:pPr>
            <w:r>
              <w:rPr/>
              <w:t>101</w:t>
            </w:r>
          </w:p>
        </w:tc>
        <w:tc>
          <w:tcPr>
            <w:tcW w:w="358" w:type="dxa"/>
            <w:tcBorders/>
            <w:shd w:fill="CCEEFF" w:val="clear"/>
          </w:tcPr>
          <w:p>
            <w:pPr>
              <w:pStyle w:val="TableContents"/>
              <w:bidi w:val="0"/>
              <w:spacing w:before="0" w:after="283"/>
              <w:jc w:val="left"/>
              <w:rPr/>
            </w:pPr>
            <w:r>
              <w:rPr/>
              <w:t>% </w:t>
            </w:r>
          </w:p>
        </w:tc>
      </w:tr>
      <w:tr>
        <w:trPr/>
        <w:tc>
          <w:tcPr>
            <w:tcW w:w="3076"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from solar energy system installations for the thirteen weeks ended October 1, 2023 was $23.9 million compared to $11.1 million for the three months ended September 30, 2022. The increase in solar energy system installation revenues of $12.8 million was primarily due to an increase in the volume of solar energy system installations, as well as an increase in average selling price of solar energy system installations. </w:t>
      </w:r>
    </w:p>
    <w:p>
      <w:pPr>
        <w:pStyle w:val="TextBody"/>
        <w:bidi w:val="0"/>
        <w:spacing w:before="240" w:after="0"/>
        <w:jc w:val="left"/>
        <w:rPr>
          <w:rFonts w:ascii="Times New Roman" w:hAnsi="Times New Roman"/>
          <w:sz w:val="20"/>
        </w:rPr>
      </w:pPr>
      <w:r>
        <w:rPr>
          <w:rFonts w:ascii="Times New Roman" w:hAnsi="Times New Roman"/>
          <w:sz w:val="20"/>
        </w:rPr>
        <w:t xml:space="preserve">Revenues from software enhanced services for the thirteen weeks ended October 1, 2023 was $0.7 million compared to $1.1 million for the three months ended September 30, 2022. The decrease of $0.5 million was the result of a shift in focus towards solar energy installations.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revenues for the thirteen weeks ended October 1, 2023 was $18.4 million compared to $8.3 million for the three months ended September 30, 2022. The increase in cost of revenues of $10.1 million, or 122%, was primarily due to the increase in revenue of 101%, coupled with rising costs associated with supply chain constraints, and a small increase in excess and obsolete inventory reserves.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Margin </w:t>
      </w:r>
    </w:p>
    <w:p>
      <w:pPr>
        <w:pStyle w:val="TextBody"/>
        <w:bidi w:val="0"/>
        <w:spacing w:before="120" w:after="0"/>
        <w:jc w:val="left"/>
        <w:rPr>
          <w:rFonts w:ascii="Times New Roman" w:hAnsi="Times New Roman"/>
          <w:sz w:val="20"/>
        </w:rPr>
      </w:pPr>
      <w:r>
        <w:rPr>
          <w:rFonts w:ascii="Times New Roman" w:hAnsi="Times New Roman"/>
          <w:sz w:val="20"/>
        </w:rPr>
        <w:t xml:space="preserve">Gross margin decreased 8% year over year, from 33% for the three months ended September 30, 2022 to 25% for the thirteen weeks ended October 1, 2023. The decrease in gross margin was primarily attributed to the increasing cost of revenues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Commissions </w:t>
      </w:r>
    </w:p>
    <w:p>
      <w:pPr>
        <w:pStyle w:val="TextBody"/>
        <w:bidi w:val="0"/>
        <w:spacing w:before="120" w:after="0"/>
        <w:jc w:val="left"/>
        <w:rPr>
          <w:rFonts w:ascii="Times New Roman" w:hAnsi="Times New Roman"/>
          <w:sz w:val="20"/>
        </w:rPr>
      </w:pPr>
      <w:r>
        <w:rPr>
          <w:rFonts w:ascii="Times New Roman" w:hAnsi="Times New Roman"/>
          <w:sz w:val="20"/>
        </w:rPr>
        <w:t xml:space="preserve">Sales commissions for the thirteen weeks ended October 1, 2023 was $8.8 million compared to $3.6 million for the three months ended September 30, 2022. The increase of $5.2 million, or 145%, was primarily due to the increase in revenue of 101%.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Sales and marketing expense for the thirteen weeks ended October 1, 2023 increased by $0.6 million, or 38%, compared to the three months ended September 30, 2022. The increase is attributable to an increase of $0.3 million in related to office and operating related expenses, an increase of $0.1 million in travel related expenses, an increase of $0.1 million in stock-based compensation expenses due to options issued during the thirteen weeks ended October 1, 2023, and an increase of $0.1 million in outside services, offset by decrease in payroll of $0.1 million.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costs for the thirteen weeks ended October 1, 2023 increased by $4.3 million, or 213%, compared to the three months ended September 30, 2022. The increase was primarily attributed to increase in payroll of $1.7 million, increase of $1.0 million in stock-based compensation expenses due to options and RSUs issued in the thirteen weeks ended October 1, 2023, increase in travel costs of $0.5 million, increase in office occupancy related costs of $0.5 million, and increases in contractors and outside services costs of $0.4 million related to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for the thirteen weeks ended October 1, 2023 increased by $1.0 million, or 102%, compared to the three months ended September 30, 2022. The increase was primarily attributed $0.5 million of interest related to debt acquired as part of the acquisition of Solaria in November 2022, which was retained upon the divestiture from the business, as well as an increase of $0.3 million in interest expense related to the convertible notes and long-term debt in CS Solis for the thirteen weeks ended October 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for the thirteen weeks ended October 1, 2023 increased by $38.0 million compared to the three months ended September 30, 2022. The increase was primarily attributed to an increase of $35.5 million in other expense related to the issuance of common stock in connection with the FPAs, the loss on extinguishment of debt in CS Solis of $10.3 million, an increase of $6.7 million in other expense associated with the change in fair value of the FPAs, and an increase of $2.4 million driven by Companys issuance of bonus shares in connection with the Mergers, offset by decreases in the fair value of the Companys warrant liabilities of $16.9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from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factors discussed above, our net loss from continuing operations for the thirteen weeks ended October 1, 2023 was $51.0 million, an increase of $46.8 million, as compared to a net loss from continuing operations of $4.1 million for the three months ended September 30,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of Discontinued Operations, Net of Tax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disposition of the Solaria business as described above, we recognized a loss on discontinued operations of $155.9 million for the thirteen weeks ended October 1, 2023. Loss on discontinued operations was comprised of revenues of $3.8 million, offset by cost of revenues of $4.1 million, selling and marketing expenses of $2.4 million, general and administrative expenses of $5.7 million, and impairment of goodwill and intangible assets assigned to Solaria of $119.4 million and $28.1 million, respectively. </w:t>
      </w:r>
    </w:p>
    <w:p>
      <w:pPr>
        <w:pStyle w:val="TextBody"/>
        <w:bidi w:val="0"/>
        <w:spacing w:before="240" w:after="0"/>
        <w:jc w:val="left"/>
        <w:rPr>
          <w:rFonts w:ascii="Times New Roman" w:hAnsi="Times New Roman"/>
          <w:b/>
          <w:i/>
          <w:sz w:val="20"/>
        </w:rPr>
      </w:pPr>
      <w:r>
        <w:rPr>
          <w:rFonts w:ascii="Times New Roman" w:hAnsi="Times New Roman"/>
          <w:b/>
          <w:i/>
          <w:sz w:val="20"/>
        </w:rPr>
        <w:t xml:space="preserve">Thirty-nine weeks ended October 1, 2023 compared to nine months ended September 30,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unaudited statements of operations data for the thirty-nine weeks ended October 1, 2023 and the nine months ended September 30, 2022, respectively. We have derived this data from our unaudited condensed consolidated financial statements included elsewhere in this prospectus. This information should be read in conjunction with our unaudited condensed consolidated financial statements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related notes included elsewhere in this prospectus. The results of historical periods are not necessarily indicative of the results of operations for any future period.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34"/>
        <w:gridCol w:w="240"/>
        <w:gridCol w:w="197"/>
        <w:gridCol w:w="1259"/>
        <w:gridCol w:w="275"/>
        <w:gridCol w:w="162"/>
        <w:gridCol w:w="230"/>
        <w:gridCol w:w="1271"/>
        <w:gridCol w:w="275"/>
        <w:gridCol w:w="162"/>
        <w:gridCol w:w="140"/>
        <w:gridCol w:w="876"/>
        <w:gridCol w:w="155"/>
        <w:gridCol w:w="219"/>
        <w:gridCol w:w="129"/>
        <w:gridCol w:w="1003"/>
        <w:gridCol w:w="361"/>
      </w:tblGrid>
      <w:tr>
        <w:trPr/>
        <w:tc>
          <w:tcPr>
            <w:tcW w:w="2434"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(In thousands) </w:t>
            </w:r>
          </w:p>
        </w:tc>
        <w:tc>
          <w:tcPr>
            <w:tcW w:w="240" w:type="dxa"/>
            <w:tcBorders/>
            <w:vAlign w:val="bottom"/>
          </w:tcPr>
          <w:p>
            <w:pPr>
              <w:pStyle w:val="TableContents"/>
              <w:bidi w:val="0"/>
              <w:spacing w:before="0" w:after="283"/>
              <w:jc w:val="left"/>
              <w:rPr/>
            </w:pPr>
            <w:r>
              <w:rPr/>
              <w:t>  </w:t>
            </w:r>
          </w:p>
        </w:tc>
        <w:tc>
          <w:tcPr>
            <w:tcW w:w="14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Thirty-Nine</w:t>
              <w:br/>
              <w:t>Weeks Ended</w:t>
              <w:br/>
              <w:t>October 1,</w:t>
              <w:br/>
              <w:t>2023</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w:t>
              <w:br/>
              <w:t>September 30,</w:t>
              <w:br/>
              <w:t>2022</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61" w:type="dxa"/>
            <w:tcBorders/>
            <w:vAlign w:val="bottom"/>
          </w:tcPr>
          <w:p>
            <w:pPr>
              <w:pStyle w:val="TableContents"/>
              <w:bidi w:val="0"/>
              <w:spacing w:before="0" w:after="283"/>
              <w:jc w:val="left"/>
              <w:rPr/>
            </w:pPr>
            <w:r>
              <w:rPr/>
              <w:t> </w:t>
            </w:r>
          </w:p>
        </w:tc>
      </w:tr>
      <w:tr>
        <w:trPr/>
        <w:tc>
          <w:tcPr>
            <w:tcW w:w="2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66,887</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71" w:type="dxa"/>
            <w:tcBorders/>
            <w:shd w:fill="CCEEFF" w:val="clear"/>
            <w:vAlign w:val="bottom"/>
          </w:tcPr>
          <w:p>
            <w:pPr>
              <w:pStyle w:val="TableContents"/>
              <w:bidi w:val="0"/>
              <w:spacing w:before="0" w:after="283"/>
              <w:jc w:val="right"/>
              <w:rPr/>
            </w:pPr>
            <w:r>
              <w:rPr/>
              <w:t>48,974</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17,913</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37</w:t>
            </w:r>
          </w:p>
        </w:tc>
        <w:tc>
          <w:tcPr>
            <w:tcW w:w="361" w:type="dxa"/>
            <w:tcBorders/>
            <w:shd w:fill="CCEEFF" w:val="clear"/>
            <w:vAlign w:val="bottom"/>
          </w:tcPr>
          <w:p>
            <w:pPr>
              <w:pStyle w:val="TableContents"/>
              <w:bidi w:val="0"/>
              <w:spacing w:before="0" w:after="283"/>
              <w:jc w:val="left"/>
              <w:rPr/>
            </w:pPr>
            <w:r>
              <w:rPr/>
              <w:t>% </w:t>
            </w:r>
          </w:p>
        </w:tc>
      </w:tr>
      <w:tr>
        <w:trPr/>
        <w:tc>
          <w:tcPr>
            <w:tcW w:w="243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revenues(1)</w:t>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51,788</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33,792</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17,996</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53</w:t>
            </w:r>
          </w:p>
        </w:tc>
        <w:tc>
          <w:tcPr>
            <w:tcW w:w="361" w:type="dxa"/>
            <w:tcBorders/>
            <w:vAlign w:val="bottom"/>
          </w:tcPr>
          <w:p>
            <w:pPr>
              <w:pStyle w:val="TableContents"/>
              <w:bidi w:val="0"/>
              <w:spacing w:before="0" w:after="283"/>
              <w:jc w:val="left"/>
              <w:rPr/>
            </w:pPr>
            <w:r>
              <w:rPr/>
              <w:t>% </w:t>
            </w:r>
          </w:p>
        </w:tc>
      </w:tr>
      <w:tr>
        <w:trPr/>
        <w:tc>
          <w:tcPr>
            <w:tcW w:w="243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15,099</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15,182</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w:t>
            </w:r>
          </w:p>
        </w:tc>
        <w:tc>
          <w:tcPr>
            <w:tcW w:w="361" w:type="dxa"/>
            <w:tcBorders/>
            <w:shd w:fill="CCEEFF" w:val="clear"/>
            <w:vAlign w:val="bottom"/>
          </w:tcPr>
          <w:p>
            <w:pPr>
              <w:pStyle w:val="TableContents"/>
              <w:bidi w:val="0"/>
              <w:spacing w:before="0" w:after="283"/>
              <w:jc w:val="left"/>
              <w:rPr/>
            </w:pPr>
            <w:r>
              <w:rPr/>
              <w:t>%) </w:t>
            </w:r>
          </w:p>
        </w:tc>
      </w:tr>
      <w:tr>
        <w:trPr/>
        <w:tc>
          <w:tcPr>
            <w:tcW w:w="2434"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 %</w:t>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31</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27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434" w:type="dxa"/>
            <w:tcBorders/>
          </w:tcPr>
          <w:p>
            <w:pPr>
              <w:pStyle w:val="TableContents"/>
              <w:bidi w:val="0"/>
              <w:spacing w:before="0" w:after="0"/>
              <w:jc w:val="left"/>
              <w:rPr>
                <w:rFonts w:ascii="Times New Roman" w:hAnsi="Times New Roman"/>
                <w:sz w:val="20"/>
              </w:rPr>
            </w:pPr>
            <w:r>
              <w:rPr>
                <w:rFonts w:ascii="Times New Roman" w:hAnsi="Times New Roman"/>
                <w:sz w:val="20"/>
              </w:rPr>
              <w:t>Sales commissions</w:t>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23,221</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15,694</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7,527</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48</w:t>
            </w:r>
          </w:p>
        </w:tc>
        <w:tc>
          <w:tcPr>
            <w:tcW w:w="361" w:type="dxa"/>
            <w:tcBorders/>
            <w:vAlign w:val="bottom"/>
          </w:tcPr>
          <w:p>
            <w:pPr>
              <w:pStyle w:val="TableContents"/>
              <w:bidi w:val="0"/>
              <w:spacing w:before="0" w:after="283"/>
              <w:jc w:val="left"/>
              <w:rPr/>
            </w:pPr>
            <w:r>
              <w:rPr/>
              <w:t>% </w:t>
            </w:r>
          </w:p>
        </w:tc>
      </w:tr>
      <w:tr>
        <w:trPr/>
        <w:tc>
          <w:tcPr>
            <w:tcW w:w="2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marketing(1)</w:t>
            </w:r>
          </w:p>
        </w:tc>
        <w:tc>
          <w:tcPr>
            <w:tcW w:w="2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5,216</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4,607</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609</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13</w:t>
            </w:r>
          </w:p>
        </w:tc>
        <w:tc>
          <w:tcPr>
            <w:tcW w:w="361" w:type="dxa"/>
            <w:tcBorders/>
            <w:shd w:fill="CCEEFF" w:val="clear"/>
            <w:vAlign w:val="bottom"/>
          </w:tcPr>
          <w:p>
            <w:pPr>
              <w:pStyle w:val="TableContents"/>
              <w:bidi w:val="0"/>
              <w:spacing w:before="0" w:after="283"/>
              <w:jc w:val="left"/>
              <w:rPr/>
            </w:pPr>
            <w:r>
              <w:rPr/>
              <w:t>% </w:t>
            </w:r>
          </w:p>
        </w:tc>
      </w:tr>
      <w:tr>
        <w:trPr/>
        <w:tc>
          <w:tcPr>
            <w:tcW w:w="243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administrative(1)</w:t>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22,965</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6,194</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16,771</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271</w:t>
            </w:r>
          </w:p>
        </w:tc>
        <w:tc>
          <w:tcPr>
            <w:tcW w:w="361" w:type="dxa"/>
            <w:tcBorders/>
            <w:vAlign w:val="bottom"/>
          </w:tcPr>
          <w:p>
            <w:pPr>
              <w:pStyle w:val="TableContents"/>
              <w:bidi w:val="0"/>
              <w:spacing w:before="0" w:after="283"/>
              <w:jc w:val="left"/>
              <w:rPr/>
            </w:pPr>
            <w:r>
              <w:rPr/>
              <w:t>% </w:t>
            </w:r>
          </w:p>
        </w:tc>
      </w:tr>
      <w:tr>
        <w:trPr/>
        <w:tc>
          <w:tcPr>
            <w:tcW w:w="243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51,402</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26,495</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24,907</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94</w:t>
            </w:r>
          </w:p>
        </w:tc>
        <w:tc>
          <w:tcPr>
            <w:tcW w:w="361" w:type="dxa"/>
            <w:tcBorders/>
            <w:shd w:fill="CCEEFF" w:val="clear"/>
            <w:vAlign w:val="bottom"/>
          </w:tcPr>
          <w:p>
            <w:pPr>
              <w:pStyle w:val="TableContents"/>
              <w:bidi w:val="0"/>
              <w:spacing w:before="0" w:after="283"/>
              <w:jc w:val="left"/>
              <w:rPr/>
            </w:pPr>
            <w:r>
              <w:rPr/>
              <w:t>% </w:t>
            </w:r>
          </w:p>
        </w:tc>
      </w:tr>
      <w:tr>
        <w:trPr/>
        <w:tc>
          <w:tcPr>
            <w:tcW w:w="243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434"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(36,303</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(11,313</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(24,990</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221</w:t>
            </w:r>
          </w:p>
        </w:tc>
        <w:tc>
          <w:tcPr>
            <w:tcW w:w="361" w:type="dxa"/>
            <w:tcBorders/>
            <w:vAlign w:val="bottom"/>
          </w:tcPr>
          <w:p>
            <w:pPr>
              <w:pStyle w:val="TableContents"/>
              <w:bidi w:val="0"/>
              <w:spacing w:before="0" w:after="283"/>
              <w:jc w:val="left"/>
              <w:rPr/>
            </w:pPr>
            <w:r>
              <w:rPr/>
              <w:t>% </w:t>
            </w:r>
          </w:p>
        </w:tc>
      </w:tr>
      <w:tr>
        <w:trPr/>
        <w:tc>
          <w:tcPr>
            <w:tcW w:w="2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expense(2)</w:t>
            </w:r>
          </w:p>
        </w:tc>
        <w:tc>
          <w:tcPr>
            <w:tcW w:w="2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(8,870</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(2,672</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(6,198</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232</w:t>
            </w:r>
          </w:p>
        </w:tc>
        <w:tc>
          <w:tcPr>
            <w:tcW w:w="361" w:type="dxa"/>
            <w:tcBorders/>
            <w:shd w:fill="CCEEFF" w:val="clear"/>
            <w:vAlign w:val="bottom"/>
          </w:tcPr>
          <w:p>
            <w:pPr>
              <w:pStyle w:val="TableContents"/>
              <w:bidi w:val="0"/>
              <w:spacing w:before="0" w:after="283"/>
              <w:jc w:val="left"/>
              <w:rPr/>
            </w:pPr>
            <w:r>
              <w:rPr/>
              <w:t>% </w:t>
            </w:r>
          </w:p>
        </w:tc>
      </w:tr>
      <w:tr>
        <w:trPr/>
        <w:tc>
          <w:tcPr>
            <w:tcW w:w="243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361" w:type="dxa"/>
            <w:tcBorders/>
            <w:vAlign w:val="bottom"/>
          </w:tcPr>
          <w:p>
            <w:pPr>
              <w:pStyle w:val="TableContents"/>
              <w:bidi w:val="0"/>
              <w:spacing w:before="0" w:after="283"/>
              <w:jc w:val="left"/>
              <w:rPr/>
            </w:pPr>
            <w:r>
              <w:rPr/>
              <w:t> </w:t>
            </w:r>
          </w:p>
        </w:tc>
      </w:tr>
      <w:tr>
        <w:trPr/>
        <w:tc>
          <w:tcPr>
            <w:tcW w:w="2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net(3)</w:t>
            </w:r>
          </w:p>
        </w:tc>
        <w:tc>
          <w:tcPr>
            <w:tcW w:w="2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(28,302</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3,180</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(31,482</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w:t>
            </w:r>
          </w:p>
        </w:tc>
        <w:tc>
          <w:tcPr>
            <w:tcW w:w="361" w:type="dxa"/>
            <w:tcBorders/>
            <w:shd w:fill="CCEEFF" w:val="clear"/>
            <w:vAlign w:val="bottom"/>
          </w:tcPr>
          <w:p>
            <w:pPr>
              <w:pStyle w:val="TableContents"/>
              <w:bidi w:val="0"/>
              <w:spacing w:before="0" w:after="283"/>
              <w:jc w:val="left"/>
              <w:rPr/>
            </w:pPr>
            <w:r>
              <w:rPr/>
              <w:t> </w:t>
            </w:r>
          </w:p>
        </w:tc>
      </w:tr>
      <w:tr>
        <w:trPr/>
        <w:tc>
          <w:tcPr>
            <w:tcW w:w="243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434" w:type="dxa"/>
            <w:tcBorders/>
          </w:tcPr>
          <w:p>
            <w:pPr>
              <w:pStyle w:val="TableContents"/>
              <w:bidi w:val="0"/>
              <w:spacing w:before="0" w:after="0"/>
              <w:jc w:val="left"/>
              <w:rPr>
                <w:rFonts w:ascii="Times New Roman" w:hAnsi="Times New Roman"/>
                <w:sz w:val="20"/>
              </w:rPr>
            </w:pPr>
            <w:r>
              <w:rPr>
                <w:rFonts w:ascii="Times New Roman" w:hAnsi="Times New Roman"/>
                <w:sz w:val="20"/>
              </w:rPr>
              <w:t>Loss from continuing operations before income taxes</w:t>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(73,449</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(10,805</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(62,644</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580</w:t>
            </w:r>
          </w:p>
        </w:tc>
        <w:tc>
          <w:tcPr>
            <w:tcW w:w="361" w:type="dxa"/>
            <w:tcBorders/>
            <w:vAlign w:val="bottom"/>
          </w:tcPr>
          <w:p>
            <w:pPr>
              <w:pStyle w:val="TableContents"/>
              <w:bidi w:val="0"/>
              <w:spacing w:before="0" w:after="283"/>
              <w:jc w:val="left"/>
              <w:rPr/>
            </w:pPr>
            <w:r>
              <w:rPr/>
              <w:t>% </w:t>
            </w:r>
          </w:p>
        </w:tc>
      </w:tr>
      <w:tr>
        <w:trPr/>
        <w:tc>
          <w:tcPr>
            <w:tcW w:w="2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(provision)</w:t>
            </w:r>
          </w:p>
        </w:tc>
        <w:tc>
          <w:tcPr>
            <w:tcW w:w="2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(125</w:t>
            </w:r>
          </w:p>
        </w:tc>
        <w:tc>
          <w:tcPr>
            <w:tcW w:w="361" w:type="dxa"/>
            <w:tcBorders/>
            <w:shd w:fill="CCEEFF" w:val="clear"/>
            <w:vAlign w:val="bottom"/>
          </w:tcPr>
          <w:p>
            <w:pPr>
              <w:pStyle w:val="TableContents"/>
              <w:bidi w:val="0"/>
              <w:spacing w:before="0" w:after="283"/>
              <w:jc w:val="left"/>
              <w:rPr/>
            </w:pPr>
            <w:r>
              <w:rPr/>
              <w:t>%) </w:t>
            </w:r>
          </w:p>
        </w:tc>
      </w:tr>
      <w:tr>
        <w:trPr/>
        <w:tc>
          <w:tcPr>
            <w:tcW w:w="243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434"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(73,448</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(10,809</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(62,639</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w:t>
            </w:r>
          </w:p>
        </w:tc>
        <w:tc>
          <w:tcPr>
            <w:tcW w:w="361" w:type="dxa"/>
            <w:tcBorders/>
            <w:vAlign w:val="bottom"/>
          </w:tcPr>
          <w:p>
            <w:pPr>
              <w:pStyle w:val="TableContents"/>
              <w:bidi w:val="0"/>
              <w:spacing w:before="0" w:after="283"/>
              <w:jc w:val="left"/>
              <w:rPr/>
            </w:pPr>
            <w:r>
              <w:rPr/>
              <w:t> </w:t>
            </w:r>
          </w:p>
        </w:tc>
      </w:tr>
      <w:tr>
        <w:trPr/>
        <w:tc>
          <w:tcPr>
            <w:tcW w:w="2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discontinued operations, net of tax</w:t>
            </w:r>
          </w:p>
        </w:tc>
        <w:tc>
          <w:tcPr>
            <w:tcW w:w="2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(168,458</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(168,458</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w:t>
            </w:r>
          </w:p>
        </w:tc>
        <w:tc>
          <w:tcPr>
            <w:tcW w:w="361" w:type="dxa"/>
            <w:tcBorders/>
            <w:shd w:fill="CCEEFF" w:val="clear"/>
            <w:vAlign w:val="bottom"/>
          </w:tcPr>
          <w:p>
            <w:pPr>
              <w:pStyle w:val="TableContents"/>
              <w:bidi w:val="0"/>
              <w:spacing w:before="0" w:after="283"/>
              <w:jc w:val="left"/>
              <w:rPr/>
            </w:pPr>
            <w:r>
              <w:rPr/>
              <w:t> </w:t>
            </w:r>
          </w:p>
        </w:tc>
      </w:tr>
      <w:tr>
        <w:trPr/>
        <w:tc>
          <w:tcPr>
            <w:tcW w:w="243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43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(241,906</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271" w:type="dxa"/>
            <w:tcBorders/>
            <w:vAlign w:val="bottom"/>
          </w:tcPr>
          <w:p>
            <w:pPr>
              <w:pStyle w:val="TableContents"/>
              <w:bidi w:val="0"/>
              <w:spacing w:before="0" w:after="283"/>
              <w:jc w:val="right"/>
              <w:rPr/>
            </w:pPr>
            <w:r>
              <w:rPr/>
              <w:t>(10,809</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(237,097</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w:t>
            </w:r>
          </w:p>
        </w:tc>
        <w:tc>
          <w:tcPr>
            <w:tcW w:w="361" w:type="dxa"/>
            <w:tcBorders/>
            <w:vAlign w:val="bottom"/>
          </w:tcPr>
          <w:p>
            <w:pPr>
              <w:pStyle w:val="TableContents"/>
              <w:bidi w:val="0"/>
              <w:spacing w:before="0" w:after="283"/>
              <w:jc w:val="left"/>
              <w:rPr/>
            </w:pPr>
            <w:r>
              <w:rPr/>
              <w:t> </w:t>
            </w:r>
          </w:p>
        </w:tc>
      </w:tr>
      <w:tr>
        <w:trPr/>
        <w:tc>
          <w:tcPr>
            <w:tcW w:w="243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27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change not meaningful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stock-based compensation expense as follows: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4"/>
        <w:gridCol w:w="458"/>
        <w:gridCol w:w="247"/>
        <w:gridCol w:w="993"/>
        <w:gridCol w:w="60"/>
        <w:gridCol w:w="458"/>
        <w:gridCol w:w="406"/>
        <w:gridCol w:w="1115"/>
        <w:gridCol w:w="64"/>
      </w:tblGrid>
      <w:tr>
        <w:trPr/>
        <w:tc>
          <w:tcPr>
            <w:tcW w:w="3954"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458"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Thirty-Nine</w:t>
              <w:br/>
              <w:t>Weeks</w:t>
              <w:br/>
              <w:t>ended</w:t>
              <w:br/>
              <w:t>October 1,</w:t>
              <w:br/>
              <w:t>2023</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w:t>
              <w:br/>
              <w:t>September 30,</w:t>
              <w:br/>
              <w:t>2022</w:t>
            </w:r>
          </w:p>
        </w:tc>
        <w:tc>
          <w:tcPr>
            <w:tcW w:w="64"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45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51</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6</w:t>
            </w:r>
          </w:p>
        </w:tc>
        <w:tc>
          <w:tcPr>
            <w:tcW w:w="64"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45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337</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5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1,933</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120</w:t>
            </w:r>
          </w:p>
        </w:tc>
        <w:tc>
          <w:tcPr>
            <w:tcW w:w="64" w:type="dxa"/>
            <w:tcBorders/>
            <w:shd w:fill="CCEEFF" w:val="clear"/>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45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2,321</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217</w:t>
            </w:r>
          </w:p>
        </w:tc>
        <w:tc>
          <w:tcPr>
            <w:tcW w:w="64"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interest expense to related party of $0.4 million and $0.1 million during the thirty-nine weeks ended October 1, 2023 and the nine months ended September 30, 2022, respectively.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other income (expense), net from related parties of $36.9 million and $1.4 million during the thirty-nine weeks ended October 1, 2023 and the nine months ended September 30, 2022, respectively.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We disaggregate our revenues based on the following types of services: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62"/>
        <w:gridCol w:w="288"/>
        <w:gridCol w:w="210"/>
        <w:gridCol w:w="1030"/>
        <w:gridCol w:w="60"/>
        <w:gridCol w:w="288"/>
        <w:gridCol w:w="251"/>
        <w:gridCol w:w="1246"/>
        <w:gridCol w:w="60"/>
        <w:gridCol w:w="288"/>
        <w:gridCol w:w="140"/>
        <w:gridCol w:w="684"/>
        <w:gridCol w:w="155"/>
        <w:gridCol w:w="252"/>
        <w:gridCol w:w="122"/>
        <w:gridCol w:w="695"/>
        <w:gridCol w:w="357"/>
      </w:tblGrid>
      <w:tr>
        <w:trPr/>
        <w:tc>
          <w:tcPr>
            <w:tcW w:w="3262"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2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288"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Thirty-Nine</w:t>
              <w:br/>
              <w:t>Weeks</w:t>
              <w:br/>
              <w:t>ended</w:t>
              <w:br/>
              <w:t>October 1,</w:t>
              <w:br/>
              <w:t>2023</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w:t>
              <w:br/>
              <w:t>September 30,</w:t>
              <w:br/>
              <w:t>2022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7" w:type="dxa"/>
            <w:tcBorders/>
            <w:vAlign w:val="bottom"/>
          </w:tcPr>
          <w:p>
            <w:pPr>
              <w:pStyle w:val="TableContents"/>
              <w:bidi w:val="0"/>
              <w:spacing w:before="0" w:after="283"/>
              <w:jc w:val="left"/>
              <w:rPr/>
            </w:pPr>
            <w:r>
              <w:rPr/>
              <w:t> </w:t>
            </w:r>
          </w:p>
        </w:tc>
      </w:tr>
      <w:tr>
        <w:trPr/>
        <w:tc>
          <w:tcPr>
            <w:tcW w:w="3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Solar energy system installations</w:t>
            </w:r>
          </w:p>
        </w:tc>
        <w:tc>
          <w:tcPr>
            <w:tcW w:w="288" w:type="dxa"/>
            <w:tcBorders/>
            <w:shd w:fill="CCEEFF" w:val="clear"/>
            <w:vAlign w:val="bottom"/>
          </w:tcPr>
          <w:p>
            <w:pPr>
              <w:pStyle w:val="TableContents"/>
              <w:bidi w:val="0"/>
              <w:spacing w:before="0" w:after="283"/>
              <w:jc w:val="left"/>
              <w:rPr/>
            </w:pPr>
            <w:r>
              <w:rPr/>
              <w:t>  </w:t>
            </w:r>
          </w:p>
        </w:tc>
        <w:tc>
          <w:tcPr>
            <w:tcW w:w="210" w:type="dxa"/>
            <w:tcBorders/>
            <w:shd w:fill="CCEEFF" w:val="clear"/>
          </w:tcPr>
          <w:p>
            <w:pPr>
              <w:pStyle w:val="TableContents"/>
              <w:bidi w:val="0"/>
              <w:spacing w:before="0" w:after="283"/>
              <w:jc w:val="left"/>
              <w:rPr/>
            </w:pPr>
            <w:r>
              <w:rPr/>
              <w:t>$</w:t>
            </w:r>
          </w:p>
        </w:tc>
        <w:tc>
          <w:tcPr>
            <w:tcW w:w="1030" w:type="dxa"/>
            <w:tcBorders/>
            <w:shd w:fill="CCEEFF" w:val="clear"/>
          </w:tcPr>
          <w:p>
            <w:pPr>
              <w:pStyle w:val="TableContents"/>
              <w:bidi w:val="0"/>
              <w:spacing w:before="0" w:after="283"/>
              <w:jc w:val="right"/>
              <w:rPr/>
            </w:pPr>
            <w:r>
              <w:rPr/>
              <w:t>64,511</w:t>
            </w:r>
          </w:p>
        </w:tc>
        <w:tc>
          <w:tcPr>
            <w:tcW w:w="60" w:type="dxa"/>
            <w:tcBorders/>
            <w:shd w:fill="CCEEFF" w:val="clear"/>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51" w:type="dxa"/>
            <w:tcBorders/>
            <w:shd w:fill="CCEEFF" w:val="clear"/>
          </w:tcPr>
          <w:p>
            <w:pPr>
              <w:pStyle w:val="TableContents"/>
              <w:bidi w:val="0"/>
              <w:spacing w:before="0" w:after="283"/>
              <w:jc w:val="left"/>
              <w:rPr/>
            </w:pPr>
            <w:r>
              <w:rPr/>
              <w:t>$</w:t>
            </w:r>
          </w:p>
        </w:tc>
        <w:tc>
          <w:tcPr>
            <w:tcW w:w="1246" w:type="dxa"/>
            <w:tcBorders/>
            <w:shd w:fill="CCEEFF" w:val="clear"/>
          </w:tcPr>
          <w:p>
            <w:pPr>
              <w:pStyle w:val="TableContents"/>
              <w:bidi w:val="0"/>
              <w:spacing w:before="0" w:after="283"/>
              <w:jc w:val="right"/>
              <w:rPr/>
            </w:pPr>
            <w:r>
              <w:rPr/>
              <w:t>46,214</w:t>
            </w:r>
          </w:p>
        </w:tc>
        <w:tc>
          <w:tcPr>
            <w:tcW w:w="60" w:type="dxa"/>
            <w:tcBorders/>
            <w:shd w:fill="CCEEFF" w:val="clear"/>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84" w:type="dxa"/>
            <w:tcBorders/>
            <w:shd w:fill="CCEEFF" w:val="clear"/>
          </w:tcPr>
          <w:p>
            <w:pPr>
              <w:pStyle w:val="TableContents"/>
              <w:bidi w:val="0"/>
              <w:spacing w:before="0" w:after="283"/>
              <w:jc w:val="right"/>
              <w:rPr/>
            </w:pPr>
            <w:r>
              <w:rPr/>
              <w:t>18,297</w:t>
            </w:r>
          </w:p>
        </w:tc>
        <w:tc>
          <w:tcPr>
            <w:tcW w:w="155" w:type="dxa"/>
            <w:tcBorders/>
            <w:shd w:fill="CCEEFF" w:val="clear"/>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695" w:type="dxa"/>
            <w:tcBorders/>
            <w:shd w:fill="CCEEFF" w:val="clear"/>
          </w:tcPr>
          <w:p>
            <w:pPr>
              <w:pStyle w:val="TableContents"/>
              <w:bidi w:val="0"/>
              <w:spacing w:before="0" w:after="283"/>
              <w:jc w:val="right"/>
              <w:rPr/>
            </w:pPr>
            <w:r>
              <w:rPr/>
              <w:t>40</w:t>
            </w:r>
          </w:p>
        </w:tc>
        <w:tc>
          <w:tcPr>
            <w:tcW w:w="357" w:type="dxa"/>
            <w:tcBorders/>
            <w:shd w:fill="CCEEFF" w:val="clear"/>
          </w:tcPr>
          <w:p>
            <w:pPr>
              <w:pStyle w:val="TableContents"/>
              <w:bidi w:val="0"/>
              <w:spacing w:before="0" w:after="283"/>
              <w:jc w:val="left"/>
              <w:rPr/>
            </w:pPr>
            <w:r>
              <w:rPr/>
              <w:t>% </w:t>
            </w:r>
          </w:p>
        </w:tc>
      </w:tr>
      <w:tr>
        <w:trPr/>
        <w:tc>
          <w:tcPr>
            <w:tcW w:w="3262" w:type="dxa"/>
            <w:tcBorders/>
          </w:tcPr>
          <w:p>
            <w:pPr>
              <w:pStyle w:val="TableContents"/>
              <w:bidi w:val="0"/>
              <w:spacing w:before="0" w:after="0"/>
              <w:jc w:val="left"/>
              <w:rPr>
                <w:rFonts w:ascii="Times New Roman" w:hAnsi="Times New Roman"/>
                <w:sz w:val="20"/>
              </w:rPr>
            </w:pPr>
            <w:r>
              <w:rPr>
                <w:rFonts w:ascii="Times New Roman" w:hAnsi="Times New Roman"/>
                <w:sz w:val="20"/>
              </w:rPr>
              <w:t>Software enhanced services</w:t>
            </w:r>
          </w:p>
        </w:tc>
        <w:tc>
          <w:tcPr>
            <w:tcW w:w="28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2,376</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2,760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(384</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(14</w:t>
            </w:r>
          </w:p>
        </w:tc>
        <w:tc>
          <w:tcPr>
            <w:tcW w:w="357" w:type="dxa"/>
            <w:tcBorders/>
            <w:vAlign w:val="bottom"/>
          </w:tcPr>
          <w:p>
            <w:pPr>
              <w:pStyle w:val="TableContents"/>
              <w:bidi w:val="0"/>
              <w:spacing w:before="0" w:after="283"/>
              <w:jc w:val="left"/>
              <w:rPr/>
            </w:pPr>
            <w:r>
              <w:rPr/>
              <w:t>%) </w:t>
            </w:r>
          </w:p>
        </w:tc>
      </w:tr>
      <w:tr>
        <w:trPr/>
        <w:tc>
          <w:tcPr>
            <w:tcW w:w="3262"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3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service revenues</w:t>
            </w:r>
          </w:p>
        </w:tc>
        <w:tc>
          <w:tcPr>
            <w:tcW w:w="288" w:type="dxa"/>
            <w:tcBorders/>
            <w:shd w:fill="CCEEFF" w:val="clear"/>
            <w:vAlign w:val="bottom"/>
          </w:tcPr>
          <w:p>
            <w:pPr>
              <w:pStyle w:val="TableContents"/>
              <w:bidi w:val="0"/>
              <w:spacing w:before="0" w:after="283"/>
              <w:jc w:val="left"/>
              <w:rPr/>
            </w:pPr>
            <w:r>
              <w:rPr/>
              <w:t>  </w:t>
            </w:r>
          </w:p>
        </w:tc>
        <w:tc>
          <w:tcPr>
            <w:tcW w:w="210" w:type="dxa"/>
            <w:tcBorders/>
            <w:shd w:fill="CCEEFF" w:val="clear"/>
          </w:tcPr>
          <w:p>
            <w:pPr>
              <w:pStyle w:val="TableContents"/>
              <w:bidi w:val="0"/>
              <w:spacing w:before="0" w:after="283"/>
              <w:jc w:val="left"/>
              <w:rPr/>
            </w:pPr>
            <w:r>
              <w:rPr/>
              <w:t>$</w:t>
            </w:r>
          </w:p>
        </w:tc>
        <w:tc>
          <w:tcPr>
            <w:tcW w:w="1030" w:type="dxa"/>
            <w:tcBorders/>
            <w:shd w:fill="CCEEFF" w:val="clear"/>
          </w:tcPr>
          <w:p>
            <w:pPr>
              <w:pStyle w:val="TableContents"/>
              <w:bidi w:val="0"/>
              <w:spacing w:before="0" w:after="283"/>
              <w:jc w:val="right"/>
              <w:rPr/>
            </w:pPr>
            <w:r>
              <w:rPr/>
              <w:t>66,887</w:t>
            </w:r>
          </w:p>
        </w:tc>
        <w:tc>
          <w:tcPr>
            <w:tcW w:w="60" w:type="dxa"/>
            <w:tcBorders/>
            <w:shd w:fill="CCEEFF" w:val="clear"/>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51" w:type="dxa"/>
            <w:tcBorders/>
            <w:shd w:fill="CCEEFF" w:val="clear"/>
          </w:tcPr>
          <w:p>
            <w:pPr>
              <w:pStyle w:val="TableContents"/>
              <w:bidi w:val="0"/>
              <w:spacing w:before="0" w:after="283"/>
              <w:jc w:val="left"/>
              <w:rPr/>
            </w:pPr>
            <w:r>
              <w:rPr/>
              <w:t>$</w:t>
            </w:r>
          </w:p>
        </w:tc>
        <w:tc>
          <w:tcPr>
            <w:tcW w:w="1246" w:type="dxa"/>
            <w:tcBorders/>
            <w:shd w:fill="CCEEFF" w:val="clear"/>
          </w:tcPr>
          <w:p>
            <w:pPr>
              <w:pStyle w:val="TableContents"/>
              <w:bidi w:val="0"/>
              <w:spacing w:before="0" w:after="283"/>
              <w:jc w:val="right"/>
              <w:rPr/>
            </w:pPr>
            <w:r>
              <w:rPr/>
              <w:t>48,794</w:t>
            </w:r>
          </w:p>
        </w:tc>
        <w:tc>
          <w:tcPr>
            <w:tcW w:w="60" w:type="dxa"/>
            <w:tcBorders/>
            <w:shd w:fill="CCEEFF" w:val="clear"/>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84" w:type="dxa"/>
            <w:tcBorders/>
            <w:shd w:fill="CCEEFF" w:val="clear"/>
          </w:tcPr>
          <w:p>
            <w:pPr>
              <w:pStyle w:val="TableContents"/>
              <w:bidi w:val="0"/>
              <w:spacing w:before="0" w:after="283"/>
              <w:jc w:val="right"/>
              <w:rPr/>
            </w:pPr>
            <w:r>
              <w:rPr/>
              <w:t>17,913</w:t>
            </w:r>
          </w:p>
        </w:tc>
        <w:tc>
          <w:tcPr>
            <w:tcW w:w="155" w:type="dxa"/>
            <w:tcBorders/>
            <w:shd w:fill="CCEEFF" w:val="clear"/>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695" w:type="dxa"/>
            <w:tcBorders/>
            <w:shd w:fill="CCEEFF" w:val="clear"/>
          </w:tcPr>
          <w:p>
            <w:pPr>
              <w:pStyle w:val="TableContents"/>
              <w:bidi w:val="0"/>
              <w:spacing w:before="0" w:after="283"/>
              <w:jc w:val="right"/>
              <w:rPr/>
            </w:pPr>
            <w:r>
              <w:rPr/>
              <w:t>37</w:t>
            </w:r>
          </w:p>
        </w:tc>
        <w:tc>
          <w:tcPr>
            <w:tcW w:w="357" w:type="dxa"/>
            <w:tcBorders/>
            <w:shd w:fill="CCEEFF" w:val="clear"/>
          </w:tcPr>
          <w:p>
            <w:pPr>
              <w:pStyle w:val="TableContents"/>
              <w:bidi w:val="0"/>
              <w:spacing w:before="0" w:after="283"/>
              <w:jc w:val="left"/>
              <w:rPr/>
            </w:pPr>
            <w:r>
              <w:rPr/>
              <w:t>% </w:t>
            </w:r>
          </w:p>
        </w:tc>
      </w:tr>
      <w:tr>
        <w:trPr/>
        <w:tc>
          <w:tcPr>
            <w:tcW w:w="3262"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from solar energy system installations for the thirty-nine weeks ended October 1, 2023 was $64.5 million compared to $46.2 million for the nine months ended September 30, 2022. The increase in solar energy system installation revenues of $18.3 million, or 40%, was primarily due to an increase in the volume of solar energy systems installations, a portion of which related to the fulfillment of delayed installations experienced in the first quarter of 2023 due to unusual inclement California weather, as well as an increase in average selling price of solar energy system installations. </w:t>
      </w:r>
    </w:p>
    <w:p>
      <w:pPr>
        <w:pStyle w:val="TextBody"/>
        <w:bidi w:val="0"/>
        <w:spacing w:before="240" w:after="0"/>
        <w:jc w:val="left"/>
        <w:rPr>
          <w:rFonts w:ascii="Times New Roman" w:hAnsi="Times New Roman"/>
          <w:sz w:val="20"/>
        </w:rPr>
      </w:pPr>
      <w:r>
        <w:rPr>
          <w:rFonts w:ascii="Times New Roman" w:hAnsi="Times New Roman"/>
          <w:sz w:val="20"/>
        </w:rPr>
        <w:t xml:space="preserve">Revenues from software enhanced services for the thirty-nine weeks ended October 1, 2023 was $2.4 compared to $2.8 million for the nine months ended September 30, 2022. The decrease of $0.4 million was the result of a shift in focus towards solar energy installations.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revenues for the thirty-nine weeks ended October 1, 2023 was $51.8 million compared to $33.8 million for the nine months ended September 30, 2022. The increase in cost of revenues of $18.0 million, or 53%, was primarily due to the increase in revenues of 37%, coupled with rising costs associated with supply chain constraints.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Margin </w:t>
      </w:r>
    </w:p>
    <w:p>
      <w:pPr>
        <w:pStyle w:val="TextBody"/>
        <w:bidi w:val="0"/>
        <w:spacing w:before="120" w:after="0"/>
        <w:jc w:val="left"/>
        <w:rPr>
          <w:rFonts w:ascii="Times New Roman" w:hAnsi="Times New Roman"/>
          <w:sz w:val="20"/>
        </w:rPr>
      </w:pPr>
      <w:r>
        <w:rPr>
          <w:rFonts w:ascii="Times New Roman" w:hAnsi="Times New Roman"/>
          <w:sz w:val="20"/>
        </w:rPr>
        <w:t xml:space="preserve">Gross margin decreased 8% year over year, from 31% for the nine months ended September 30, 2022 to 23% for the thirty-nine weeks ended October 1, 2023. The decrease in gross margin is primarily attributed to increasing cost of revenues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Commissions </w:t>
      </w:r>
    </w:p>
    <w:p>
      <w:pPr>
        <w:pStyle w:val="TextBody"/>
        <w:bidi w:val="0"/>
        <w:spacing w:before="120" w:after="0"/>
        <w:jc w:val="left"/>
        <w:rPr>
          <w:rFonts w:ascii="Times New Roman" w:hAnsi="Times New Roman"/>
          <w:sz w:val="20"/>
        </w:rPr>
      </w:pPr>
      <w:r>
        <w:rPr>
          <w:rFonts w:ascii="Times New Roman" w:hAnsi="Times New Roman"/>
          <w:sz w:val="20"/>
        </w:rPr>
        <w:t xml:space="preserve">Sales commissions for the thirty-nine weeks ended October 1, 2023, increased by $7.5 million, or 48%, compared to the nine months ended September 30, 2022. The increase in sales commissions is primarily due to the increase in solar system installation revenue of 40%.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Sales and marketing expense for the thirty-nine weeks ended October 1, 2023 increased by $0.6 million, or 13%, compared to the nine months ended September 30, 2022. The increase is primarily attributable to an increase of $0.4 million in office and operating related expense, increase of $0.2 million in stock-based compensation expenses due to options issued in the thirty-nineteen weeks ended October 1, 2023, an increase of $0.2 million in outside services, and an increase of $0.1 million in travel related expenses, offset by decrease in payroll of $0.4 million.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costs for the thirty-nine weeks ended October 1, 2023 increased by $16.8 million, or 271%, compared to the nine months ended September 30, 2022. The increase was primarily attributed to increases in contractors and outside services costs of $6.6 million related to the Business Combination, increase in payroll of $3.9 million, an increase in bad debt expense of $3.4 million, increase of $1.8 million in stock-based compensation expenses due to options and RSUs issued, and increase in office occupancy related costs of $1.1 million for the thirty-nine weeks ended October 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for the thirty-nine weeks ended October 1, 2023 increased by $6.2 million, or 232%, compared to the nine months ended September 30, 2022. The increase was primarily attributed $4.6 million of interest related to debt acquired as part of the acquisition of Solaria in November 2022, which was retained upon the divestiture from the business, as well as an increase of $1.4 million in interest expense related to the convertible notes and long-term debt in CS Solis for the thirty-nine weeks ended October 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for the thirty-nine weeks ended October 1, 2023 increased by $31.5 million compared to the nine months ended September 30, 2022. The increase was primarily attributed to an increase of $35.5 million in other expense related to the issuance of common stock in connection with the FPAs, the loss on extinguishment of debt in CS Solis of $10.3 million, an increase of $6.7 million in other expense associated with the change in fair value of FPAs, an increase of $2.4 million driven by Companys issuance of bonus shares in connection with the Business Combination, and $3.2 million related to the conversion of convertible debts and SAFE agreements in March 2022, offset by decreases in the change in fair value of the Companys warrant liabilities of $26.5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from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factors discussed above, our net loss from continuing operations for the thirty-nine weeks ended October 1, 2023 was $73.4 million, an increase of $62.6 million, as compared to a net loss from continuing operations of $10.8 million for the nine months ended September 30,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of Discontinued Operations, Net of Tax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disposition of the Solaria business as described above, we recognized a loss on discontinued operations of $168.5 million for the thirty-nine weeks ended October 1, 2023. Loss on discontinued operations was comprised of revenues of $29.0 million, offset by cost of revenues of $30.6 million, selling and marketing expenses of $6.8 million, general and administrative expenses of $12.6 million, and impairment of goodwill and intangible assets assigned to Solaria of $119.4 million and $28.1 million, respectively.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Year ended December 31, 2022 compared to year ended December 31, 2021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unaudited statements of operations data for the years ended December 31, 2022 and 2021, respectively. We have derived this data from our audited annual financial statements included elsewhere in this prospectus. This information should be read in conjunction with our audited annual financial statements and related notes included elsewhere in this prospectus. The results of historical periods are not necessarily indicative of the results of operations for any future period.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35"/>
        <w:gridCol w:w="248"/>
        <w:gridCol w:w="187"/>
        <w:gridCol w:w="1036"/>
        <w:gridCol w:w="374"/>
        <w:gridCol w:w="183"/>
        <w:gridCol w:w="187"/>
        <w:gridCol w:w="918"/>
        <w:gridCol w:w="275"/>
        <w:gridCol w:w="164"/>
        <w:gridCol w:w="155"/>
        <w:gridCol w:w="846"/>
        <w:gridCol w:w="154"/>
        <w:gridCol w:w="221"/>
        <w:gridCol w:w="152"/>
        <w:gridCol w:w="989"/>
        <w:gridCol w:w="364"/>
      </w:tblGrid>
      <w:tr>
        <w:trPr/>
        <w:tc>
          <w:tcPr>
            <w:tcW w:w="293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93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8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41" w:type="dxa"/>
            <w:gridSpan w:val="2"/>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r>
      <w:tr>
        <w:trPr/>
        <w:tc>
          <w:tcPr>
            <w:tcW w:w="29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248"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37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66,475</w:t>
            </w:r>
          </w:p>
        </w:tc>
        <w:tc>
          <w:tcPr>
            <w:tcW w:w="37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68,816</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(2,341</w:t>
            </w:r>
          </w:p>
        </w:tc>
        <w:tc>
          <w:tcPr>
            <w:tcW w:w="15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w:t>
            </w:r>
          </w:p>
        </w:tc>
        <w:tc>
          <w:tcPr>
            <w:tcW w:w="3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revenues(1)</w:t>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46,647</w:t>
            </w:r>
          </w:p>
        </w:tc>
        <w:tc>
          <w:tcPr>
            <w:tcW w:w="37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40,123</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6,524</w:t>
            </w:r>
          </w:p>
        </w:tc>
        <w:tc>
          <w:tcPr>
            <w:tcW w:w="15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16</w:t>
            </w:r>
          </w:p>
        </w:tc>
        <w:tc>
          <w:tcPr>
            <w:tcW w:w="364" w:type="dxa"/>
            <w:tcBorders/>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374"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19,828</w:t>
            </w:r>
          </w:p>
        </w:tc>
        <w:tc>
          <w:tcPr>
            <w:tcW w:w="37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28,693</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(8,865</w:t>
            </w:r>
          </w:p>
        </w:tc>
        <w:tc>
          <w:tcPr>
            <w:tcW w:w="15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(31</w:t>
            </w:r>
          </w:p>
        </w:tc>
        <w:tc>
          <w:tcPr>
            <w:tcW w:w="3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 %</w:t>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30</w:t>
            </w:r>
          </w:p>
        </w:tc>
        <w:tc>
          <w:tcPr>
            <w:tcW w:w="37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42</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374"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sz w:val="4"/>
                <w:szCs w:val="4"/>
              </w:rPr>
            </w:pPr>
            <w:r>
              <w:rPr>
                <w:sz w:val="4"/>
                <w:szCs w:val="4"/>
              </w:rPr>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Sales commissions</w:t>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21,195</w:t>
            </w:r>
          </w:p>
        </w:tc>
        <w:tc>
          <w:tcPr>
            <w:tcW w:w="37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25,061</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(3,866</w:t>
            </w:r>
          </w:p>
        </w:tc>
        <w:tc>
          <w:tcPr>
            <w:tcW w:w="15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(15</w:t>
            </w:r>
          </w:p>
        </w:tc>
        <w:tc>
          <w:tcPr>
            <w:tcW w:w="3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marketing(1)</w:t>
            </w:r>
          </w:p>
        </w:tc>
        <w:tc>
          <w:tcPr>
            <w:tcW w:w="2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6,156</w:t>
            </w:r>
          </w:p>
        </w:tc>
        <w:tc>
          <w:tcPr>
            <w:tcW w:w="37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5,179</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977</w:t>
            </w:r>
          </w:p>
        </w:tc>
        <w:tc>
          <w:tcPr>
            <w:tcW w:w="15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19</w:t>
            </w:r>
          </w:p>
        </w:tc>
        <w:tc>
          <w:tcPr>
            <w:tcW w:w="3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administrative(1)</w:t>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13,634</w:t>
            </w:r>
          </w:p>
        </w:tc>
        <w:tc>
          <w:tcPr>
            <w:tcW w:w="37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5,780</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7,854</w:t>
            </w:r>
          </w:p>
        </w:tc>
        <w:tc>
          <w:tcPr>
            <w:tcW w:w="15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136</w:t>
            </w:r>
          </w:p>
        </w:tc>
        <w:tc>
          <w:tcPr>
            <w:tcW w:w="364" w:type="dxa"/>
            <w:tcBorders/>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374"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40,985</w:t>
            </w:r>
          </w:p>
        </w:tc>
        <w:tc>
          <w:tcPr>
            <w:tcW w:w="37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36,020</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4,965</w:t>
            </w:r>
          </w:p>
        </w:tc>
        <w:tc>
          <w:tcPr>
            <w:tcW w:w="15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14</w:t>
            </w:r>
          </w:p>
        </w:tc>
        <w:tc>
          <w:tcPr>
            <w:tcW w:w="364" w:type="dxa"/>
            <w:tcBorders/>
            <w:shd w:fill="CCEEFF" w:val="clear"/>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374"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(21,157</w:t>
            </w:r>
          </w:p>
        </w:tc>
        <w:tc>
          <w:tcPr>
            <w:tcW w:w="37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(7,327</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(13,830</w:t>
            </w:r>
          </w:p>
        </w:tc>
        <w:tc>
          <w:tcPr>
            <w:tcW w:w="15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189</w:t>
            </w:r>
          </w:p>
        </w:tc>
        <w:tc>
          <w:tcPr>
            <w:tcW w:w="3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expense(2)</w:t>
            </w:r>
          </w:p>
        </w:tc>
        <w:tc>
          <w:tcPr>
            <w:tcW w:w="2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(4,986</w:t>
            </w:r>
          </w:p>
        </w:tc>
        <w:tc>
          <w:tcPr>
            <w:tcW w:w="37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(1,712</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(3,274</w:t>
            </w:r>
          </w:p>
        </w:tc>
        <w:tc>
          <w:tcPr>
            <w:tcW w:w="15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191</w:t>
            </w:r>
          </w:p>
        </w:tc>
        <w:tc>
          <w:tcPr>
            <w:tcW w:w="3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5</w:t>
            </w:r>
          </w:p>
        </w:tc>
        <w:tc>
          <w:tcPr>
            <w:tcW w:w="37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5</w:t>
            </w:r>
          </w:p>
        </w:tc>
        <w:tc>
          <w:tcPr>
            <w:tcW w:w="15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100</w:t>
            </w:r>
          </w:p>
        </w:tc>
        <w:tc>
          <w:tcPr>
            <w:tcW w:w="3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net(3)</w:t>
            </w:r>
          </w:p>
        </w:tc>
        <w:tc>
          <w:tcPr>
            <w:tcW w:w="2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(1,858</w:t>
            </w:r>
          </w:p>
        </w:tc>
        <w:tc>
          <w:tcPr>
            <w:tcW w:w="37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(240</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(1,618</w:t>
            </w:r>
          </w:p>
        </w:tc>
        <w:tc>
          <w:tcPr>
            <w:tcW w:w="15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364" w:type="dxa"/>
            <w:tcBorders/>
            <w:shd w:fill="CCEEFF" w:val="clear"/>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374"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Loss from continuing operations before income taxes</w:t>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(27,996</w:t>
            </w:r>
          </w:p>
        </w:tc>
        <w:tc>
          <w:tcPr>
            <w:tcW w:w="37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(9,279</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(18,717</w:t>
            </w:r>
          </w:p>
        </w:tc>
        <w:tc>
          <w:tcPr>
            <w:tcW w:w="15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202</w:t>
            </w:r>
          </w:p>
        </w:tc>
        <w:tc>
          <w:tcPr>
            <w:tcW w:w="3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(provision)</w:t>
            </w:r>
          </w:p>
        </w:tc>
        <w:tc>
          <w:tcPr>
            <w:tcW w:w="2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(27</w:t>
            </w:r>
          </w:p>
        </w:tc>
        <w:tc>
          <w:tcPr>
            <w:tcW w:w="37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(24</w:t>
            </w:r>
          </w:p>
        </w:tc>
        <w:tc>
          <w:tcPr>
            <w:tcW w:w="15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364" w:type="dxa"/>
            <w:tcBorders/>
            <w:shd w:fill="CCEEFF" w:val="clear"/>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374"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(28,023</w:t>
            </w:r>
          </w:p>
        </w:tc>
        <w:tc>
          <w:tcPr>
            <w:tcW w:w="37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(9,282</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(18,741</w:t>
            </w:r>
          </w:p>
        </w:tc>
        <w:tc>
          <w:tcPr>
            <w:tcW w:w="15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202</w:t>
            </w:r>
          </w:p>
        </w:tc>
        <w:tc>
          <w:tcPr>
            <w:tcW w:w="3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discontinued operations, net of tax</w:t>
            </w:r>
          </w:p>
        </w:tc>
        <w:tc>
          <w:tcPr>
            <w:tcW w:w="24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(1,454</w:t>
            </w:r>
          </w:p>
        </w:tc>
        <w:tc>
          <w:tcPr>
            <w:tcW w:w="37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(1,454</w:t>
            </w:r>
          </w:p>
        </w:tc>
        <w:tc>
          <w:tcPr>
            <w:tcW w:w="15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364" w:type="dxa"/>
            <w:tcBorders/>
            <w:shd w:fill="CCEEFF" w:val="clear"/>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374"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036" w:type="dxa"/>
            <w:tcBorders/>
            <w:vAlign w:val="bottom"/>
          </w:tcPr>
          <w:p>
            <w:pPr>
              <w:pStyle w:val="TableContents"/>
              <w:bidi w:val="0"/>
              <w:spacing w:before="0" w:after="283"/>
              <w:jc w:val="right"/>
              <w:rPr/>
            </w:pPr>
            <w:r>
              <w:rPr/>
              <w:t>(29,477</w:t>
            </w:r>
          </w:p>
        </w:tc>
        <w:tc>
          <w:tcPr>
            <w:tcW w:w="37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(9,282</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46" w:type="dxa"/>
            <w:tcBorders/>
            <w:vAlign w:val="bottom"/>
          </w:tcPr>
          <w:p>
            <w:pPr>
              <w:pStyle w:val="TableContents"/>
              <w:bidi w:val="0"/>
              <w:spacing w:before="0" w:after="283"/>
              <w:jc w:val="right"/>
              <w:rPr/>
            </w:pPr>
            <w:r>
              <w:rPr/>
              <w:t>(20,195</w:t>
            </w:r>
          </w:p>
        </w:tc>
        <w:tc>
          <w:tcPr>
            <w:tcW w:w="15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364" w:type="dxa"/>
            <w:tcBorders/>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374"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91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84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change not meaningful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stock-based compensation expense as follows (in thousands):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31"/>
        <w:gridCol w:w="470"/>
        <w:gridCol w:w="315"/>
        <w:gridCol w:w="861"/>
        <w:gridCol w:w="135"/>
        <w:gridCol w:w="486"/>
        <w:gridCol w:w="315"/>
        <w:gridCol w:w="863"/>
        <w:gridCol w:w="179"/>
      </w:tblGrid>
      <w:tr>
        <w:trPr/>
        <w:tc>
          <w:tcPr>
            <w:tcW w:w="4131"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9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79"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3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79" w:type="dxa"/>
            <w:tcBorders/>
            <w:vAlign w:val="bottom"/>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47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861" w:type="dxa"/>
            <w:tcBorders/>
            <w:shd w:fill="CCEEFF" w:val="clear"/>
            <w:vAlign w:val="bottom"/>
          </w:tcPr>
          <w:p>
            <w:pPr>
              <w:pStyle w:val="TableContents"/>
              <w:bidi w:val="0"/>
              <w:spacing w:before="0" w:after="283"/>
              <w:jc w:val="right"/>
              <w:rPr/>
            </w:pPr>
            <w:r>
              <w:rPr/>
              <w:t>22</w:t>
            </w:r>
          </w:p>
        </w:tc>
        <w:tc>
          <w:tcPr>
            <w:tcW w:w="13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19</w:t>
            </w:r>
          </w:p>
        </w:tc>
        <w:tc>
          <w:tcPr>
            <w:tcW w:w="179" w:type="dxa"/>
            <w:tcBorders/>
            <w:shd w:fill="CCEEFF" w:val="clear"/>
            <w:vAlign w:val="bottom"/>
          </w:tcPr>
          <w:p>
            <w:pPr>
              <w:pStyle w:val="TableContents"/>
              <w:bidi w:val="0"/>
              <w:spacing w:before="0" w:after="283"/>
              <w:jc w:val="left"/>
              <w:rPr/>
            </w:pPr>
            <w:r>
              <w:rPr/>
              <w:t> </w:t>
            </w:r>
          </w:p>
        </w:tc>
      </w:tr>
      <w:tr>
        <w:trPr/>
        <w:tc>
          <w:tcPr>
            <w:tcW w:w="4131"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47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168</w:t>
            </w:r>
          </w:p>
        </w:tc>
        <w:tc>
          <w:tcPr>
            <w:tcW w:w="13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68</w:t>
            </w:r>
          </w:p>
        </w:tc>
        <w:tc>
          <w:tcPr>
            <w:tcW w:w="179" w:type="dxa"/>
            <w:tcBorders/>
            <w:vAlign w:val="bottom"/>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7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243</w:t>
            </w:r>
          </w:p>
        </w:tc>
        <w:tc>
          <w:tcPr>
            <w:tcW w:w="13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113</w:t>
            </w:r>
          </w:p>
        </w:tc>
        <w:tc>
          <w:tcPr>
            <w:tcW w:w="179"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179" w:type="dxa"/>
            <w:tcBorders/>
            <w:vAlign w:val="center"/>
          </w:tcPr>
          <w:p>
            <w:pPr>
              <w:pStyle w:val="TableContents"/>
              <w:bidi w:val="0"/>
              <w:spacing w:before="0" w:after="283"/>
              <w:jc w:val="left"/>
              <w:rPr/>
            </w:pPr>
            <w:r>
              <w:rPr/>
              <w:t> </w:t>
            </w:r>
          </w:p>
        </w:tc>
      </w:tr>
      <w:tr>
        <w:trPr/>
        <w:tc>
          <w:tcPr>
            <w:tcW w:w="413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47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w:t>
            </w:r>
          </w:p>
        </w:tc>
        <w:tc>
          <w:tcPr>
            <w:tcW w:w="861" w:type="dxa"/>
            <w:tcBorders/>
            <w:vAlign w:val="bottom"/>
          </w:tcPr>
          <w:p>
            <w:pPr>
              <w:pStyle w:val="TableContents"/>
              <w:bidi w:val="0"/>
              <w:spacing w:before="0" w:after="283"/>
              <w:jc w:val="right"/>
              <w:rPr/>
            </w:pPr>
            <w:r>
              <w:rPr/>
              <w:t>433</w:t>
            </w:r>
          </w:p>
        </w:tc>
        <w:tc>
          <w:tcPr>
            <w:tcW w:w="13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200</w:t>
            </w:r>
          </w:p>
        </w:tc>
        <w:tc>
          <w:tcPr>
            <w:tcW w:w="179"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861" w:type="dxa"/>
            <w:tcBorders/>
            <w:vAlign w:val="bottom"/>
          </w:tcPr>
          <w:p>
            <w:pPr>
              <w:pStyle w:val="TableContents"/>
              <w:pBdr>
                <w:top w:val="double" w:sz="6"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863" w:type="dxa"/>
            <w:tcBorders/>
            <w:vAlign w:val="bottom"/>
          </w:tcPr>
          <w:p>
            <w:pPr>
              <w:pStyle w:val="TableContents"/>
              <w:pBdr>
                <w:top w:val="double" w:sz="6" w:space="1" w:color="000000"/>
              </w:pBdr>
              <w:bidi w:val="0"/>
              <w:spacing w:before="0" w:after="0"/>
              <w:jc w:val="left"/>
              <w:rPr/>
            </w:pPr>
            <w:r>
              <w:rPr/>
              <w:t> </w:t>
            </w:r>
          </w:p>
        </w:tc>
        <w:tc>
          <w:tcPr>
            <w:tcW w:w="17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interest expense to related parties of $0.3 million and $0.7 million during the year ended December 31, 2022 and 2021,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other income from related parties of $1.4 million, and zero during the years ended December 31, 2022 and 2021, respectively.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disaggregates its revenues based on the following types of services: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04"/>
        <w:gridCol w:w="296"/>
        <w:gridCol w:w="211"/>
        <w:gridCol w:w="1030"/>
        <w:gridCol w:w="90"/>
        <w:gridCol w:w="351"/>
        <w:gridCol w:w="211"/>
        <w:gridCol w:w="1033"/>
        <w:gridCol w:w="60"/>
        <w:gridCol w:w="296"/>
        <w:gridCol w:w="147"/>
        <w:gridCol w:w="672"/>
        <w:gridCol w:w="155"/>
        <w:gridCol w:w="258"/>
        <w:gridCol w:w="152"/>
        <w:gridCol w:w="666"/>
        <w:gridCol w:w="356"/>
      </w:tblGrid>
      <w:tr>
        <w:trPr/>
        <w:tc>
          <w:tcPr>
            <w:tcW w:w="3404"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40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9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0" w:type="dxa"/>
            <w:tcBorders/>
            <w:vAlign w:val="bottom"/>
          </w:tcPr>
          <w:p>
            <w:pPr>
              <w:pStyle w:val="TableContents"/>
              <w:bidi w:val="0"/>
              <w:spacing w:before="0" w:after="283"/>
              <w:jc w:val="left"/>
              <w:rPr/>
            </w:pPr>
            <w:r>
              <w:rPr/>
              <w:t> </w:t>
            </w:r>
          </w:p>
        </w:tc>
        <w:tc>
          <w:tcPr>
            <w:tcW w:w="296" w:type="dxa"/>
            <w:vMerge w:val="restart"/>
            <w:tcBorders/>
            <w:vAlign w:val="bottom"/>
          </w:tcPr>
          <w:p>
            <w:pPr>
              <w:pStyle w:val="TableContents"/>
              <w:bidi w:val="0"/>
              <w:spacing w:before="0" w:after="283"/>
              <w:jc w:val="left"/>
              <w:rPr/>
            </w:pPr>
            <w:r>
              <w:rPr/>
              <w:t>  </w:t>
            </w:r>
          </w:p>
        </w:tc>
        <w:tc>
          <w:tcPr>
            <w:tcW w:w="81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Change</w:t>
            </w:r>
            <w:r>
              <w:rPr/>
              <w:br/>
            </w:r>
            <w:r>
              <w:rPr>
                <w:b/>
              </w:rPr>
              <w:t>$</w:t>
            </w:r>
          </w:p>
        </w:tc>
        <w:tc>
          <w:tcPr>
            <w:tcW w:w="155" w:type="dxa"/>
            <w:vMerge w:val="restart"/>
            <w:tcBorders/>
            <w:vAlign w:val="bottom"/>
          </w:tcPr>
          <w:p>
            <w:pPr>
              <w:pStyle w:val="TableContents"/>
              <w:bidi w:val="0"/>
              <w:spacing w:before="0" w:after="283"/>
              <w:jc w:val="left"/>
              <w:rPr/>
            </w:pPr>
            <w:r>
              <w:rPr/>
              <w:t> </w:t>
            </w:r>
          </w:p>
        </w:tc>
        <w:tc>
          <w:tcPr>
            <w:tcW w:w="258" w:type="dxa"/>
            <w:vMerge w:val="restart"/>
            <w:tcBorders/>
            <w:vAlign w:val="bottom"/>
          </w:tcPr>
          <w:p>
            <w:pPr>
              <w:pStyle w:val="TableContents"/>
              <w:bidi w:val="0"/>
              <w:spacing w:before="0" w:after="283"/>
              <w:jc w:val="left"/>
              <w:rPr/>
            </w:pPr>
            <w:r>
              <w:rPr/>
              <w:t>  </w:t>
            </w:r>
          </w:p>
        </w:tc>
        <w:tc>
          <w:tcPr>
            <w:tcW w:w="81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Change</w:t>
            </w:r>
            <w:r>
              <w:rPr/>
              <w:br/>
            </w:r>
            <w:r>
              <w:rPr>
                <w:b/>
              </w:rPr>
              <w:t>%</w:t>
            </w:r>
          </w:p>
        </w:tc>
        <w:tc>
          <w:tcPr>
            <w:tcW w:w="356" w:type="dxa"/>
            <w:vMerge w:val="restart"/>
            <w:tcBorders/>
            <w:vAlign w:val="bottom"/>
          </w:tcPr>
          <w:p>
            <w:pPr>
              <w:pStyle w:val="TableContents"/>
              <w:bidi w:val="0"/>
              <w:spacing w:before="0" w:after="283"/>
              <w:jc w:val="left"/>
              <w:rPr/>
            </w:pPr>
            <w:r>
              <w:rPr/>
              <w:t> </w:t>
            </w:r>
          </w:p>
        </w:tc>
      </w:tr>
      <w:tr>
        <w:trPr/>
        <w:tc>
          <w:tcPr>
            <w:tcW w:w="3404" w:type="dxa"/>
            <w:tcBorders/>
            <w:vAlign w:val="bottom"/>
          </w:tcPr>
          <w:p>
            <w:pPr>
              <w:pStyle w:val="TableContents"/>
              <w:bidi w:val="0"/>
              <w:spacing w:before="0" w:after="283"/>
              <w:jc w:val="left"/>
              <w:rPr>
                <w:b/>
              </w:rPr>
            </w:pPr>
            <w:r>
              <w:rPr>
                <w:b/>
              </w:rPr>
              <w:t>(In thousands)</w:t>
            </w:r>
          </w:p>
        </w:tc>
        <w:tc>
          <w:tcPr>
            <w:tcW w:w="296"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9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60" w:type="dxa"/>
            <w:tcBorders/>
            <w:vAlign w:val="bottom"/>
          </w:tcPr>
          <w:p>
            <w:pPr>
              <w:pStyle w:val="TableContents"/>
              <w:bidi w:val="0"/>
              <w:spacing w:before="0" w:after="283"/>
              <w:jc w:val="left"/>
              <w:rPr/>
            </w:pPr>
            <w:r>
              <w:rPr/>
              <w:t> </w:t>
            </w:r>
          </w:p>
        </w:tc>
        <w:tc>
          <w:tcPr>
            <w:tcW w:w="296" w:type="dxa"/>
            <w:vMerge w:val="continue"/>
            <w:tcBorders/>
            <w:vAlign w:val="bottom"/>
          </w:tcPr>
          <w:p>
            <w:pPr>
              <w:pStyle w:val="Normal"/>
              <w:bidi w:val="0"/>
              <w:jc w:val="left"/>
              <w:rPr/>
            </w:pPr>
            <w:r>
              <w:rPr/>
            </w:r>
          </w:p>
        </w:tc>
        <w:tc>
          <w:tcPr>
            <w:tcW w:w="819"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258" w:type="dxa"/>
            <w:vMerge w:val="continue"/>
            <w:tcBorders>
              <w:bottom w:val="single" w:sz="8" w:space="0" w:color="000000"/>
            </w:tcBorders>
            <w:tcMar>
              <w:bottom w:w="28" w:type="dxa"/>
            </w:tcMar>
            <w:vAlign w:val="bottom"/>
          </w:tcPr>
          <w:p>
            <w:pPr>
              <w:pStyle w:val="Normal"/>
              <w:bidi w:val="0"/>
              <w:jc w:val="left"/>
              <w:rPr/>
            </w:pPr>
            <w:r>
              <w:rPr/>
            </w:r>
          </w:p>
        </w:tc>
        <w:tc>
          <w:tcPr>
            <w:tcW w:w="818" w:type="dxa"/>
            <w:gridSpan w:val="2"/>
            <w:vMerge w:val="continue"/>
            <w:tcBorders/>
            <w:vAlign w:val="bottom"/>
          </w:tcPr>
          <w:p>
            <w:pPr>
              <w:pStyle w:val="Normal"/>
              <w:bidi w:val="0"/>
              <w:jc w:val="left"/>
              <w:rPr/>
            </w:pPr>
            <w:r>
              <w:rPr/>
            </w:r>
          </w:p>
        </w:tc>
        <w:tc>
          <w:tcPr>
            <w:tcW w:w="356" w:type="dxa"/>
            <w:vMerge w:val="continue"/>
            <w:tcBorders/>
            <w:vAlign w:val="bottom"/>
          </w:tcPr>
          <w:p>
            <w:pPr>
              <w:pStyle w:val="Normal"/>
              <w:bidi w:val="0"/>
              <w:jc w:val="left"/>
              <w:rPr/>
            </w:pPr>
            <w:r>
              <w:rPr/>
            </w:r>
          </w:p>
        </w:tc>
      </w:tr>
      <w:tr>
        <w:trPr/>
        <w:tc>
          <w:tcPr>
            <w:tcW w:w="3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Solar energy system installations</w:t>
            </w:r>
          </w:p>
        </w:tc>
        <w:tc>
          <w:tcPr>
            <w:tcW w:w="29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62,896</w:t>
            </w:r>
          </w:p>
        </w:tc>
        <w:tc>
          <w:tcPr>
            <w:tcW w:w="9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66,958</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72" w:type="dxa"/>
            <w:tcBorders/>
            <w:shd w:fill="CCEEFF" w:val="clear"/>
            <w:vAlign w:val="bottom"/>
          </w:tcPr>
          <w:p>
            <w:pPr>
              <w:pStyle w:val="TableContents"/>
              <w:bidi w:val="0"/>
              <w:spacing w:before="0" w:after="283"/>
              <w:jc w:val="right"/>
              <w:rPr/>
            </w:pPr>
            <w:r>
              <w:rPr/>
              <w:t>(4,062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(6</w:t>
            </w:r>
          </w:p>
        </w:tc>
        <w:tc>
          <w:tcPr>
            <w:tcW w:w="356" w:type="dxa"/>
            <w:tcBorders/>
            <w:shd w:fill="CCEEFF" w:val="clear"/>
            <w:vAlign w:val="bottom"/>
          </w:tcPr>
          <w:p>
            <w:pPr>
              <w:pStyle w:val="TableContents"/>
              <w:bidi w:val="0"/>
              <w:spacing w:before="0" w:after="283"/>
              <w:jc w:val="left"/>
              <w:rPr/>
            </w:pPr>
            <w:r>
              <w:rPr/>
              <w:t>%) </w:t>
            </w:r>
          </w:p>
        </w:tc>
      </w:tr>
      <w:tr>
        <w:trPr/>
        <w:tc>
          <w:tcPr>
            <w:tcW w:w="3404" w:type="dxa"/>
            <w:tcBorders/>
          </w:tcPr>
          <w:p>
            <w:pPr>
              <w:pStyle w:val="TableContents"/>
              <w:bidi w:val="0"/>
              <w:spacing w:before="0" w:after="0"/>
              <w:jc w:val="left"/>
              <w:rPr>
                <w:rFonts w:ascii="Times New Roman" w:hAnsi="Times New Roman"/>
                <w:sz w:val="20"/>
              </w:rPr>
            </w:pPr>
            <w:r>
              <w:rPr>
                <w:rFonts w:ascii="Times New Roman" w:hAnsi="Times New Roman"/>
                <w:sz w:val="20"/>
              </w:rPr>
              <w:t>Software enhanced services</w:t>
            </w:r>
          </w:p>
        </w:tc>
        <w:tc>
          <w:tcPr>
            <w:tcW w:w="29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3,579</w:t>
            </w:r>
          </w:p>
        </w:tc>
        <w:tc>
          <w:tcPr>
            <w:tcW w:w="9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1,858</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1,721</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93</w:t>
            </w:r>
          </w:p>
        </w:tc>
        <w:tc>
          <w:tcPr>
            <w:tcW w:w="356" w:type="dxa"/>
            <w:tcBorders/>
            <w:vAlign w:val="bottom"/>
          </w:tcPr>
          <w:p>
            <w:pPr>
              <w:pStyle w:val="TableContents"/>
              <w:bidi w:val="0"/>
              <w:spacing w:before="0" w:after="283"/>
              <w:jc w:val="left"/>
              <w:rPr/>
            </w:pPr>
            <w:r>
              <w:rPr/>
              <w:t>% </w:t>
            </w:r>
          </w:p>
        </w:tc>
      </w:tr>
      <w:tr>
        <w:trPr/>
        <w:tc>
          <w:tcPr>
            <w:tcW w:w="3404"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6"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r>
      <w:tr>
        <w:trPr/>
        <w:tc>
          <w:tcPr>
            <w:tcW w:w="3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9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66,475</w:t>
            </w:r>
          </w:p>
        </w:tc>
        <w:tc>
          <w:tcPr>
            <w:tcW w:w="9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68,816</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72" w:type="dxa"/>
            <w:tcBorders/>
            <w:shd w:fill="CCEEFF" w:val="clear"/>
            <w:vAlign w:val="bottom"/>
          </w:tcPr>
          <w:p>
            <w:pPr>
              <w:pStyle w:val="TableContents"/>
              <w:bidi w:val="0"/>
              <w:spacing w:before="0" w:after="283"/>
              <w:jc w:val="right"/>
              <w:rPr/>
            </w:pPr>
            <w:r>
              <w:rPr/>
              <w:t>(2,341</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(3</w:t>
            </w:r>
          </w:p>
        </w:tc>
        <w:tc>
          <w:tcPr>
            <w:tcW w:w="356" w:type="dxa"/>
            <w:tcBorders/>
            <w:shd w:fill="CCEEFF" w:val="clear"/>
            <w:vAlign w:val="bottom"/>
          </w:tcPr>
          <w:p>
            <w:pPr>
              <w:pStyle w:val="TableContents"/>
              <w:bidi w:val="0"/>
              <w:spacing w:before="0" w:after="283"/>
              <w:jc w:val="left"/>
              <w:rPr/>
            </w:pPr>
            <w:r>
              <w:rPr/>
              <w:t>%) </w:t>
            </w:r>
          </w:p>
        </w:tc>
      </w:tr>
      <w:tr>
        <w:trPr/>
        <w:tc>
          <w:tcPr>
            <w:tcW w:w="3404"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6"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from solar energy system installations for the year ended December 31, 2022 was $62.9 million compared to $67.0 million for the year ended December 31, 2021. The decrease in solar energy system installation revenues of $4.1 million is primarily due to constraints on the supply of solar panels available to purchase for fulfillment of our customer contracts. These supply constraints resulted from economic sanctions such as the Dec 21, 2021 Uyghur Forced Labor Prevention Act and supplier reactions to the Auxin Solar Tariff Petition. Without the necessary equipment to fulfill customer contracts, our projects were pushed into subsequent quarters. </w:t>
      </w:r>
    </w:p>
    <w:p>
      <w:pPr>
        <w:pStyle w:val="TextBody"/>
        <w:bidi w:val="0"/>
        <w:spacing w:before="240" w:after="0"/>
        <w:jc w:val="left"/>
        <w:rPr>
          <w:rFonts w:ascii="Times New Roman" w:hAnsi="Times New Roman"/>
          <w:sz w:val="20"/>
        </w:rPr>
      </w:pPr>
      <w:r>
        <w:rPr>
          <w:rFonts w:ascii="Times New Roman" w:hAnsi="Times New Roman"/>
          <w:sz w:val="20"/>
        </w:rPr>
        <w:t xml:space="preserve">Revenues from software enhanced services for the year ended December 31, 2022 was $3.6 million compared to $1.9 million for the year ended December 31, 2021. The increase in software enhanced services revenues is primarily due to increased sales and marketing for proposal and design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revenues for the year ended December 31, 2022 was $46.6 million compared to $40.1 million for the year ended December 31, 2021. The increase of cost of revenues of $6.5 million was primarily driven by an increase in the reserve for excess and obsolete inventory of $3.6 million, an increase in warranty costs of $0.9 million and the effect of increasing materials prices for our solar energy systems. The increase in the reserve was a result of a substantial build up in inventory on hand commencing in early 2022 in response to global supply chain constraints, a general product shift relating to market demand for higher voltage solar panels, and certain inventory management adjustments associated with inventories maintained by inactive installers.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Margin </w:t>
      </w:r>
    </w:p>
    <w:p>
      <w:pPr>
        <w:pStyle w:val="TextBody"/>
        <w:bidi w:val="0"/>
        <w:spacing w:before="120" w:after="0"/>
        <w:jc w:val="left"/>
        <w:rPr>
          <w:rFonts w:ascii="Times New Roman" w:hAnsi="Times New Roman"/>
          <w:sz w:val="20"/>
        </w:rPr>
      </w:pPr>
      <w:r>
        <w:rPr>
          <w:rFonts w:ascii="Times New Roman" w:hAnsi="Times New Roman"/>
          <w:sz w:val="20"/>
        </w:rPr>
        <w:t xml:space="preserve">Gross margin decreased 12% year over year, from 42% for the year ended December 31, 2021 to 30% for the year ended December 31, 2022. The decrease in margin is primarily due to the increases in cost of revenues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Commissions </w:t>
      </w:r>
    </w:p>
    <w:p>
      <w:pPr>
        <w:pStyle w:val="TextBody"/>
        <w:bidi w:val="0"/>
        <w:spacing w:before="120" w:after="0"/>
        <w:jc w:val="left"/>
        <w:rPr>
          <w:rFonts w:ascii="Times New Roman" w:hAnsi="Times New Roman"/>
          <w:sz w:val="20"/>
        </w:rPr>
      </w:pPr>
      <w:r>
        <w:rPr>
          <w:rFonts w:ascii="Times New Roman" w:hAnsi="Times New Roman"/>
          <w:sz w:val="20"/>
        </w:rPr>
        <w:t xml:space="preserve">Sales commission decreased by $3.8 million, or 15%, from $25.0 million in the year ended December 31, 2021 to $21.2 million in the year ended December 31, 2022. The decrease in commissions is due to the diversification of our sales partner channels to deliver greater services and value it is able to capture more contribution margin by reducing sales commissions.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Sales and marketing expense increased by $1.0 million, or 19%, from $5.2 million in the year ended December 31, 2021 to $6.2 million in the year ended December 31, 2022. The increase was due to an increase in personnel-related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 increased by $7.9 million, or 136%, from $5.8 million in the year ended December 31, 2021 to $13.6 million in the year ended December 31, 2022. The increase was primarily attributed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outside services for finance and legal costs of $3.5 million related to the Mergers, an increase in bad debt expense of $1.7 million, an increase in payroll related costs of $1.3 million, an increase in office and occupancy related costs due to new offices for $0.8 million, an increase in, and an increase in stock-based compensation for $0.5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increased by $3.3 million, or 191%, from $1.7 million in the year ended December 31, 2021 to $5.0 million in the year ended December 31, 2022. The increase was primarily attributed to accretion of $2.4 million and the amortization of issuance costs of $1.2 million related to long term debt in CS Solis LLC that occurred in February of 2022 and a $0.2 million increase in interest expense related to the 2022 Convertible Notes. The increase was offset by a $0.8 million reduction in interest expense, as we repaid or converted debt instruments in February 2022, which were outstanding during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increased by $1.6 million, or 674%, from $0.2 million in the year ended December 31, 2021 to $1.8 million in the year ended December 31, 2022. The increase was primarily attributed to an increase in the fair value of preferred stock warrants of $5.2 million, partially offset by a gain on the extinguishment of our convertible debt and safe agreements in March 2022 of $3.2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from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factors discussed above, our net loss for the year ended December 31, 2022 was $28.0 million, an increase of $18.7 million, or 202%, as compared to $9.3 million for the year ended December 31,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of Discontinued Operations, Net of Tax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disposition of the Solaria business as described above, we recognized a loss on discontinued operations of $1.5 million for the year ended December 31, 2022. Loss on discontinued operations was comprised of revenues of $13.3 million, offset by cost of revenues of $12.9 million, selling and marketing expenses of $1.3 million and general and administrative expenses of $0.6 million.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Year ended December 31, 2021 compared to year ended December 31, 2020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statement of operations data for 2021 and 2020. We have derived this data from our audited annual financial statements included elsewhere in this prospectus. This information should be read in conjunction with our audited annual financial statements and related notes included elsewhere in this prospectus. The results of historical periods are not necessarily indicative of the results of operations for any future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3"/>
        <w:gridCol w:w="226"/>
        <w:gridCol w:w="194"/>
        <w:gridCol w:w="974"/>
        <w:gridCol w:w="385"/>
        <w:gridCol w:w="192"/>
        <w:gridCol w:w="194"/>
        <w:gridCol w:w="978"/>
        <w:gridCol w:w="275"/>
        <w:gridCol w:w="171"/>
        <w:gridCol w:w="169"/>
        <w:gridCol w:w="826"/>
        <w:gridCol w:w="155"/>
        <w:gridCol w:w="170"/>
        <w:gridCol w:w="152"/>
        <w:gridCol w:w="989"/>
        <w:gridCol w:w="282"/>
      </w:tblGrid>
      <w:tr>
        <w:trPr/>
        <w:tc>
          <w:tcPr>
            <w:tcW w:w="3873"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87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9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41"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r>
      <w:tr>
        <w:trPr/>
        <w:tc>
          <w:tcPr>
            <w:tcW w:w="38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(In thousands) </w:t>
            </w:r>
          </w:p>
        </w:tc>
        <w:tc>
          <w:tcPr>
            <w:tcW w:w="226"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38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2020    </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2" w:type="dxa"/>
            <w:tcBorders/>
            <w:vAlign w:val="bottom"/>
          </w:tcPr>
          <w:p>
            <w:pPr>
              <w:pStyle w:val="TableContents"/>
              <w:bidi w:val="0"/>
              <w:spacing w:before="0" w:after="283"/>
              <w:jc w:val="left"/>
              <w:rPr/>
            </w:pPr>
            <w:r>
              <w:rPr/>
              <w:t> </w:t>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2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974" w:type="dxa"/>
            <w:tcBorders/>
            <w:shd w:fill="CCEEFF" w:val="clear"/>
            <w:vAlign w:val="bottom"/>
          </w:tcPr>
          <w:p>
            <w:pPr>
              <w:pStyle w:val="TableContents"/>
              <w:bidi w:val="0"/>
              <w:spacing w:before="0" w:after="283"/>
              <w:jc w:val="right"/>
              <w:rPr/>
            </w:pPr>
            <w:r>
              <w:rPr/>
              <w:t>68,816</w:t>
            </w:r>
          </w:p>
        </w:tc>
        <w:tc>
          <w:tcPr>
            <w:tcW w:w="38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978" w:type="dxa"/>
            <w:tcBorders/>
            <w:shd w:fill="CCEEFF" w:val="clear"/>
            <w:vAlign w:val="bottom"/>
          </w:tcPr>
          <w:p>
            <w:pPr>
              <w:pStyle w:val="TableContents"/>
              <w:bidi w:val="0"/>
              <w:spacing w:before="0" w:after="283"/>
              <w:jc w:val="right"/>
              <w:rPr/>
            </w:pPr>
            <w:r>
              <w:rPr/>
              <w:t>29,378</w:t>
            </w:r>
          </w:p>
        </w:tc>
        <w:tc>
          <w:tcPr>
            <w:tcW w:w="27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39,438</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134</w:t>
            </w:r>
          </w:p>
        </w:tc>
        <w:tc>
          <w:tcPr>
            <w:tcW w:w="282" w:type="dxa"/>
            <w:tcBorders/>
            <w:shd w:fill="CCEEFF" w:val="clear"/>
            <w:vAlign w:val="bottom"/>
          </w:tcPr>
          <w:p>
            <w:pPr>
              <w:pStyle w:val="TableContents"/>
              <w:bidi w:val="0"/>
              <w:spacing w:before="0" w:after="283"/>
              <w:jc w:val="left"/>
              <w:rPr/>
            </w:pPr>
            <w:r>
              <w:rPr/>
              <w:t>% </w:t>
            </w:r>
          </w:p>
        </w:tc>
      </w:tr>
      <w:tr>
        <w:trPr/>
        <w:tc>
          <w:tcPr>
            <w:tcW w:w="387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revenues(1)</w:t>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40,123</w:t>
            </w:r>
          </w:p>
        </w:tc>
        <w:tc>
          <w:tcPr>
            <w:tcW w:w="38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17,097</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23,026</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135</w:t>
            </w:r>
          </w:p>
        </w:tc>
        <w:tc>
          <w:tcPr>
            <w:tcW w:w="282" w:type="dxa"/>
            <w:tcBorders/>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38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28,693</w:t>
            </w:r>
          </w:p>
        </w:tc>
        <w:tc>
          <w:tcPr>
            <w:tcW w:w="38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12,281</w:t>
            </w:r>
          </w:p>
        </w:tc>
        <w:tc>
          <w:tcPr>
            <w:tcW w:w="27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16,412</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134</w:t>
            </w:r>
          </w:p>
        </w:tc>
        <w:tc>
          <w:tcPr>
            <w:tcW w:w="282" w:type="dxa"/>
            <w:tcBorders/>
            <w:shd w:fill="CCEEFF" w:val="clear"/>
            <w:vAlign w:val="bottom"/>
          </w:tcPr>
          <w:p>
            <w:pPr>
              <w:pStyle w:val="TableContents"/>
              <w:bidi w:val="0"/>
              <w:spacing w:before="0" w:after="283"/>
              <w:jc w:val="left"/>
              <w:rPr/>
            </w:pPr>
            <w:r>
              <w:rPr/>
              <w:t>% </w:t>
            </w:r>
          </w:p>
        </w:tc>
      </w:tr>
      <w:tr>
        <w:trPr/>
        <w:tc>
          <w:tcPr>
            <w:tcW w:w="3873"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 %</w:t>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42</w:t>
            </w:r>
          </w:p>
        </w:tc>
        <w:tc>
          <w:tcPr>
            <w:tcW w:w="38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42</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974"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873" w:type="dxa"/>
            <w:tcBorders/>
          </w:tcPr>
          <w:p>
            <w:pPr>
              <w:pStyle w:val="TableContents"/>
              <w:bidi w:val="0"/>
              <w:spacing w:before="0" w:after="0"/>
              <w:jc w:val="left"/>
              <w:rPr>
                <w:rFonts w:ascii="Times New Roman" w:hAnsi="Times New Roman"/>
                <w:sz w:val="20"/>
              </w:rPr>
            </w:pPr>
            <w:r>
              <w:rPr>
                <w:rFonts w:ascii="Times New Roman" w:hAnsi="Times New Roman"/>
                <w:sz w:val="20"/>
              </w:rPr>
              <w:t>Sales commissions</w:t>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25,061</w:t>
            </w:r>
          </w:p>
        </w:tc>
        <w:tc>
          <w:tcPr>
            <w:tcW w:w="38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10,410</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14,651</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141</w:t>
            </w:r>
          </w:p>
        </w:tc>
        <w:tc>
          <w:tcPr>
            <w:tcW w:w="282" w:type="dxa"/>
            <w:tcBorders/>
            <w:vAlign w:val="bottom"/>
          </w:tcPr>
          <w:p>
            <w:pPr>
              <w:pStyle w:val="TableContents"/>
              <w:bidi w:val="0"/>
              <w:spacing w:before="0" w:after="283"/>
              <w:jc w:val="left"/>
              <w:rPr/>
            </w:pPr>
            <w:r>
              <w:rPr/>
              <w:t>% </w:t>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marketing(1)</w:t>
            </w:r>
          </w:p>
        </w:tc>
        <w:tc>
          <w:tcPr>
            <w:tcW w:w="22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5,179</w:t>
            </w:r>
          </w:p>
        </w:tc>
        <w:tc>
          <w:tcPr>
            <w:tcW w:w="38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3,185</w:t>
            </w:r>
          </w:p>
        </w:tc>
        <w:tc>
          <w:tcPr>
            <w:tcW w:w="27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1,994</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63</w:t>
            </w:r>
          </w:p>
        </w:tc>
        <w:tc>
          <w:tcPr>
            <w:tcW w:w="282" w:type="dxa"/>
            <w:tcBorders/>
            <w:shd w:fill="CCEEFF" w:val="clear"/>
            <w:vAlign w:val="bottom"/>
          </w:tcPr>
          <w:p>
            <w:pPr>
              <w:pStyle w:val="TableContents"/>
              <w:bidi w:val="0"/>
              <w:spacing w:before="0" w:after="283"/>
              <w:jc w:val="left"/>
              <w:rPr/>
            </w:pPr>
            <w:r>
              <w:rPr/>
              <w:t>% </w:t>
            </w:r>
          </w:p>
        </w:tc>
      </w:tr>
      <w:tr>
        <w:trPr/>
        <w:tc>
          <w:tcPr>
            <w:tcW w:w="387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administrative(1)</w:t>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5,780</w:t>
            </w:r>
          </w:p>
        </w:tc>
        <w:tc>
          <w:tcPr>
            <w:tcW w:w="38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3,801</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1,979</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52</w:t>
            </w:r>
          </w:p>
        </w:tc>
        <w:tc>
          <w:tcPr>
            <w:tcW w:w="282" w:type="dxa"/>
            <w:tcBorders/>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38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36,020</w:t>
            </w:r>
          </w:p>
        </w:tc>
        <w:tc>
          <w:tcPr>
            <w:tcW w:w="38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17,396</w:t>
            </w:r>
          </w:p>
        </w:tc>
        <w:tc>
          <w:tcPr>
            <w:tcW w:w="27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18,624</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107</w:t>
            </w:r>
          </w:p>
        </w:tc>
        <w:tc>
          <w:tcPr>
            <w:tcW w:w="282" w:type="dxa"/>
            <w:tcBorders/>
            <w:shd w:fill="CCEEFF" w:val="clear"/>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38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87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(7,327</w:t>
            </w:r>
          </w:p>
        </w:tc>
        <w:tc>
          <w:tcPr>
            <w:tcW w:w="38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(5,115</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(2,212</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43</w:t>
            </w:r>
          </w:p>
        </w:tc>
        <w:tc>
          <w:tcPr>
            <w:tcW w:w="282" w:type="dxa"/>
            <w:tcBorders/>
            <w:vAlign w:val="bottom"/>
          </w:tcPr>
          <w:p>
            <w:pPr>
              <w:pStyle w:val="TableContents"/>
              <w:bidi w:val="0"/>
              <w:spacing w:before="0" w:after="283"/>
              <w:jc w:val="left"/>
              <w:rPr/>
            </w:pPr>
            <w:r>
              <w:rPr/>
              <w:t>% </w:t>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expense(2)</w:t>
            </w:r>
          </w:p>
        </w:tc>
        <w:tc>
          <w:tcPr>
            <w:tcW w:w="22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(1,712</w:t>
            </w:r>
          </w:p>
        </w:tc>
        <w:tc>
          <w:tcPr>
            <w:tcW w:w="38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(523</w:t>
            </w:r>
          </w:p>
        </w:tc>
        <w:tc>
          <w:tcPr>
            <w:tcW w:w="27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(1,189</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227</w:t>
            </w:r>
          </w:p>
        </w:tc>
        <w:tc>
          <w:tcPr>
            <w:tcW w:w="282" w:type="dxa"/>
            <w:tcBorders/>
            <w:shd w:fill="CCEEFF" w:val="clear"/>
            <w:vAlign w:val="bottom"/>
          </w:tcPr>
          <w:p>
            <w:pPr>
              <w:pStyle w:val="TableContents"/>
              <w:bidi w:val="0"/>
              <w:spacing w:before="0" w:after="283"/>
              <w:jc w:val="left"/>
              <w:rPr/>
            </w:pPr>
            <w:r>
              <w:rPr/>
              <w:t>% </w:t>
            </w:r>
          </w:p>
        </w:tc>
      </w:tr>
      <w:tr>
        <w:trPr/>
        <w:tc>
          <w:tcPr>
            <w:tcW w:w="387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2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(240</w:t>
            </w:r>
          </w:p>
        </w:tc>
        <w:tc>
          <w:tcPr>
            <w:tcW w:w="38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485</w:t>
            </w:r>
          </w:p>
        </w:tc>
        <w:tc>
          <w:tcPr>
            <w:tcW w:w="282" w:type="dxa"/>
            <w:tcBorders/>
            <w:shd w:fill="CCEEFF" w:val="clear"/>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38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873" w:type="dxa"/>
            <w:tcBorders/>
          </w:tcPr>
          <w:p>
            <w:pPr>
              <w:pStyle w:val="TableContents"/>
              <w:bidi w:val="0"/>
              <w:spacing w:before="0" w:after="0"/>
              <w:jc w:val="left"/>
              <w:rPr>
                <w:rFonts w:ascii="Times New Roman" w:hAnsi="Times New Roman"/>
                <w:sz w:val="20"/>
              </w:rPr>
            </w:pPr>
            <w:r>
              <w:rPr>
                <w:rFonts w:ascii="Times New Roman" w:hAnsi="Times New Roman"/>
                <w:sz w:val="20"/>
              </w:rPr>
              <w:t>Loss from continuing operations before income taxes</w:t>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(9,279</w:t>
            </w:r>
          </w:p>
        </w:tc>
        <w:tc>
          <w:tcPr>
            <w:tcW w:w="38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(5,679</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(3,600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63</w:t>
            </w:r>
          </w:p>
        </w:tc>
        <w:tc>
          <w:tcPr>
            <w:tcW w:w="282" w:type="dxa"/>
            <w:tcBorders/>
            <w:vAlign w:val="bottom"/>
          </w:tcPr>
          <w:p>
            <w:pPr>
              <w:pStyle w:val="TableContents"/>
              <w:bidi w:val="0"/>
              <w:spacing w:before="0" w:after="283"/>
              <w:jc w:val="left"/>
              <w:rPr/>
            </w:pPr>
            <w:r>
              <w:rPr/>
              <w:t>% </w:t>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(provision)</w:t>
            </w:r>
          </w:p>
        </w:tc>
        <w:tc>
          <w:tcPr>
            <w:tcW w:w="22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(3</w:t>
            </w:r>
          </w:p>
        </w:tc>
        <w:tc>
          <w:tcPr>
            <w:tcW w:w="38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0</w:t>
            </w:r>
          </w:p>
        </w:tc>
        <w:tc>
          <w:tcPr>
            <w:tcW w:w="282" w:type="dxa"/>
            <w:tcBorders/>
            <w:shd w:fill="CCEEFF" w:val="clear"/>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38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873"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974" w:type="dxa"/>
            <w:tcBorders/>
            <w:vAlign w:val="bottom"/>
          </w:tcPr>
          <w:p>
            <w:pPr>
              <w:pStyle w:val="TableContents"/>
              <w:bidi w:val="0"/>
              <w:spacing w:before="0" w:after="283"/>
              <w:jc w:val="right"/>
              <w:rPr/>
            </w:pPr>
            <w:r>
              <w:rPr/>
              <w:t>(9,282</w:t>
            </w:r>
          </w:p>
        </w:tc>
        <w:tc>
          <w:tcPr>
            <w:tcW w:w="38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978" w:type="dxa"/>
            <w:tcBorders/>
            <w:vAlign w:val="bottom"/>
          </w:tcPr>
          <w:p>
            <w:pPr>
              <w:pStyle w:val="TableContents"/>
              <w:bidi w:val="0"/>
              <w:spacing w:before="0" w:after="283"/>
              <w:jc w:val="right"/>
              <w:rPr/>
            </w:pPr>
            <w:r>
              <w:rPr/>
              <w:t>(5,682</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(3,600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63</w:t>
            </w:r>
          </w:p>
        </w:tc>
        <w:tc>
          <w:tcPr>
            <w:tcW w:w="282" w:type="dxa"/>
            <w:tcBorders/>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974" w:type="dxa"/>
            <w:tcBorders/>
            <w:vAlign w:val="bottom"/>
          </w:tcPr>
          <w:p>
            <w:pPr>
              <w:pStyle w:val="TableContents"/>
              <w:pBdr>
                <w:top w:val="double" w:sz="6" w:space="1" w:color="000000"/>
              </w:pBdr>
              <w:bidi w:val="0"/>
              <w:spacing w:before="0" w:after="0"/>
              <w:jc w:val="left"/>
              <w:rPr/>
            </w:pPr>
            <w:r>
              <w:rPr/>
              <w:t> </w:t>
            </w:r>
          </w:p>
        </w:tc>
        <w:tc>
          <w:tcPr>
            <w:tcW w:w="38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97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stock-based compensation expense as follows: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7"/>
        <w:gridCol w:w="469"/>
        <w:gridCol w:w="315"/>
        <w:gridCol w:w="861"/>
        <w:gridCol w:w="135"/>
        <w:gridCol w:w="606"/>
        <w:gridCol w:w="315"/>
        <w:gridCol w:w="863"/>
        <w:gridCol w:w="64"/>
      </w:tblGrid>
      <w:tr>
        <w:trPr/>
        <w:tc>
          <w:tcPr>
            <w:tcW w:w="4127"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27"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3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4" w:type="dxa"/>
            <w:tcBorders/>
            <w:vAlign w:val="bottom"/>
          </w:tcPr>
          <w:p>
            <w:pPr>
              <w:pStyle w:val="TableContents"/>
              <w:bidi w:val="0"/>
              <w:spacing w:before="0" w:after="283"/>
              <w:jc w:val="left"/>
              <w:rPr/>
            </w:pPr>
            <w:r>
              <w:rPr/>
              <w:t> </w:t>
            </w:r>
          </w:p>
        </w:tc>
      </w:tr>
      <w:tr>
        <w:trPr/>
        <w:tc>
          <w:tcPr>
            <w:tcW w:w="41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469"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35"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2020    </w:t>
            </w:r>
          </w:p>
        </w:tc>
        <w:tc>
          <w:tcPr>
            <w:tcW w:w="64" w:type="dxa"/>
            <w:tcBorders/>
            <w:vAlign w:val="bottom"/>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469"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861" w:type="dxa"/>
            <w:tcBorders/>
            <w:shd w:fill="CCEEFF" w:val="clear"/>
            <w:vAlign w:val="bottom"/>
          </w:tcPr>
          <w:p>
            <w:pPr>
              <w:pStyle w:val="TableContents"/>
              <w:bidi w:val="0"/>
              <w:spacing w:before="0" w:after="283"/>
              <w:jc w:val="right"/>
              <w:rPr/>
            </w:pPr>
            <w:r>
              <w:rPr/>
              <w:t>19</w:t>
            </w:r>
          </w:p>
        </w:tc>
        <w:tc>
          <w:tcPr>
            <w:tcW w:w="135"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8</w:t>
            </w:r>
          </w:p>
        </w:tc>
        <w:tc>
          <w:tcPr>
            <w:tcW w:w="64" w:type="dxa"/>
            <w:tcBorders/>
            <w:shd w:fill="CCEEFF" w:val="clear"/>
            <w:vAlign w:val="bottom"/>
          </w:tcPr>
          <w:p>
            <w:pPr>
              <w:pStyle w:val="TableContents"/>
              <w:bidi w:val="0"/>
              <w:spacing w:before="0" w:after="283"/>
              <w:jc w:val="left"/>
              <w:rPr/>
            </w:pPr>
            <w:r>
              <w:rPr/>
              <w:t> </w:t>
            </w:r>
          </w:p>
        </w:tc>
      </w:tr>
      <w:tr>
        <w:trPr/>
        <w:tc>
          <w:tcPr>
            <w:tcW w:w="4127"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469"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68</w:t>
            </w:r>
          </w:p>
        </w:tc>
        <w:tc>
          <w:tcPr>
            <w:tcW w:w="135"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69"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113</w:t>
            </w:r>
          </w:p>
        </w:tc>
        <w:tc>
          <w:tcPr>
            <w:tcW w:w="135"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64</w:t>
            </w:r>
          </w:p>
        </w:tc>
        <w:tc>
          <w:tcPr>
            <w:tcW w:w="64" w:type="dxa"/>
            <w:tcBorders/>
            <w:shd w:fill="CCEEFF" w:val="clear"/>
            <w:vAlign w:val="bottom"/>
          </w:tcPr>
          <w:p>
            <w:pPr>
              <w:pStyle w:val="TableContents"/>
              <w:bidi w:val="0"/>
              <w:spacing w:before="0" w:after="283"/>
              <w:jc w:val="left"/>
              <w:rPr/>
            </w:pPr>
            <w:r>
              <w:rPr/>
              <w:t> </w:t>
            </w:r>
          </w:p>
        </w:tc>
      </w:tr>
      <w:tr>
        <w:trPr/>
        <w:tc>
          <w:tcPr>
            <w:tcW w:w="4127"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27" w:type="dxa"/>
            <w:tcBorders/>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469"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w:t>
            </w:r>
          </w:p>
        </w:tc>
        <w:tc>
          <w:tcPr>
            <w:tcW w:w="861" w:type="dxa"/>
            <w:tcBorders/>
            <w:vAlign w:val="bottom"/>
          </w:tcPr>
          <w:p>
            <w:pPr>
              <w:pStyle w:val="TableContents"/>
              <w:bidi w:val="0"/>
              <w:spacing w:before="0" w:after="283"/>
              <w:jc w:val="right"/>
              <w:rPr/>
            </w:pPr>
            <w:r>
              <w:rPr/>
              <w:t>200</w:t>
            </w:r>
          </w:p>
        </w:tc>
        <w:tc>
          <w:tcPr>
            <w:tcW w:w="135"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b/>
              </w:rPr>
            </w:pPr>
            <w:r>
              <w:rPr>
                <w:b/>
              </w:rPr>
              <w:t>$</w:t>
            </w:r>
          </w:p>
        </w:tc>
        <w:tc>
          <w:tcPr>
            <w:tcW w:w="86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4127"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861" w:type="dxa"/>
            <w:tcBorders/>
            <w:vAlign w:val="bottom"/>
          </w:tcPr>
          <w:p>
            <w:pPr>
              <w:pStyle w:val="TableContents"/>
              <w:pBdr>
                <w:top w:val="double" w:sz="6"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8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interest expense to related party of $0.7 million and $0.2 million during the years ended December 31, 2021 and 2020, respectively.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 for the year ended December 31, 2021 was $68.8 million which compares with total revenue of $29.4 million for the year ended December 31, 2020. The increase in 2021 revenue is significantly impacted by the change in the business coming out of the COVID-19 pandemic. Solar revenue (including the installation and completion of solar systems) increased by $37.0 million. The increase is driven primarily by the volume of transactions in 2021. Other revenues, including design services and proposal services, increased by $1.6 million, the increase in revenues is driven by greater internal focus on performing such services in 2021.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revenues for the year ended December 31, 2021 was $40.1 million compared to $17.1 million for the year ended December 31, 2020. The 135% increase in cost of revenue for the year ended December 31, 2021 over for the year ended December 31, 2020 grew proportionately with the increase in revenue during the same comparable periods, as well as slight increase in raw material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Our gross profits for the year ended December 31, 2021 increased by $16.4 million, or 134%, as compared to the year ended December 31, 2020. Gross margins of 42% remained flat year-over-year.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Commission </w:t>
      </w:r>
    </w:p>
    <w:p>
      <w:pPr>
        <w:pStyle w:val="TextBody"/>
        <w:bidi w:val="0"/>
        <w:spacing w:before="120" w:after="0"/>
        <w:jc w:val="left"/>
        <w:rPr>
          <w:rFonts w:ascii="Times New Roman" w:hAnsi="Times New Roman"/>
          <w:sz w:val="20"/>
        </w:rPr>
      </w:pPr>
      <w:r>
        <w:rPr>
          <w:rFonts w:ascii="Times New Roman" w:hAnsi="Times New Roman"/>
          <w:sz w:val="20"/>
        </w:rPr>
        <w:t xml:space="preserve">Sales commissions for the year ended December 31, 2021 increased by $14.7 million, or 141%, compared to the year ended December 31, 2020. The increase in sales commissions expenses is primarily attributable to a corresponding increase of 134% in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Sales and marketing expense for the year ended December 31, 2021 increased by $2.0 million, or 63%, compared to the year ended December 31, 2020. The increase was primarily attributable to an increase of $1.4 million in personnel-related expenses as a result of increased headcount in our sales and marketing organization, $0.2 million increase in office supplies, and $0.1 million increase in due and subscription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 for the year ended December 31, 2021 increased by $2.0 million, or 52%, compared to the year ended December 31, 2020. The increase was primarily attributable to an increase of $0.5 million in accounting, legal, and other contract labor costs, $0.3 million in personnel-related expenses, as a result of increased headcount, $0.2 million increase in office and occupancy related costs, $0.2 million increase in customer support, $0.2 million increase in amortization of internal software, a $0.1 million increase in stock-based compensation expense related to additional stock-based awards granted in fiscal year 2022, and a $0.1 million increase in recruitment and reallocation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for the year ended December 31, 2021 increased by $1.2 million, or 227%, compared to the year ended December 31, 2020. The increase is attributable to a $0.6 million increase in interest expense related to amortization of debt discount primarily due to the 2020-A and 2021-A notes, a $0.3 million increase in interest expense related to our SVB operating loan, and a $0.3 million increase in financing costs associated with a 2021 short-term bridge loan.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for the year ended December 31, 2021 increased by $0.2 million, or 485%, compared to the year ended December 31, 2020. The increase was primarily due to increase of $1.3 million related to the fair value measurement of the SAFEs, $0.3 million related to revaluation of derivative liabilities of 2019-A 2020-A and 2021-A notes, and $0.3 million related to fair value remeasurement of Series B and Series C preferred stock warrants. These expenses were partially offset by other income relating to PPP loan forgiveness of approximately $1.7 million.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Loss from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factors discussed above, our net loss from continuing operations for the year ended December 31, 2021 was $9.3 million, an increase of $3.6 million, or 63%, as compared to $5.7 million for the year ended December 31, 2020.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financed our operations primarily through sales of equity securities, issuance of convertible notes and cash generated from operations. Our principal uses of cash in recent periods have been funding our operations and investing in capital expenditures. As of October 1, 2023, our principal sources of liquidity were cash and cash equivalents of $1.7 million, which were held for working capital purposes. Our cash equivalents are on deposit with major financial institutions. Our cash position raises substantial doubt regarding our ability to continue as a going concern for twelve months following the issuance of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the proceeds from any cash exercise of any Warrants. The aggregate amount of proceeds could be up to $254.1 million if all the Warrants are exercised for cash. However, to the extent the Warrants are exercised on a cashless basis, the amount of cash we would receive from the exercise of the Warrants will decrease. The Private Warrants and Working Capital Warrants may be exercised for cash or on a cashless basis. The Public Warrants and the Merger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and working capital purposes, which would increase our liquidity. As of December 21, 2023, the price of our common stock was $1.52 per share. We believe the likelihood that warrant holders will exercise their Warrants, and therefore the amount of cash proceeds that we would receive, is dependent upon the market price of our common stock. If the market price for our common stock is less than $11.50 per share, we believe warrant holders will be unlikely to exercise. We do not expect to rely on the cash exercise of Warrants to fund our operations. Instead, we intend to rely on other sources of cash discussed elsewhere in this prospectus to continue to fund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Resale Securities represent a substantial percentage of our shares of outstanding commons stock. The number of Resale Securities exceeds the number of shares of common stock constituting our public float, and represents approximately 190% of our public float and approximately 105% of outstanding common stock (after giving effect to the issuance of shares of common stock upon exercise of the Warrants) as of December 21, 2023. Any of these resales, or the perception in the market that the holders of a large number of shares intend to resell shares, could cause the market price of our shares of common stock to decline or increase the volatility in the market price of our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Given the substantial number of shares of common stock being registered for potential resale by the selling securityholders pursuant to this prospectus, the sale of Resale Securities by the selling securityholders, or the perception in the market that the selling securityholders intend to sell a large number of shares, could increase the volatility of the market price of common stock or result in a significant decline in the public trading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While we received cash of $19.8 million from the completion of the Business Combination in July 2023, and despite results of the closing of the Disposal Transaction and our recent cost cutting measures, additional capital infusion will be necessary in order to fund planned operations while meeting obligations as they come due. It is currently unlikely that warrant holders will exercise their warrants based on the current price of our common stock, and additional financing is required from outside sources. We may not be able to raise it on terms acceptable to us or at all. If we are not able to secure adequate additional funding when needed,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need to reevaluate its operating plan and may be forced to make reductions in spending, extend payment terms with suppliers, liquidate assets where possible, or suspend or curtail planned programs or cease operations entirely.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Financings </w:t>
      </w:r>
    </w:p>
    <w:p>
      <w:pPr>
        <w:pStyle w:val="TextBody"/>
        <w:bidi w:val="0"/>
        <w:spacing w:before="120" w:after="0"/>
        <w:jc w:val="left"/>
        <w:rPr>
          <w:rFonts w:ascii="Times New Roman" w:hAnsi="Times New Roman"/>
          <w:i/>
          <w:sz w:val="20"/>
        </w:rPr>
      </w:pPr>
      <w:r>
        <w:rPr>
          <w:rFonts w:ascii="Times New Roman" w:hAnsi="Times New Roman"/>
          <w:i/>
          <w:sz w:val="20"/>
        </w:rPr>
        <w:t xml:space="preserve">2018 Bridge Notes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2018, Solaria Corporation issued senior subordinated convertible secured notes (2018 Notes) totaling approximately $3.4 million in exchange for cash. The notes bear interest at the rate of 8% per annum and the investors are entitled to receive twice of the face value of the notes at maturity. The 2018 Notes were assumed in the acquisition by Complete Solaria and are secured by substantially all of the assets of Complete Solaria. In 2021, the 2018 Notes were amended extending the maturity date to December 13, 2022. In connection with the 2021 amendment, Solaria had issued warrants to purchase shares of Series E-1 redeemable convertible preferred stock of Solaria. The warrants were exercisable immediately in whole or in part at and expire on December 13, 2031. As part of the merger with Complete Solar, all the outstanding warrants issued to the lenders were assumed by the parent company, Complete Solaria.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we entered into an amendment to the 2018 Notes extending the maturity date from December 13, 2022 to December 13, 2023. In connection with the amendment, the notes will continue to bear interest at 8% per annum and are entitled to an increased repayment premium from 110% to 120% of the principal and accrued interest at the time of repayment.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modification was a troubled debt restructuring as the Company was experiencing financial difficulty and the amended terms resulted in a concession to the Company. As the future undiscounted cash payments under the modified terms exceeded the carrying amount of the Solaria Bridge Notes on the date of modification, the modification was accounted for prospectively. The incremental repayment premium is being amortized to interest expense using the effective interest rate method. As of October 1, 2023 and December 31, 2022, the carrying value of the 2018 Notes was $10.7 million and $9.8 million, respectively. Interest expense recognized for the thirty-nine weeks ended October 1, 2023 was $1.0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SCI Term Loan and Revolver Loan </w:t>
      </w:r>
    </w:p>
    <w:p>
      <w:pPr>
        <w:pStyle w:val="TextBody"/>
        <w:bidi w:val="0"/>
        <w:spacing w:before="120" w:after="0"/>
        <w:jc w:val="left"/>
        <w:rPr>
          <w:rFonts w:ascii="Times New Roman" w:hAnsi="Times New Roman"/>
          <w:sz w:val="20"/>
        </w:rPr>
      </w:pPr>
      <w:r>
        <w:rPr>
          <w:rFonts w:ascii="Times New Roman" w:hAnsi="Times New Roman"/>
          <w:sz w:val="20"/>
        </w:rPr>
        <w:t>In October 2020, Solaria entered into a loan agreement (Loan Agreement) with Structural Capital Investments III, LP (</w:t>
      </w:r>
      <w:r>
        <w:rPr>
          <w:rFonts w:ascii="Times New Roman" w:hAnsi="Times New Roman"/>
          <w:b/>
          <w:sz w:val="20"/>
        </w:rPr>
        <w:t>SCI</w:t>
      </w:r>
      <w:r>
        <w:rPr>
          <w:rFonts w:ascii="Times New Roman" w:hAnsi="Times New Roman"/>
          <w:sz w:val="20"/>
        </w:rPr>
        <w:t>). The Loan Agreement with SCI comprises of two facilities, a term loan (the Term Loan) and a revolving loan (the </w:t>
      </w:r>
      <w:r>
        <w:rPr>
          <w:rFonts w:ascii="Times New Roman" w:hAnsi="Times New Roman"/>
          <w:b/>
          <w:sz w:val="20"/>
        </w:rPr>
        <w:t>Revolving Loan</w:t>
      </w:r>
      <w:r>
        <w:rPr>
          <w:rFonts w:ascii="Times New Roman" w:hAnsi="Times New Roman"/>
          <w:sz w:val="20"/>
        </w:rPr>
        <w:t xml:space="preserve">) for $5.0 million each with a maturity date of October 31, 2023. Both the Term Loan and the Revolving Loan were fully drawn upon closing. The Term Loan was repaid prior to the acquisition of Solaria by Complete Solar and was not included in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Revolving Loan has a term of thirty-six months, principal repayments at the end of the term and an annual interest rate of 7.75% or Prime rate plus 4.5%, whichever is higher. Interest expense recognized for the thirty-nine weeks ended October 1, 2023 was $0.5 million. In October 2023, the Company entered into an Assignment and Acceptance Agreement whereby Structural Capital Investments III, LP assigns the SCI debt to Kline Hill Partners Fund LP, Kline Hill Partners IV SPV LLC, Kline Hill Partners Opportunity IV SPV LLC, and Rodgers Massey Revocable Living Trust for a total purchase price of $5.0 million, as discussed in Note 22  Subsequent Events of the accompanying notes to the unaudited condensed consolidated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Secured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we entered into a secured credit facility agreement with Kline Hill Partners IV SPV LLC and Kline Hill Partners Opportunity IV SPV LLC. The secured credit facility agreement, which matures in April 2023, allows us to borrow up to 70% of the net amount of our eligible vendor purchase orders with a maximum amount of $10.0 million at any point in time. The purchase orders are backed by relevant customer sales orders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serve as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We may prepay any borrowed amount without premium or penalty. Under the original terms, the secured credit facility agreement was due to mature in April 2023. We are in the process of amending the secured credit facility agreement to extend its maturity date. </w:t>
      </w:r>
    </w:p>
    <w:p>
      <w:pPr>
        <w:pStyle w:val="TextBody"/>
        <w:bidi w:val="0"/>
        <w:spacing w:before="240" w:after="0"/>
        <w:jc w:val="left"/>
        <w:rPr>
          <w:rFonts w:ascii="Times New Roman" w:hAnsi="Times New Roman"/>
          <w:sz w:val="20"/>
        </w:rPr>
      </w:pPr>
      <w:r>
        <w:rPr>
          <w:rFonts w:ascii="Times New Roman" w:hAnsi="Times New Roman"/>
          <w:sz w:val="20"/>
        </w:rPr>
        <w:t xml:space="preserve">At October 1, 2023, the outstanding net debt amounted to $11.7 million, including accrued financing cost of $4.1 million, compared to December 31, 2022, where the outstanding net debt amounted to $5.6 million, including accrued financing cost of $0.1 million. </w:t>
      </w:r>
    </w:p>
    <w:p>
      <w:pPr>
        <w:pStyle w:val="TextBody"/>
        <w:bidi w:val="0"/>
        <w:spacing w:before="360" w:after="0"/>
        <w:jc w:val="left"/>
        <w:rPr>
          <w:rFonts w:ascii="Times New Roman" w:hAnsi="Times New Roman"/>
          <w:i/>
          <w:sz w:val="20"/>
        </w:rPr>
      </w:pPr>
      <w:r>
        <w:rPr>
          <w:rFonts w:ascii="Times New Roman" w:hAnsi="Times New Roman"/>
          <w:i/>
          <w:sz w:val="20"/>
        </w:rPr>
        <w:t xml:space="preserve">Debt in CS Solis </w:t>
      </w:r>
    </w:p>
    <w:p>
      <w:pPr>
        <w:pStyle w:val="TextBody"/>
        <w:bidi w:val="0"/>
        <w:spacing w:before="120" w:after="0"/>
        <w:jc w:val="left"/>
        <w:rPr>
          <w:rFonts w:ascii="Times New Roman" w:hAnsi="Times New Roman"/>
          <w:sz w:val="20"/>
        </w:rPr>
      </w:pPr>
      <w:r>
        <w:rPr>
          <w:rFonts w:ascii="Times New Roman" w:hAnsi="Times New Roman"/>
          <w:sz w:val="20"/>
        </w:rPr>
        <w:t>In February 2022, we received an investment from CRSEF Solis Holdings, LLC (</w:t>
      </w:r>
      <w:r>
        <w:rPr>
          <w:rFonts w:ascii="Times New Roman" w:hAnsi="Times New Roman"/>
          <w:b/>
          <w:sz w:val="20"/>
        </w:rPr>
        <w:t>CRSEF</w:t>
      </w:r>
      <w:r>
        <w:rPr>
          <w:rFonts w:ascii="Times New Roman" w:hAnsi="Times New Roman"/>
          <w:sz w:val="20"/>
        </w:rPr>
        <w:t xml:space="preserve">). The investment was made pursuant to a subscription agreement, under which CRSEF contributed $25.6 million in exchange for 100 Class B Membership Units of CS Solis. The Class B Membership Units are mandatorily redeemable by us on the three-year anniversary of the effective date of the CS Solis amended and restated LLC agreement. The Class B Membership Units accrue interest that is payable upon redemption at a rate of 10.5% which is accrued as an unpaid dividend, compounded annually, and subject to increases in the event we declare any dividends. In July 2023, we amended the debt of with CSREF as part of the closing of the Business Combination. The modification did not change the interest rate. The modification accelerates the redemption date of the investment, which was previously February 14, 2025, and is March 31, 2024 subsequent to the modification. As of October 1, 2023 and December 31, 2022, we have recorded a liability of $29.2 million and zero, respectively, included in short-term debt in CS Solis on the unaudited condensed consolidated balance sheets. As of October 1, 2023 and December 31, 2022, we have recorded a liability of zero and $25.2 million, respectively, included in net long-term debt in CS Solis on the unaudited condensed consolidated balance sheets. For the thirty-nine weeks ended October 1, 2023, we have recorded accretion of the liability as interest expense of $2.7 million, and we have recorded the amortization of issuance costs as interest expense of $0.7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for the Thirty-Nine Weeks Ended October 1, 2023 and the Nine Months Ended September 30,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Complete Solarias cash flows from operating, investing, and financing activities for the thirty-nine weeks ended October 1, 2023 and the nine months ended September 30,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72"/>
        <w:gridCol w:w="411"/>
        <w:gridCol w:w="254"/>
        <w:gridCol w:w="1372"/>
        <w:gridCol w:w="155"/>
        <w:gridCol w:w="381"/>
        <w:gridCol w:w="317"/>
        <w:gridCol w:w="1733"/>
        <w:gridCol w:w="160"/>
      </w:tblGrid>
      <w:tr>
        <w:trPr/>
        <w:tc>
          <w:tcPr>
            <w:tcW w:w="2972"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411" w:type="dxa"/>
            <w:tcBorders/>
            <w:vAlign w:val="bottom"/>
          </w:tcPr>
          <w:p>
            <w:pPr>
              <w:pStyle w:val="TableContents"/>
              <w:bidi w:val="0"/>
              <w:spacing w:before="0" w:after="283"/>
              <w:jc w:val="left"/>
              <w:rPr/>
            </w:pPr>
            <w:r>
              <w:rPr/>
              <w:t>  </w:t>
            </w:r>
          </w:p>
        </w:tc>
        <w:tc>
          <w:tcPr>
            <w:tcW w:w="16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Thirty-Nine</w:t>
              <w:br/>
              <w:t>Weeks Ended</w:t>
              <w:br/>
              <w:t>October 1, 2023</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w:t>
              <w:br/>
              <w:t>September 30, 2022</w:t>
            </w:r>
          </w:p>
        </w:tc>
        <w:tc>
          <w:tcPr>
            <w:tcW w:w="160"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 from continuing operations</w:t>
            </w:r>
          </w:p>
        </w:tc>
        <w:tc>
          <w:tcPr>
            <w:tcW w:w="41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(47,152</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w:t>
            </w:r>
          </w:p>
        </w:tc>
        <w:tc>
          <w:tcPr>
            <w:tcW w:w="1733" w:type="dxa"/>
            <w:tcBorders/>
            <w:shd w:fill="CCEEFF" w:val="clear"/>
            <w:vAlign w:val="bottom"/>
          </w:tcPr>
          <w:p>
            <w:pPr>
              <w:pStyle w:val="TableContents"/>
              <w:bidi w:val="0"/>
              <w:spacing w:before="0" w:after="283"/>
              <w:jc w:val="right"/>
              <w:rPr/>
            </w:pPr>
            <w:r>
              <w:rPr/>
              <w:t>(17,197</w:t>
            </w:r>
          </w:p>
        </w:tc>
        <w:tc>
          <w:tcPr>
            <w:tcW w:w="160"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 from continuing operations</w:t>
            </w:r>
          </w:p>
        </w:tc>
        <w:tc>
          <w:tcPr>
            <w:tcW w:w="41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(1,534</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1733" w:type="dxa"/>
            <w:tcBorders/>
            <w:vAlign w:val="bottom"/>
          </w:tcPr>
          <w:p>
            <w:pPr>
              <w:pStyle w:val="TableContents"/>
              <w:bidi w:val="0"/>
              <w:spacing w:before="0" w:after="283"/>
              <w:jc w:val="right"/>
              <w:rPr/>
            </w:pPr>
            <w:r>
              <w:rPr/>
              <w:t>(1,048</w:t>
            </w:r>
          </w:p>
        </w:tc>
        <w:tc>
          <w:tcPr>
            <w:tcW w:w="160"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 from continuing operations</w:t>
            </w:r>
          </w:p>
        </w:tc>
        <w:tc>
          <w:tcPr>
            <w:tcW w:w="41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45,575</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w:t>
            </w:r>
          </w:p>
        </w:tc>
        <w:tc>
          <w:tcPr>
            <w:tcW w:w="1733" w:type="dxa"/>
            <w:tcBorders/>
            <w:shd w:fill="CCEEFF" w:val="clear"/>
            <w:vAlign w:val="bottom"/>
          </w:tcPr>
          <w:p>
            <w:pPr>
              <w:pStyle w:val="TableContents"/>
              <w:bidi w:val="0"/>
              <w:spacing w:before="0" w:after="283"/>
              <w:jc w:val="right"/>
              <w:rPr/>
            </w:pPr>
            <w:r>
              <w:rPr/>
              <w:t>13,704</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from continuing operations of $47.2 million for the thirty-nine weeks ended October 1, 2023 was primarily due to the net loss from continuing operations, net of tax of $73.4 million and net cash outflows of $18.8 million from changes in our operating assets and liabilities, adjusted for non-cash charges of $45.1 million. Non-cash charges primarily consisted of $35.5 million for the issuance of common stock in connection with FPAs, $10.3 million loss on CS Solis debt extinguishment, $6.7 million change in fair value of FPAs, $4.3 million change in allowance for credit losses, $4.0 million interest expense, $2.5 million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accretion of long-term debt in CS Solis, $2.4 million related to the issuance of bonus common stock shares in connection with the Business Combination $2.3 million of stock-based compensation expense, and $2.1 million relating to the change in reserve for excess and obsolete inventory, partially offset by a decrease in the fair value of warrant liabilities of $26.3 million. The main drivers of net cash inflows derived from the changes in operating assets and liabilities were related to an increase in accounts receivable, net of $11.8 million, an increase in prepaid expenses and other current assets of $8.3 million, an increase in inventory of $3.9 million, and a decrease in deferred revenue of $0.8 million, partially offset by an increase in accounts payable of $4.4 million, an increase in accrued expenses and other current liabilities of $1.6 million and a decrease in other noncurrent assets of $1.1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from continuing operations of $17.2 million for the nine months ended September 30, 2022 was primarily due to the net loss from continuing operations, net of tax of $10.8 million and net cash outflows of $10.6 million from changes in operating assets and liabilities, adjusted for non-cash charges of $4.2 million. The main drivers of net cash outflows derived from the changes in operating assets and liabilities were related to an increase in inventory of $5.0 million, an increase in accounts receivable, net of $3.0 million, a decrease in accrued expenses and other current liabilities of $2.1 million and a decrease in warranty provision, noncurrent of $0.6 million. Non-cash charges primarily consisted of a change in reserve for obsolete inventory of $3.1 million, accretion of long-term debt in CS Solis of $2.6 million, $0.7 million change in allowance for credit losses, and $0.5 million in depreciation and amortization expense, partially offset by a gain on extinguishment of convertible notes and SAFEs of $3.2 million. </w:t>
      </w:r>
    </w:p>
    <w:p>
      <w:pPr>
        <w:pStyle w:val="TextBody"/>
        <w:bidi w:val="0"/>
        <w:spacing w:before="240" w:after="0"/>
        <w:jc w:val="left"/>
        <w:rPr>
          <w:rFonts w:ascii="Times New Roman" w:hAnsi="Times New Roman"/>
          <w:sz w:val="20"/>
        </w:rPr>
      </w:pPr>
      <w:r>
        <w:rPr>
          <w:rFonts w:ascii="Times New Roman" w:hAnsi="Times New Roman"/>
          <w:sz w:val="20"/>
        </w:rPr>
        <w:t xml:space="preserve">The net increase in cash, cash equivalents and restricted cash from discontinued operations of $0.2 million for the thirty-nine weeks ended October 1, 2023 was entirely attributable to net cash provided by operating activities from discontinued operations. This increase was primarily due to the net loss from discontinued operations, net of tax of $168.5 million, adjusted for non-cash charges of $152.9 million and net cash inflows of $15.8 million from changes in our operating assets and liabilities. Non-cash charges primarily consisted of impairment of goodwill of $119.4 million, impairment of intangible assets of $28.1 million, depreciation and amortization expense of $2.4 million, stock-based compensation expense of $1.8 million and a $1.1 million change in allowance for credit losses. The main drivers of net cash inflows derived from the changes in operating assets and liabilities were related to a decrease in accounts receivable, net of $8.2 million an increase in accrued expenses and other current liabilities of $6.0 million, a decrease of long-term deposits of $2.8 million and a decrease in inventories of $2.3 million, partially offset by a decrease of $2.9 million in accounts payable.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of $1.5 million for the thirty-nine weeks ended October 1, 2023 was primarily due to additions to internal-use-software.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$1.0 million for the nine months ended September 30, 2022 was due to additions to internal-use-software.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of $45.6 million for the thirty-nine weeks ended October 1, 2023 was primarily due to $21.3 million in net proceeds from the issuance of convertible notes, $19.8 million in proceeds from the Business Combination and PIPE Financing and $14.1 million in net proceeds from the issuance of notes payable, partially offset by repayment of notes payable of $9.7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of $13.7 million for the nine months ended September 30, 2022 was primarily due to net proceeds from the issuance of long-term debt in CS Solis of $25.0 million, partially offset by repayment of notes payable of $9.5 million, payments for issuance of Series D redeemable convertible preferred stock of $1.3 million and the repayment of convertible notes payable to related parties of $0.5 million.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Cash Flows for the Years Ended December 31, 2022 and 2021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Complete Solarias cash flows from operating, investing, and financing activities for the years ended December 31, 2022 and 2021: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89"/>
        <w:gridCol w:w="310"/>
        <w:gridCol w:w="193"/>
        <w:gridCol w:w="1051"/>
        <w:gridCol w:w="214"/>
        <w:gridCol w:w="293"/>
        <w:gridCol w:w="193"/>
        <w:gridCol w:w="970"/>
        <w:gridCol w:w="159"/>
      </w:tblGrid>
      <w:tr>
        <w:trPr/>
        <w:tc>
          <w:tcPr>
            <w:tcW w:w="518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8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9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9" w:type="dxa"/>
            <w:tcBorders/>
            <w:vAlign w:val="bottom"/>
          </w:tcPr>
          <w:p>
            <w:pPr>
              <w:pStyle w:val="TableContents"/>
              <w:bidi w:val="0"/>
              <w:spacing w:before="0" w:after="283"/>
              <w:jc w:val="left"/>
              <w:rPr/>
            </w:pPr>
            <w:r>
              <w:rPr/>
              <w:t> </w:t>
            </w:r>
          </w:p>
        </w:tc>
      </w:tr>
      <w:tr>
        <w:trPr/>
        <w:tc>
          <w:tcPr>
            <w:tcW w:w="5189" w:type="dxa"/>
            <w:tcBorders/>
            <w:vAlign w:val="bottom"/>
          </w:tcPr>
          <w:p>
            <w:pPr>
              <w:pStyle w:val="TableContents"/>
              <w:bidi w:val="0"/>
              <w:spacing w:before="0" w:after="283"/>
              <w:jc w:val="left"/>
              <w:rPr>
                <w:b/>
              </w:rPr>
            </w:pPr>
            <w:r>
              <w:rPr>
                <w:b/>
              </w:rPr>
              <w:t>(in thousands)</w:t>
            </w:r>
          </w:p>
        </w:tc>
        <w:tc>
          <w:tcPr>
            <w:tcW w:w="310"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1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59" w:type="dxa"/>
            <w:tcBorders/>
            <w:vAlign w:val="bottom"/>
          </w:tcPr>
          <w:p>
            <w:pPr>
              <w:pStyle w:val="TableContents"/>
              <w:bidi w:val="0"/>
              <w:spacing w:before="0" w:after="283"/>
              <w:jc w:val="left"/>
              <w:rPr/>
            </w:pPr>
            <w:r>
              <w:rPr/>
              <w:t> </w:t>
            </w:r>
          </w:p>
        </w:tc>
      </w:tr>
      <w:tr>
        <w:trPr/>
        <w:tc>
          <w:tcPr>
            <w:tcW w:w="5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 from continuing operations</w:t>
            </w:r>
          </w:p>
        </w:tc>
        <w:tc>
          <w:tcPr>
            <w:tcW w:w="31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(25,217</w:t>
            </w:r>
          </w:p>
        </w:tc>
        <w:tc>
          <w:tcPr>
            <w:tcW w:w="21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10,995</w:t>
            </w:r>
          </w:p>
        </w:tc>
        <w:tc>
          <w:tcPr>
            <w:tcW w:w="159" w:type="dxa"/>
            <w:tcBorders/>
            <w:shd w:fill="CCEEFF" w:val="clear"/>
            <w:vAlign w:val="bottom"/>
          </w:tcPr>
          <w:p>
            <w:pPr>
              <w:pStyle w:val="TableContents"/>
              <w:bidi w:val="0"/>
              <w:spacing w:before="0" w:after="283"/>
              <w:jc w:val="left"/>
              <w:rPr/>
            </w:pPr>
            <w:r>
              <w:rPr/>
              <w:t> </w:t>
            </w:r>
          </w:p>
        </w:tc>
      </w:tr>
      <w:tr>
        <w:trPr/>
        <w:tc>
          <w:tcPr>
            <w:tcW w:w="518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 from continuing operations</w:t>
            </w:r>
          </w:p>
        </w:tc>
        <w:tc>
          <w:tcPr>
            <w:tcW w:w="31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3,335</w:t>
            </w:r>
          </w:p>
        </w:tc>
        <w:tc>
          <w:tcPr>
            <w:tcW w:w="21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970" w:type="dxa"/>
            <w:tcBorders/>
            <w:vAlign w:val="bottom"/>
          </w:tcPr>
          <w:p>
            <w:pPr>
              <w:pStyle w:val="TableContents"/>
              <w:bidi w:val="0"/>
              <w:spacing w:before="0" w:after="283"/>
              <w:jc w:val="right"/>
              <w:rPr/>
            </w:pPr>
            <w:r>
              <w:rPr/>
              <w:t>(1,063</w:t>
            </w:r>
          </w:p>
        </w:tc>
        <w:tc>
          <w:tcPr>
            <w:tcW w:w="159" w:type="dxa"/>
            <w:tcBorders/>
            <w:vAlign w:val="bottom"/>
          </w:tcPr>
          <w:p>
            <w:pPr>
              <w:pStyle w:val="TableContents"/>
              <w:bidi w:val="0"/>
              <w:spacing w:before="0" w:after="283"/>
              <w:jc w:val="left"/>
              <w:rPr/>
            </w:pPr>
            <w:r>
              <w:rPr/>
              <w:t>) </w:t>
            </w:r>
          </w:p>
        </w:tc>
      </w:tr>
      <w:tr>
        <w:trPr/>
        <w:tc>
          <w:tcPr>
            <w:tcW w:w="5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 from continuing operations</w:t>
            </w:r>
          </w:p>
        </w:tc>
        <w:tc>
          <w:tcPr>
            <w:tcW w:w="31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31,191</w:t>
            </w:r>
          </w:p>
        </w:tc>
        <w:tc>
          <w:tcPr>
            <w:tcW w:w="21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16,895</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from continuing operations of $25.2 million for the year ended December 31, 2022 was primarily due the net loss from continuing operations of $28.0 million, and net cash outflows of $11.2 million from changes in our operating assets and liabilities, adjusted for non-cash charges of $13.8 million. The main drivers of net cash outflows derived from the changes in operating assets and liabilities were related to an increase in accounts receivable of $9.7 million, and an increase in inventories of $4.9 million, and an decrease in prepaid expenses and other current assets of $1.6 million, partially offset by an increase in accounts as payable of $3.3 million and a decrease in prepaid expenses and other current assets of $1.2 million. Non-cash charges primarily consisted of $5.2 million change in the fair value of warrant liability, interest expense primarily related to long-term debt in CS Solis of $4.8 million, reserve for obsolete inventory of $3.6 million, increase in the allowance for doubtful accounts of $2.1 million, and depreciation and amortization expense of $0.6 million, partially offset by non-cash income recognized upon conversion of convertible notes and SAFE agreements of $3.2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of $11.0 million for the year ended December 31, 2021 was primarily due to the net loss of $9.3 million, and net cash outflows of $5.4 million from changes in our operating assets and liabilities, adjusted for non-cash charges of $3.7 million. The main drivers of net cash outflows derived from the changes in operating assets and liabilities were related to an increase in accounts receivable of $4.8 million, an increase in inventory of $3.0 million and an increase in prepaid expenses and other current assets of $3.0 million, partially offset by an increase in accounts payable of $3.0 million, and an increase in accrued expenses and other current liabilities of $2.9 million. Non-cash charges primarily consisted of non-cash interest expense of $1.3 million, change in fair value of convertible notes of $1.3 million, change in reserve for obsolete inventory of $0.8 million, depreciation and amortization of $0.5 million, change in the allowance of allowance of doubtful accounts of $0.4 million, non-cash lease expense of $0.3 million, and change in fair value of warrant liabilities of $0.3 million, partially offset by $1.8 million in forgiveness of PPP loan.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investing activities of $3.3 million for the year ended December 31, 2022, was primarily due to cash acquired in the acquisition of Solaria of $4.8 million, partially offset by additions to internal-use-software of $1.5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$1.1 million for the year ended December 31, 2021, was due to additions to internal-use-software.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of $31.2 million for the year ended December 31, 2022 was primarily due to net proceeds from issuance of long-term debt in CS Solis of $25.0 million, proceeds from the issuance of the 2022 Convertible Notes of $12.0 million, and proceeds from the issuance of notes payable of $5.5 million. This was partially offset by the repayment of notes payable of $9.5 million, payments for issuance costs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Series D redeemable convertible preferred shares of $1.4 million, and repayment of convertible notes payable to related parties of $0.5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of $16.9 million for fiscal year 2021 was primarily related to net proceeds from the issuance of notes payable of $7.2 million, the issuance of SAFE agreements of $5.0 million, issuance of our convertible promissory notes to related parties of $3.6 million and proceeds from the issuance of convertible promissory notes of $1.2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for the Years Ended December 31, 2021 and 2020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Complete Solarias cash flows from operating, investing, and financing activities for the years ended December 31, 2021 and 2020: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11"/>
        <w:gridCol w:w="311"/>
        <w:gridCol w:w="197"/>
        <w:gridCol w:w="1083"/>
        <w:gridCol w:w="220"/>
        <w:gridCol w:w="293"/>
        <w:gridCol w:w="197"/>
        <w:gridCol w:w="902"/>
        <w:gridCol w:w="158"/>
      </w:tblGrid>
      <w:tr>
        <w:trPr/>
        <w:tc>
          <w:tcPr>
            <w:tcW w:w="5211"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8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8" w:type="dxa"/>
            <w:tcBorders/>
            <w:vAlign w:val="bottom"/>
          </w:tcPr>
          <w:p>
            <w:pPr>
              <w:pStyle w:val="TableContents"/>
              <w:bidi w:val="0"/>
              <w:spacing w:before="0" w:after="283"/>
              <w:jc w:val="left"/>
              <w:rPr/>
            </w:pPr>
            <w:r>
              <w:rPr/>
              <w:t> </w:t>
            </w:r>
          </w:p>
        </w:tc>
      </w:tr>
      <w:tr>
        <w:trPr/>
        <w:tc>
          <w:tcPr>
            <w:tcW w:w="5211" w:type="dxa"/>
            <w:tcBorders/>
            <w:vAlign w:val="bottom"/>
          </w:tcPr>
          <w:p>
            <w:pPr>
              <w:pStyle w:val="TableContents"/>
              <w:bidi w:val="0"/>
              <w:spacing w:before="0" w:after="283"/>
              <w:jc w:val="left"/>
              <w:rPr>
                <w:b/>
              </w:rPr>
            </w:pPr>
            <w:r>
              <w:rPr>
                <w:b/>
              </w:rPr>
              <w:t>(in thousands)</w:t>
            </w:r>
          </w:p>
        </w:tc>
        <w:tc>
          <w:tcPr>
            <w:tcW w:w="311"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22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2020    </w:t>
            </w:r>
          </w:p>
        </w:tc>
        <w:tc>
          <w:tcPr>
            <w:tcW w:w="158" w:type="dxa"/>
            <w:tcBorders/>
            <w:vAlign w:val="bottom"/>
          </w:tcPr>
          <w:p>
            <w:pPr>
              <w:pStyle w:val="TableContents"/>
              <w:bidi w:val="0"/>
              <w:spacing w:before="0" w:after="283"/>
              <w:jc w:val="left"/>
              <w:rPr/>
            </w:pPr>
            <w:r>
              <w:rPr/>
              <w:t> </w:t>
            </w:r>
          </w:p>
        </w:tc>
      </w:tr>
      <w:tr>
        <w:trPr/>
        <w:tc>
          <w:tcPr>
            <w:tcW w:w="5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 from continuing operations</w:t>
            </w:r>
          </w:p>
        </w:tc>
        <w:tc>
          <w:tcPr>
            <w:tcW w:w="31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(10,995</w:t>
            </w:r>
          </w:p>
        </w:tc>
        <w:tc>
          <w:tcPr>
            <w:tcW w:w="22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(6,189</w:t>
            </w:r>
          </w:p>
        </w:tc>
        <w:tc>
          <w:tcPr>
            <w:tcW w:w="158" w:type="dxa"/>
            <w:tcBorders/>
            <w:shd w:fill="CCEEFF" w:val="clear"/>
            <w:vAlign w:val="bottom"/>
          </w:tcPr>
          <w:p>
            <w:pPr>
              <w:pStyle w:val="TableContents"/>
              <w:bidi w:val="0"/>
              <w:spacing w:before="0" w:after="283"/>
              <w:jc w:val="left"/>
              <w:rPr/>
            </w:pPr>
            <w:r>
              <w:rPr/>
              <w:t>) </w:t>
            </w:r>
          </w:p>
        </w:tc>
      </w:tr>
      <w:tr>
        <w:trPr/>
        <w:tc>
          <w:tcPr>
            <w:tcW w:w="521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 from continuing operations</w:t>
            </w:r>
          </w:p>
        </w:tc>
        <w:tc>
          <w:tcPr>
            <w:tcW w:w="31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(1,063</w:t>
            </w:r>
          </w:p>
        </w:tc>
        <w:tc>
          <w:tcPr>
            <w:tcW w:w="22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(584</w:t>
            </w:r>
          </w:p>
        </w:tc>
        <w:tc>
          <w:tcPr>
            <w:tcW w:w="158" w:type="dxa"/>
            <w:tcBorders/>
            <w:vAlign w:val="bottom"/>
          </w:tcPr>
          <w:p>
            <w:pPr>
              <w:pStyle w:val="TableContents"/>
              <w:bidi w:val="0"/>
              <w:spacing w:before="0" w:after="283"/>
              <w:jc w:val="left"/>
              <w:rPr/>
            </w:pPr>
            <w:r>
              <w:rPr/>
              <w:t>) </w:t>
            </w:r>
          </w:p>
        </w:tc>
      </w:tr>
      <w:tr>
        <w:trPr/>
        <w:tc>
          <w:tcPr>
            <w:tcW w:w="5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 from continuing operations</w:t>
            </w:r>
          </w:p>
        </w:tc>
        <w:tc>
          <w:tcPr>
            <w:tcW w:w="31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16,895</w:t>
            </w:r>
          </w:p>
        </w:tc>
        <w:tc>
          <w:tcPr>
            <w:tcW w:w="22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6,355</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of $11.0 million for the year ended December 31, 2021 was primarily due to the net loss of $9.3 million, and net cash outflows of $5.4 million from changes in our operating assets and liabilities, adjusted for non-cash charges of $3.7 million. The main drivers of net cash outflows derived from the changes in operating assets and liabilities were related to an increase in accounts receivable of $4.8 million, an increase in inventory of $3.0 million, and an increase in prepaid expenses and other current assets of $3.0 million, partially offset by an increase in accounts payable of $3.0 million and an increase in accrued expenses and other current liabilities of $2.9 million. Non-cash charges primarily consisted of non-cash interest expense of $1.3 million, change in fair value of convertible notes of $1.3 million, change in reserve for obsolete inventory of $0.8 million, depreciation and amortization of $0.5 million, change in the allowance of doubtful accounts of $0.4 million, non-cash lease expense of $0.3 million, and change in fair value of warrant liabilities of $0.3 million, partially offset by $1.8 million in forgiveness of PPP loan.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of $6.2 million for year ended December 31, 2020 was primarily related to our net loss of $5.6 million, and net cash outflows of $1.9 million provided by changes in our operating assets and liabilities, adjusted for non-cash charges of $1.3 million. The main drivers of net cash outflows were derived from the changes in operating assets and liabilities and were related to an increase in accounts receivable of $2.0 million, an increase in inventory of $1.3 million, a decrease in accounts payable of $1.1 million, an increase in prepaid expenses and other current assets of $0.9 million, partially offset by an increase in accrued expenses and other current liabilities of $2.4 million, and an increase in deferred revenue of $1.5 million. Non-cash charges primarily consisted of non-cash interest of $0.5 million, increase in the allowance for doubtful accounts of $0.3 million, and depreciation and amortization of $0.3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of $1.1 million for the year ended December 31, 2021 was due to additions to internal-use software.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$0.6 million for fiscal year 2020 was due to additions to internal-use software.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of $16.9 million for the year ended December 31, 2021 was primarily related to net proceeds from the issuance of notes payable of $7.2 million, the issuance of SAFE agreements of $5.0 million, issuance of our convertible promissory notes to related parties of $3.6 million, and proceeds from the issuance of convertible promissory notes of $1.2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of $6.4 million for the year ended December 31, 2020 was primarily related to net proceeds from issuance of notes payable of $4.0 million, proceeds from the issuance of convertible promissory notes to related parties of $3.3 million, and proceeds from the issuance of convertible promissory notes of $0.7 million, partially offset by repayment of convertible notes of $1.5 million. </w:t>
      </w:r>
    </w:p>
    <w:p>
      <w:pPr>
        <w:pStyle w:val="TextBody"/>
        <w:bidi w:val="0"/>
        <w:spacing w:before="360" w:after="0"/>
        <w:jc w:val="left"/>
        <w:rPr>
          <w:rFonts w:ascii="Times New Roman" w:hAnsi="Times New Roman"/>
          <w:sz w:val="20"/>
        </w:rPr>
      </w:pPr>
      <w:r>
        <w:rPr>
          <w:rFonts w:ascii="Times New Roman" w:hAnsi="Times New Roman"/>
          <w:b/>
          <w:i/>
          <w:sz w:val="20"/>
        </w:rPr>
        <w:t>Proceeds from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will not receive any of the proceeds from sales of Warrants, except with respect to amounts we may receive upon the cash exercise of the Warrants. Whether warrantholders will exercise their Warrants, and therefore the amount of cash proceeds we would receive upon exercise, is dependent upon the trading price of the common stock, the last reported sales price for which was $1.52 per share on December 21, 2023. Each Warrant is exercisable for one share of common stock at an exercise price of $11.50. Therefore, if and when the trading price of the common stock is less than $11.50 per share, we expect that warrantholders would not exercise their Warrants. To the extent the Warrants are exercised on a cashless basis, the amount of cash we would receive from the exercise of the Warrants will decrease. The Private Warrants and Working Capital Warrants may be exercised for cash or on a cashless basis. The Public Warrants and the Merger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could receive up to an aggregate of approximately $254.1 million if all of the Warrants are exercised for cash, but we would only receive such proceeds if and when the warrantholders exercise their Warrants, which, based on the current trading price of our common stock, is unlikely unless there is a significant increase in the trading price of our common stock. The Warrants may not be, or remain, in the money during the period they are exercisable and prior to their expiration and, therefore, it is possible that the Warrants may not be exercised prior to their maturity, even if they are in the money, and as such, may expire worthless with minimal proceeds received by us, if any, from the exercise of the Warrants. To the extent that any of the Warrants are exercised on a cashless basis, we will not receive any proceeds upon such exercise. As a result, we do not expect to rely on the cash exercise of Warrants to fund our operations. Instead, we intend to rely on other sources of cash discussed elsewhere in this prospectus to continue to fund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 Purchase Agreements </w:t>
      </w:r>
    </w:p>
    <w:p>
      <w:pPr>
        <w:pStyle w:val="TextBody"/>
        <w:bidi w:val="0"/>
        <w:spacing w:before="120" w:after="0"/>
        <w:jc w:val="left"/>
        <w:rPr>
          <w:rFonts w:ascii="Times New Roman" w:hAnsi="Times New Roman"/>
          <w:sz w:val="20"/>
        </w:rPr>
      </w:pPr>
      <w:r>
        <w:rPr>
          <w:rFonts w:ascii="Times New Roman" w:hAnsi="Times New Roman"/>
          <w:sz w:val="20"/>
        </w:rPr>
        <w:t xml:space="preserve">On and around July 13, FACT entered into multiple forward purchase agreements with certain FPA Investors, pursuant to which FACT (now to Complete Solaria following the Closing) agreed to purchase in the aggregate,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is not less than $5.00 per share. </w:t>
      </w:r>
    </w:p>
    <w:p>
      <w:pPr>
        <w:pStyle w:val="TextBody"/>
        <w:bidi w:val="0"/>
        <w:spacing w:before="240" w:after="0"/>
        <w:jc w:val="left"/>
        <w:rPr>
          <w:rFonts w:ascii="Times New Roman" w:hAnsi="Times New Roman"/>
          <w:sz w:val="20"/>
        </w:rPr>
      </w:pPr>
      <w:r>
        <w:rPr>
          <w:rFonts w:ascii="Times New Roman" w:hAnsi="Times New Roman"/>
          <w:sz w:val="20"/>
        </w:rPr>
        <w:t xml:space="preserve">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shares, or in the event that the forward purchase agreements are terminated the amount of cash arising from the Business Combination that would ultimately be available to fund our liquidity and capital resource requirements would reduce accordingly, which would adversely affect our ability to fund our growth plan in the manner we had contemplated when entering into the forward purchase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Off 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Complete Solaria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Complete Solaria is a party, under which it has any obligation arising under a guaranteed contract, derivative instrument, or variable interest or a retained or contingent interest in assets transferred to such entity or similar arrangement that serves as credit, liquidity, or market risk support for such assets. </w:t>
      </w:r>
    </w:p>
    <w:p>
      <w:pPr>
        <w:pStyle w:val="TextBody"/>
        <w:bidi w:val="0"/>
        <w:spacing w:before="240" w:after="0"/>
        <w:jc w:val="left"/>
        <w:rPr>
          <w:rFonts w:ascii="Times New Roman" w:hAnsi="Times New Roman"/>
          <w:sz w:val="20"/>
        </w:rPr>
      </w:pPr>
      <w:r>
        <w:rPr>
          <w:rFonts w:ascii="Times New Roman" w:hAnsi="Times New Roman"/>
          <w:sz w:val="20"/>
        </w:rPr>
        <w:t xml:space="preserve">Currently, Complete Solaria does not engage in off-balance sheet financing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t>
      </w:r>
    </w:p>
    <w:p>
      <w:pPr>
        <w:pStyle w:val="TextBody"/>
        <w:bidi w:val="0"/>
        <w:spacing w:before="240" w:after="0"/>
        <w:jc w:val="left"/>
        <w:rPr>
          <w:rFonts w:ascii="Times New Roman" w:hAnsi="Times New Roman"/>
          <w:sz w:val="20"/>
        </w:rPr>
      </w:pPr>
      <w:r>
        <w:rPr>
          <w:rFonts w:ascii="Times New Roman" w:hAnsi="Times New Roman"/>
          <w:sz w:val="20"/>
        </w:rPr>
        <w:t xml:space="preserve">Complete Solaria is an emerging growth company as defined in Section 2(a) of the Securities Act, and has elected to take advantage of the benefits of the extended transition period for new or revised financial accounting standards. Following the closing of the Merger, our Post-Combination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December 31, 2025. Complete Solaria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Complete Solarias operations expose Complete Solaria to a variety of market risks. Complete Solaria monitors and manages these financial exposures as an integral part of its overall risk management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significant exposure to interest rate risk that could affect the balance sheet, statement of operations, and the statement of cash flows, as we do not have any outstanding variable rate debt as of October 1, 2023.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Concentrations of Credit Risk and Major Customers </w:t>
      </w:r>
    </w:p>
    <w:p>
      <w:pPr>
        <w:pStyle w:val="TextBody"/>
        <w:bidi w:val="0"/>
        <w:spacing w:before="120" w:after="0"/>
        <w:jc w:val="left"/>
        <w:rPr>
          <w:rFonts w:ascii="Times New Roman" w:hAnsi="Times New Roman"/>
          <w:sz w:val="20"/>
        </w:rPr>
      </w:pPr>
      <w:r>
        <w:rPr>
          <w:rFonts w:ascii="Times New Roman" w:hAnsi="Times New Roman"/>
          <w:sz w:val="20"/>
        </w:rPr>
        <w:t xml:space="preserve">Our customer base consists primarily of residential homeowners. We do not require collateral on our accounts receivable. Further, our accounts receivable are with individual homeowners and we are exposed to normal industry credit risks. We continually evaluate our reserves for potential credit losses and establish reserves for such losses. </w:t>
      </w:r>
    </w:p>
    <w:p>
      <w:pPr>
        <w:pStyle w:val="TextBody"/>
        <w:bidi w:val="0"/>
        <w:spacing w:before="240" w:after="0"/>
        <w:jc w:val="left"/>
        <w:rPr>
          <w:rFonts w:ascii="Times New Roman" w:hAnsi="Times New Roman"/>
          <w:sz w:val="20"/>
        </w:rPr>
      </w:pPr>
      <w:r>
        <w:rPr>
          <w:rFonts w:ascii="Times New Roman" w:hAnsi="Times New Roman"/>
          <w:sz w:val="20"/>
        </w:rPr>
        <w:t xml:space="preserve">As of October 1, 2023, one customer accounted for 10% or more of total accounts receivable, net balance. As of September 30, 2022, one customer accounted for 10% or more of the total accounts receivable, net balance. </w:t>
      </w:r>
    </w:p>
    <w:p>
      <w:pPr>
        <w:pStyle w:val="TextBody"/>
        <w:bidi w:val="0"/>
        <w:spacing w:before="240" w:after="0"/>
        <w:jc w:val="left"/>
        <w:rPr>
          <w:rFonts w:ascii="Times New Roman" w:hAnsi="Times New Roman"/>
          <w:sz w:val="20"/>
        </w:rPr>
      </w:pPr>
      <w:r>
        <w:rPr>
          <w:rFonts w:ascii="Times New Roman" w:hAnsi="Times New Roman"/>
          <w:sz w:val="20"/>
        </w:rPr>
        <w:t xml:space="preserve">For the thirty-nine weeks ended October 1, 2023, one customer accounted for 10% or more of the total revenues. For the nine months ended September 30, 2022, two customers accounted for 10% or more of total revenues. </w:t>
      </w:r>
    </w:p>
    <w:p>
      <w:pPr>
        <w:pStyle w:val="TextBody"/>
        <w:bidi w:val="0"/>
        <w:spacing w:before="360" w:after="0"/>
        <w:jc w:val="left"/>
        <w:rPr>
          <w:rFonts w:ascii="Times New Roman" w:hAnsi="Times New Roman"/>
          <w:sz w:val="20"/>
        </w:rPr>
      </w:pPr>
      <w:r>
        <w:rPr>
          <w:rFonts w:ascii="Times New Roman" w:hAnsi="Times New Roman"/>
          <w:b/>
          <w:sz w:val="20"/>
        </w:rPr>
        <w:t>Recent Developments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Company entered into an Assignment and Acceptance Agreement (Assignment Agreement), whereby Structural Capital Investments III, LP assigns the SCI debt to Kline Hill Partners Fund LP, Kline Hill Partners IV SPV LLC, Kline Hill Partners Opportunity IV SPV LLC, and Rodgers Massey Revocable Living Trust for a total purchase price of $5.0 million. The Company has identified this as a related party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in connection with the Assignment Agreement, the Company also entered into the First Amendment to Warrant to Stock Purchase Agreements with the holders of the Series D-7 warrants. Pursuant to the terms of the agreement, the warrants to purchase 1,376,414 shares of Series D-7 preferred stock converted into warrants to purchase 656,630 shares of common stock (the replacement warrants). As a result of the warrant amendment, the Company reclassified the replacement warrants from equity to liability. The replacement warrants were remeasured to the fair value on the amendment effective date and the Company will record subsequent changes in fair value in other income (expense), net on the unaudited condensed consolidated statements of operations and comprehensive income (loss).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in October 2023, we completed the sale of our solar panel business to Maxeon, pursuant to the terms of the Disposal Agreement. </w:t>
      </w:r>
    </w:p>
    <w:p>
      <w:pPr>
        <w:pStyle w:val="TextBody"/>
        <w:bidi w:val="0"/>
        <w:spacing w:before="0" w:after="0"/>
        <w:jc w:val="right"/>
        <w:rPr>
          <w:rFonts w:ascii="Times New Roman" w:hAnsi="Times New Roman"/>
          <w:b/>
          <w:sz w:val="20"/>
        </w:rPr>
      </w:pPr>
      <w:bookmarkStart w:id="8" w:name="d474289dex993.htm"/>
      <w:bookmarkStart w:id="9" w:name="ksd474289dex993"/>
      <w:bookmarkEnd w:id="8"/>
      <w:bookmarkEnd w:id="9"/>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b/>
          <w:sz w:val="20"/>
        </w:rPr>
      </w:pPr>
      <w:bookmarkStart w:id="10" w:name="rom474289_20"/>
      <w:bookmarkEnd w:id="10"/>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The unaudited pro forma condensed combined financial information presents the pro forma effects of the Business Combination, inclusive of the Mergers and the Domestication of FACT, as described below and the pro forma effects of the Disposal Transaction, as described below. The Business Combination and related transactions, as further described elsewhere in the unaudited pro forma financial information, were completed on or around July 18, 2023. </w:t>
      </w:r>
    </w:p>
    <w:p>
      <w:pPr>
        <w:pStyle w:val="TextBody"/>
        <w:bidi w:val="0"/>
        <w:spacing w:before="240" w:after="0"/>
        <w:jc w:val="left"/>
        <w:rPr>
          <w:rFonts w:ascii="Times New Roman" w:hAnsi="Times New Roman"/>
          <w:sz w:val="20"/>
        </w:rPr>
      </w:pPr>
      <w:r>
        <w:rPr>
          <w:rFonts w:ascii="Times New Roman" w:hAnsi="Times New Roman"/>
          <w:sz w:val="20"/>
        </w:rPr>
        <w:t>FACT is a blank check company incorporated as a Cayman Islands exempted company in December 2020. FACT was formed for the purpose of effecting a merger, amalgamation, share exchange, asset acquisition, share purchase, reorganization or similar business combination with one or more businesses. On March 2, 2021, FACT consummated its initial public offering (the </w:t>
      </w:r>
      <w:r>
        <w:rPr>
          <w:rFonts w:ascii="Times New Roman" w:hAnsi="Times New Roman"/>
          <w:b/>
          <w:sz w:val="20"/>
        </w:rPr>
        <w:t>IPO</w:t>
      </w:r>
      <w:r>
        <w:rPr>
          <w:rFonts w:ascii="Times New Roman" w:hAnsi="Times New Roman"/>
          <w:sz w:val="20"/>
        </w:rPr>
        <w:t>) generating gross proceeds of $345.0 million. Simultaneously with the closing of the IPO, FACT consummated the sale of 6,266,667 Private Warrants at a purchase price of $1.50 per warrant in a private placement to FACTs sponsor, Freedom Acquisition I LLC, a Delaware limited liability company (the </w:t>
      </w:r>
      <w:r>
        <w:rPr>
          <w:rFonts w:ascii="Times New Roman" w:hAnsi="Times New Roman"/>
          <w:b/>
          <w:sz w:val="20"/>
        </w:rPr>
        <w:t>Sponsor</w:t>
      </w:r>
      <w:r>
        <w:rPr>
          <w:rFonts w:ascii="Times New Roman" w:hAnsi="Times New Roman"/>
          <w:sz w:val="20"/>
        </w:rPr>
        <w:t xml:space="preserve">), generating gross proceeds of $9.4 million. Following the Extension Amendment Redemptions on March 2, 2023, 11,243,496 Class A Ordinary Shares remained outstanding. As of the Closing Date, holders of 7,784,739 shares of Class A Ordinary Shares had validly elected to redeem their Class A Ordinary Shares for a full pro rata portion of the trust account holding the proceeds from FACTs initial public offering, or approximately $10.56 per share and $82.2 million in the aggregate. </w:t>
      </w:r>
    </w:p>
    <w:p>
      <w:pPr>
        <w:pStyle w:val="TextBody"/>
        <w:bidi w:val="0"/>
        <w:spacing w:before="240" w:after="0"/>
        <w:jc w:val="left"/>
        <w:rPr>
          <w:rFonts w:ascii="Times New Roman" w:hAnsi="Times New Roman"/>
          <w:sz w:val="20"/>
        </w:rPr>
      </w:pPr>
      <w:r>
        <w:rPr>
          <w:rFonts w:ascii="Times New Roman" w:hAnsi="Times New Roman"/>
          <w:sz w:val="20"/>
        </w:rPr>
        <w:t>Complete Solar, Inc., a Delaware corporation (</w:t>
      </w:r>
      <w:r>
        <w:rPr>
          <w:rFonts w:ascii="Times New Roman" w:hAnsi="Times New Roman"/>
          <w:b/>
          <w:sz w:val="20"/>
        </w:rPr>
        <w:t>Complete Solar</w:t>
      </w:r>
      <w:r>
        <w:rPr>
          <w:rFonts w:ascii="Times New Roman" w:hAnsi="Times New Roman"/>
          <w:sz w:val="20"/>
        </w:rPr>
        <w:t xml:space="preserve">), was incorporated in the State of Delaware in 2010 and provides solar services such as sales enablement, project management, partner coordination and customer communication. Legacy Complete Solaria is the result of the business combination of Complete Solar and The Solaria Corporation, which was consummated on November 4, 2022. As discussed below, the disposition of The Solaria Corporation (Solaria) was consummated in October 2023. Complete Solarias unaudited condensed consolidated balance sheet as of October 1, 2023 and unaudited condensed consolidated statement of operations and comprehensive income (loss) for the thirty-nine week period ended October 1, 2023 have been recast to give effect to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also includes the impact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final disposition, which was consummated on October 6, 2023, of certain North American solar panel assets, inclusive of certain intellectual property and customer contracts, not reflected in Compete Solarias unaudited condensed consolidated balance sheet as of October 1, 2023 (the </w:t>
            </w:r>
            <w:r>
              <w:rPr>
                <w:rFonts w:ascii="Times New Roman" w:hAnsi="Times New Roman"/>
                <w:b/>
                <w:sz w:val="20"/>
              </w:rPr>
              <w:t>Disposal Transaction</w:t>
            </w:r>
            <w:r>
              <w:rPr>
                <w:rFonts w:ascii="Times New Roman" w:hAnsi="Times New Roman"/>
                <w:sz w:val="20"/>
              </w:rPr>
              <w:t xml:space="preserve">). In connection with the Disposal Transaction, Maxeon agreed to hire certain employees of Complete Solaria who, upon closing, became employees of Maxeon.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conjunction with the Disposal Transaction, on October 5, 2023, Complete Solaria amended certain warrants, dated November 2, 2022, originally issued by the Complete Solaria to six warrant holders, which warrants are exercisable for (a) an aggregate of 1,486,268 shares of Complete Solarias common stock, par value $0.001 per share, or (b) if designated and issued, a future series of preferred stock of Complete Solaria.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Complete Solaria, Inc. previously announced in its Current Report on Form 8-K filed with the SEC on July 14, 2023 that the Company and Freedom Acquisition I Corp. entered into separate agreements (each a Forward Purchase Agreement, and together, the </w:t>
            </w:r>
            <w:r>
              <w:rPr>
                <w:rFonts w:ascii="Times New Roman" w:hAnsi="Times New Roman"/>
                <w:b/>
                <w:sz w:val="20"/>
              </w:rPr>
              <w:t>Forward Purchase Agreements</w:t>
            </w:r>
            <w:r>
              <w:rPr>
                <w:rFonts w:ascii="Times New Roman" w:hAnsi="Times New Roman"/>
                <w:sz w:val="20"/>
              </w:rPr>
              <w:t>) with each of (i) Meteora; (ii) Polar, and (iii) Sandia (each of Meteora, Polar, and Sandia, individually, a </w:t>
            </w:r>
            <w:r>
              <w:rPr>
                <w:rFonts w:ascii="Times New Roman" w:hAnsi="Times New Roman"/>
                <w:b/>
                <w:sz w:val="20"/>
              </w:rPr>
              <w:t>Seller</w:t>
            </w:r>
            <w:r>
              <w:rPr>
                <w:rFonts w:ascii="Times New Roman" w:hAnsi="Times New Roman"/>
                <w:sz w:val="20"/>
              </w:rPr>
              <w:t>, and together, the </w:t>
            </w:r>
            <w:r>
              <w:rPr>
                <w:rFonts w:ascii="Times New Roman" w:hAnsi="Times New Roman"/>
                <w:b/>
                <w:sz w:val="20"/>
              </w:rPr>
              <w:t>Sellers</w:t>
            </w:r>
            <w:r>
              <w:rPr>
                <w:rFonts w:ascii="Times New Roman" w:hAnsi="Times New Roman"/>
                <w:sz w:val="20"/>
              </w:rPr>
              <w:t xml:space="preserve">) for OTC Equity Prepaid Forward Transactions. </w:t>
            </w:r>
          </w:p>
        </w:tc>
      </w:tr>
    </w:tbl>
    <w:p>
      <w:pPr>
        <w:pStyle w:val="TextBody"/>
        <w:bidi w:val="0"/>
        <w:spacing w:before="120" w:after="0"/>
        <w:jc w:val="left"/>
        <w:rPr>
          <w:rFonts w:ascii="Times New Roman" w:hAnsi="Times New Roman"/>
          <w:sz w:val="20"/>
        </w:rPr>
      </w:pPr>
      <w:r>
        <w:rPr>
          <w:rFonts w:ascii="Times New Roman" w:hAnsi="Times New Roman"/>
          <w:sz w:val="20"/>
        </w:rPr>
        <w:t>On December 18, 2023, Complete Solaria and each Seller entered into separate amendments to the Forward Purchase Agreements (the </w:t>
      </w:r>
      <w:r>
        <w:rPr>
          <w:rFonts w:ascii="Times New Roman" w:hAnsi="Times New Roman"/>
          <w:b/>
          <w:sz w:val="20"/>
        </w:rPr>
        <w:t>Amendments</w:t>
      </w:r>
      <w:r>
        <w:rPr>
          <w:rFonts w:ascii="Times New Roman" w:hAnsi="Times New Roman"/>
          <w:sz w:val="20"/>
        </w:rPr>
        <w:t xml:space="preserve">). The Amendments lower the reset price of each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 Purchase Agreement from $5.00 to $3.00 and allow the Company to raise up to $10,000,000 of equity from existing stockholders without triggering certain anti-dilution provisions contained in the Forward Purchase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On December 19, 2023, the Complete Solaria entered into separate common stock purchase agreements (the </w:t>
            </w:r>
            <w:r>
              <w:rPr>
                <w:rFonts w:ascii="Times New Roman" w:hAnsi="Times New Roman"/>
                <w:b/>
                <w:sz w:val="20"/>
              </w:rPr>
              <w:t>Purchase Agreements</w:t>
            </w:r>
            <w:r>
              <w:rPr>
                <w:rFonts w:ascii="Times New Roman" w:hAnsi="Times New Roman"/>
                <w:sz w:val="20"/>
              </w:rPr>
              <w:t>) with the Rodgers Massey Freedom and Free Markets Charitable Trust and the Rodgers Massey Revocable Living Trust (each a </w:t>
            </w:r>
            <w:r>
              <w:rPr>
                <w:rFonts w:ascii="Times New Roman" w:hAnsi="Times New Roman"/>
                <w:b/>
                <w:sz w:val="20"/>
              </w:rPr>
              <w:t>Purchaser</w:t>
            </w:r>
            <w:r>
              <w:rPr>
                <w:rFonts w:ascii="Times New Roman" w:hAnsi="Times New Roman"/>
                <w:sz w:val="20"/>
              </w:rPr>
              <w:t>, and together, the </w:t>
            </w:r>
            <w:r>
              <w:rPr>
                <w:rFonts w:ascii="Times New Roman" w:hAnsi="Times New Roman"/>
                <w:b/>
                <w:sz w:val="20"/>
              </w:rPr>
              <w:t>Purchasers</w:t>
            </w:r>
            <w:r>
              <w:rPr>
                <w:rFonts w:ascii="Times New Roman" w:hAnsi="Times New Roman"/>
                <w:sz w:val="20"/>
              </w:rPr>
              <w:t>). Pursuant to the terms of the Purchase Agreements, each Purchaser purchased 1,838,235 shares of Complete Solaria Common Stock, par value $0.001, (the </w:t>
            </w:r>
            <w:r>
              <w:rPr>
                <w:rFonts w:ascii="Times New Roman" w:hAnsi="Times New Roman"/>
                <w:b/>
                <w:sz w:val="20"/>
              </w:rPr>
              <w:t>Shares</w:t>
            </w:r>
            <w:r>
              <w:rPr>
                <w:rFonts w:ascii="Times New Roman" w:hAnsi="Times New Roman"/>
                <w:sz w:val="20"/>
              </w:rPr>
              <w:t xml:space="preserve">), at a price per share of $1.36, representing an aggregate purchase price of $5.0 million. The Purchasers paid for the Shares in cash. Thurman J. Rodgers is a trustee of each Purchaser and is the Executive Chairman of the board of directors of Complete Solaria.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Business Combination </w:t>
      </w:r>
    </w:p>
    <w:p>
      <w:pPr>
        <w:pStyle w:val="TextBody"/>
        <w:bidi w:val="0"/>
        <w:spacing w:before="120" w:after="0"/>
        <w:jc w:val="left"/>
        <w:rPr>
          <w:rFonts w:ascii="Times New Roman" w:hAnsi="Times New Roman"/>
          <w:sz w:val="20"/>
        </w:rPr>
      </w:pPr>
      <w:r>
        <w:rPr>
          <w:rFonts w:ascii="Times New Roman" w:hAnsi="Times New Roman"/>
          <w:b/>
          <w:i/>
          <w:sz w:val="20"/>
        </w:rPr>
        <w:t xml:space="preserve">The Domestication </w:t>
      </w:r>
      <w:r>
        <w:rPr>
          <w:rFonts w:ascii="Times New Roman" w:hAnsi="Times New Roman"/>
          <w:sz w:val="20"/>
        </w:rPr>
        <w:t> As part of the Business Combination, FACT affected a deregistration under the Cayman Islands Companies Act and a domestication under Section 388 of the DGCL (the </w:t>
      </w:r>
      <w:r>
        <w:rPr>
          <w:rFonts w:ascii="Times New Roman" w:hAnsi="Times New Roman"/>
          <w:b/>
          <w:sz w:val="20"/>
        </w:rPr>
        <w:t>Domestication</w:t>
      </w:r>
      <w:r>
        <w:rPr>
          <w:rFonts w:ascii="Times New Roman" w:hAnsi="Times New Roman"/>
          <w:sz w:val="20"/>
        </w:rPr>
        <w:t>). Upon the effectiveness of the Domestication, FACT changed its name to Complete Solaria, Inc. (</w:t>
      </w:r>
      <w:r>
        <w:rPr>
          <w:rFonts w:ascii="Times New Roman" w:hAnsi="Times New Roman"/>
          <w:b/>
          <w:sz w:val="20"/>
        </w:rPr>
        <w:t>New Complete Solaria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Domestication, (i) each issued and outstanding FACT Class A Ordinary Share and each issued and outstanding FACT Class B Ordinary Share converted into one share of Complete Solaria Common Stock. Additionally, each issued and outstanding whole warrant to purchase one FACT Class A Ordinary Share at an exercise price of $11.50 per share converted, on a one-for-one basis, to purchase one share of Complete Solaria Common Stock at an exercise price of $11.50 per share. </w:t>
      </w:r>
    </w:p>
    <w:p>
      <w:pPr>
        <w:pStyle w:val="TextBody"/>
        <w:bidi w:val="0"/>
        <w:spacing w:before="240" w:after="0"/>
        <w:jc w:val="left"/>
        <w:rPr>
          <w:rFonts w:ascii="Times New Roman" w:hAnsi="Times New Roman"/>
          <w:sz w:val="20"/>
        </w:rPr>
      </w:pPr>
      <w:r>
        <w:rPr>
          <w:rFonts w:ascii="Times New Roman" w:hAnsi="Times New Roman"/>
          <w:b/>
          <w:i/>
          <w:sz w:val="20"/>
        </w:rPr>
        <w:t xml:space="preserve">The Mergers </w:t>
      </w:r>
      <w:r>
        <w:rPr>
          <w:rFonts w:ascii="Times New Roman" w:hAnsi="Times New Roman"/>
          <w:sz w:val="20"/>
        </w:rPr>
        <w:t> On July 18, 2023 (the </w:t>
      </w:r>
      <w:r>
        <w:rPr>
          <w:rFonts w:ascii="Times New Roman" w:hAnsi="Times New Roman"/>
          <w:b/>
          <w:sz w:val="20"/>
        </w:rPr>
        <w:t>Closing Date</w:t>
      </w:r>
      <w:r>
        <w:rPr>
          <w:rFonts w:ascii="Times New Roman" w:hAnsi="Times New Roman"/>
          <w:sz w:val="20"/>
        </w:rPr>
        <w:t>) and following the approval at an extraordinary general meeting of the shareholders of FACT held on July 11, 2023, as contemplated by the Business Combination Agreement, the parties consummated the closing of the transactions contemplated by the Business Combination Agreement (collectively, the </w:t>
      </w:r>
      <w:r>
        <w:rPr>
          <w:rFonts w:ascii="Times New Roman" w:hAnsi="Times New Roman"/>
          <w:b/>
          <w:sz w:val="20"/>
        </w:rPr>
        <w:t>Business Combination</w:t>
      </w:r>
      <w:r>
        <w:rPr>
          <w:rFonts w:ascii="Times New Roman" w:hAnsi="Times New Roman"/>
          <w:sz w:val="20"/>
        </w:rPr>
        <w:t>), whereby (i) First Merger Sub merged with and into Legacy Complete Solaria, with Legacy Complete Solaria surviving as a wholly-owned subsidiary of the Company (the </w:t>
      </w:r>
      <w:r>
        <w:rPr>
          <w:rFonts w:ascii="Times New Roman" w:hAnsi="Times New Roman"/>
          <w:b/>
          <w:sz w:val="20"/>
        </w:rPr>
        <w:t>First Merger</w:t>
      </w:r>
      <w:r>
        <w:rPr>
          <w:rFonts w:ascii="Times New Roman" w:hAnsi="Times New Roman"/>
          <w:sz w:val="20"/>
        </w:rPr>
        <w:t>), (ii) immediately thereafter and as part of the same overall transaction, Legacy Complete Solaria merged with and into Second Merger Sub, with Second Merger Sub surviving as a wholly-owned subsidiary of the Company (the </w:t>
      </w:r>
      <w:r>
        <w:rPr>
          <w:rFonts w:ascii="Times New Roman" w:hAnsi="Times New Roman"/>
          <w:b/>
          <w:sz w:val="20"/>
        </w:rPr>
        <w:t>Second Merger</w:t>
      </w:r>
      <w:r>
        <w:rPr>
          <w:rFonts w:ascii="Times New Roman" w:hAnsi="Times New Roman"/>
          <w:sz w:val="20"/>
        </w:rPr>
        <w:t>), and Second Merger Sub changed its name to CS, LLC, and (iii) immediately after the consummation of the Second Merger and as part of the same overall transaction, Solaria merged with and into a newly formed Delaware limited liability company and wholly-owned subsidiary of the Company and changed its name to SolarCA LLC (</w:t>
      </w:r>
      <w:r>
        <w:rPr>
          <w:rFonts w:ascii="Times New Roman" w:hAnsi="Times New Roman"/>
          <w:b/>
          <w:sz w:val="20"/>
        </w:rPr>
        <w:t>Third</w:t>
      </w:r>
      <w:r>
        <w:rPr>
          <w:rFonts w:ascii="Times New Roman" w:hAnsi="Times New Roman"/>
          <w:sz w:val="20"/>
        </w:rPr>
        <w:t> </w:t>
      </w:r>
      <w:r>
        <w:rPr>
          <w:rFonts w:ascii="Times New Roman" w:hAnsi="Times New Roman"/>
          <w:b/>
          <w:sz w:val="20"/>
        </w:rPr>
        <w:t>Merger Sub</w:t>
      </w:r>
      <w:r>
        <w:rPr>
          <w:rFonts w:ascii="Times New Roman" w:hAnsi="Times New Roman"/>
          <w:sz w:val="20"/>
        </w:rPr>
        <w:t>), with Third Merger Sub surviving as a wholly-owned subsidiary of the Company (the </w:t>
      </w:r>
      <w:r>
        <w:rPr>
          <w:rFonts w:ascii="Times New Roman" w:hAnsi="Times New Roman"/>
          <w:b/>
          <w:sz w:val="20"/>
        </w:rPr>
        <w:t>Additional Merger</w:t>
      </w:r>
      <w:r>
        <w:rPr>
          <w:rFonts w:ascii="Times New Roman" w:hAnsi="Times New Roman"/>
          <w:sz w:val="20"/>
        </w:rPr>
        <w:t>, and together with the First Merger and the Second Merger, the </w:t>
      </w:r>
      <w:r>
        <w:rPr>
          <w:rFonts w:ascii="Times New Roman" w:hAnsi="Times New Roman"/>
          <w:b/>
          <w:sz w:val="20"/>
        </w:rPr>
        <w:t>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to the closing of the Business Combination, Complete Solar was required to consummate a merger with Solaria. On October 3, 2022, Complete Solar entered into the Required Transaction Merger Agreement, pursuant to which, and on the terms and subject to the conditions of which, Complete Solar would acquire all of the outstanding shares of capital stock of Solaria. The merger between Complete Solar and Solaria was consummated on November 4, 2022. As a result, Solaria became a wholly-owned subsidiary of Complete Solar, forming Legacy Complete Solaria. As discussed below, the disposition of Solaria was consummated in October 2023. Complete Solarias unaudited condensed consolidated balance sheet as of October 1, 2023 and unaudited condensed consolidated statement of operations and comprehensive income (loss) for the thirty-nine week period ended October 1, 2023 have been recast to give effect to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The equity exchange and financing related matters associated with the Business Combination are summarized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Complete Solaria has raised the 2022 Convertible Notes in November 2022, December 2022, February 2023, May 2023 and June 2023 with additional investors, with an aggregate purchase price of $33.3 million. Additionally, Legacy Complete Solaria assumed a note from an existing investor for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$6.7 million, which was modified as of the close of the acquisition of Solaria to contain the same terms as the other 2022 Convertible Notes. At the Closing, the principle and accrued interest (</w:t>
            </w:r>
            <w:r>
              <w:rPr>
                <w:b/>
              </w:rPr>
              <w:t>Conversion Amount</w:t>
            </w:r>
            <w:r>
              <w:rPr/>
              <w:t>) of the 2022 Convertible Notes converted into a number of shares of Complete Solaria Common Stock equal to the Conversion Amount divided by 0.75 divided by the price per share of Common Stock of Complete Solaria (</w:t>
            </w:r>
            <w:r>
              <w:rPr>
                <w:b/>
              </w:rPr>
              <w:t>Convertible</w:t>
            </w:r>
            <w:r>
              <w:rPr/>
              <w:t xml:space="preserve"> </w:t>
            </w:r>
            <w:r>
              <w:rPr>
                <w:b/>
              </w:rPr>
              <w:t>Note Conversion Shares</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each share of Legacy Complete Solaria Capital Stock, inclusive of the 2022 Convertible Note Conversion Shares, issued and outstanding immediately prior to the Closing were cancelled and exchanged into an aggregate of 33,805,245 shares of Complete Solaria Common Stock (at a deemed value of $10.00 per share) equal to the Aggregate Merger Consideration. Additionally, each holder of Legacy Complete Solaria Capital Stock received Complete Solaria Warrants equal to a portion of the Aggregate Warrant Consideration, calculated on a pro rata basis based on the percentage interest of issued and outstanding shares of Legacy Complete Solaria Capital Stock held by the holder of such share of Legacy Complete Solaria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At the Closing, all Legacy Complete Solaria Options and Legacy Complete Solaria Warrants outstanding as of immediately prior to such time were converted into options of Complete Solaria (</w:t>
            </w:r>
            <w:r>
              <w:rPr>
                <w:rFonts w:ascii="Times New Roman" w:hAnsi="Times New Roman"/>
                <w:b/>
                <w:sz w:val="20"/>
              </w:rPr>
              <w:t>Complete Solaria</w:t>
            </w:r>
            <w:r>
              <w:rPr>
                <w:rFonts w:ascii="Times New Roman" w:hAnsi="Times New Roman"/>
                <w:sz w:val="20"/>
              </w:rPr>
              <w:t xml:space="preserve"> </w:t>
            </w:r>
            <w:r>
              <w:rPr>
                <w:rFonts w:ascii="Times New Roman" w:hAnsi="Times New Roman"/>
                <w:b/>
                <w:sz w:val="20"/>
              </w:rPr>
              <w:t>Options</w:t>
            </w:r>
            <w:r>
              <w:rPr>
                <w:rFonts w:ascii="Times New Roman" w:hAnsi="Times New Roman"/>
                <w:sz w:val="20"/>
              </w:rPr>
              <w:t xml:space="preserve">) and Complete Solaria Warrants, respectively. Each such Complete Solaria Option and Complete Solaria Warrant relates to a number of whole shares of Complete Solaria Common Stock (rounded down to the nearest whole share) equal to (i) the number of shares of Legacy Complete Solaria Common Stock subject to the applicable Legacy Complete Solaria Option or Legacy Complete Solaria Warrant multiplied by (ii) the Merger Consideration Per Fully Diluted Share. The exercise price for each Complete Solaria Option and Complete Solaria Warrant equals (i) the exercise price per share of the applicable Complete Solaria Option or Complete Solaria Warrant divided by (ii) the Merger Consideration Per Fully Diluted Share (rounded up to the nearest full 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the Sponsor transferred to the convertible note investors a pro rata percentage of (i) 666,651 shares of Complete Solaria Common Stock in exchange for payment by such investor to FACT of $0.0001 per share and (ii) 484,364 FACT Private Warrants held by the Sponsor. In addition, convertible note investors are entitled to receive, on a pro rata basis, up to an additional (i) 333,333 shares of Complete Solaria Common Stock, at a purchase price of $0.0001 per share, if within the first 12 months following the Closing Date, the volume weighted average price of Complete Solaria Common Stock equals or exceeds $12.50 per share for a period of at least 20 days out of 30 consecutive days on which the shares of Complete Solaria Common Stock are traded on a stock exchange, and (ii) 333,333 shares of Complete Solaria Common Stock, at a purchase price of $0.0001 per share, if within the first 12 months following the Closing Date, the volume weighted average price of Complete Solaria Common Stock equals or exceeds $15.00 per share for a period of at least 20 days out of 30 consecutive days on which the shares of Complete Solaria Common Stock are traded on a stock exchange. The transfer of Complete Solaria Common Stock and Private Warrants from the Sponsor to the Legacy Complete Solaria convertible noteholders is an exchange between investors, which does not result in a pro forma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around the Closing, Complete Solaria entered into New Money PIPE Subscription Agreements with certain investors to subscribe for and purchase 120,000 FACT Class A Ordinary Shares for a purchase price of $5.00 and aggregate proceeds of $0.6 million. Additionally, Complete Solaria issued an additional 60,000 shares of Complete Solaria Common Stock in consideration for certain services provided in the structuring of the Forward Purchase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vi.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around the Closing Date, Complete Solaria entered into Subscription Agreements with certain PIPE Investors who purchased 1,570,000 shares of Complete Solaria Common Stock for aggregate proceeds of $15.7 million, including $3.5 million that was funded prior to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around the Closing Date, the Sponsor transferred 4,333,333 FACT Class B Ordinary Shares to certain third parties pursuant to working capital lending arrangements, non-redemption agreements, PIPE Investments and the settlement of FACTs accrued expenses associated with the Business Combination. Additionally, Complete Solaria issued and transferred 193,976 shares of Complete Solaria Common Stock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the Sponsor, 120,000 shares of Complete Solaria Common Stock to PIPE Investors and 150,000 shares of Complete Solaria Common Stock to Sellers in connection with the Forward Purchase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On July 17 and July 18, and in connection with obtaining consent for the Business Combination, Legacy Complete Solaria, FACT and CSREF Solis Holdings, LLC (</w:t>
            </w:r>
            <w:r>
              <w:rPr>
                <w:rFonts w:ascii="Times New Roman" w:hAnsi="Times New Roman"/>
                <w:b/>
                <w:sz w:val="20"/>
              </w:rPr>
              <w:t>Carlyle</w:t>
            </w:r>
            <w:r>
              <w:rPr>
                <w:rFonts w:ascii="Times New Roman" w:hAnsi="Times New Roman"/>
                <w:sz w:val="20"/>
              </w:rPr>
              <w:t xml:space="preserve">) entered into an amended and restated consent to the Business Combination Agreement and an amended and restated warrant agreement, which modified the terms of the mandatorily redeemable investment made by Carlyle in Legacy Complete Solaria.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Carlyle investment of $25.6 million was mandatorily redeemable on the three-year anniversary of the effective date of the CS Solis amended and restated LLC agreement (February 14, 2025) and accrued interest at a rate of 10.5%, which was structured as a a dividend payable based on 25% of the investment amount measured quarterly, compounded annually, and subject to increases in the event Legacy Complete Solaria declared any dividend. In connection with the investment, Legacy Complete Solaria issued a warrant to purchase up to 5,978,960 shares of its common stock at a price of $0.01 per share, of which, 4,132,513 shares were immediately exercisable and, were outstanding as of the date of modification. At Closing, the Legacy Complete Solaria warrants were exchanged for 1,995,879 warrants to purchase shares of Complete Solaria Common Stock. Legacy Complete Solaria accounted for the mandatorily redeemable investment from Carlyle in accordance with ASC 480  Distinguishing Liabilities from Equity and recorded the investment as a liability, which was accreted to its redemption value under the effective interest method. </w:t>
      </w:r>
    </w:p>
    <w:p>
      <w:pPr>
        <w:pStyle w:val="TextBody"/>
        <w:bidi w:val="0"/>
        <w:spacing w:before="120" w:after="0"/>
        <w:jc w:val="left"/>
        <w:rPr>
          <w:rFonts w:ascii="Times New Roman" w:hAnsi="Times New Roman"/>
          <w:sz w:val="20"/>
        </w:rPr>
      </w:pPr>
      <w:r>
        <w:rPr>
          <w:rFonts w:ascii="Times New Roman" w:hAnsi="Times New Roman"/>
          <w:sz w:val="20"/>
        </w:rPr>
        <w:t xml:space="preserve">Among other changes to the investment agreement, the modification accelerates the redemption date of the investment, which was previously February 14, 2025 and is March 31, 2024 subsequent to the modification. Additionally, as part of the amendment, the parties entered into an amended and restated warrant agreement. As part of the warrant agreement, Complete Solaria will issue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the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Disposal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August 18, 2023, Complete Solaria entered into a Non-Binding Letter of Intent to sell certain of Complete Solarias North American solar panel assets, inclusive of certain intellectual property and customer contracts, to Maxeon. Subsequent to the execution of the Non-Binding Letter of Intent, on September 20, 2023, Complete Solaria entered into an asset purchase agreement with Maxeon for the sale of certain assets to Maxeon. . The agreement also includes a supply agreement for Maxeon to supply its premium, high-performance, high- efficiency solar panels to Complete Solaria. On October 6, 2023, Complete Solaria completed the sale of its solar panel business to Maxeon, pursuant to the terms of the Disposal Agreement. Under the terms of the Disposal Agreement, Maxeon agreed to acquire certain assets and employees of Complete Solaria, for an aggregate purchase price of approximately $11.0 million, consisting of 1,100,000 shares of Maxeon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Disposal Transaction, on October 5, 2023, Complete Solaria amended certain warrants, dated November 2, 2022, originally issued by the Complete Solaria to six warrant holders (the Holders), which warrants are exercisable for (a) an aggregate of 1,486,268 shares of Complete Solarias common stock, par value $0.001 per share, or (b) if designated and issued, a future series of preferred stock of Complete Solaria (the Amendments). The Amendments were made in connection with the Holders assigning loans they previously made to SolarCA LLC, a Delaware limited liability company (successor in interest to The Solaria Corporation and a wholly owned subsidiary of Complete Solaria) in order to provide the Holders with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benefits of the protective provisions of the original warrants to fix at a set number the number of shares of Common Stock issuable thereunder, as well as the exercise price per share. Pursuant to the Amendments, the warrants may be exercised for (a) Common Stock, at an exercise price of $0.75 per share, or (b) if designated and issued, a future series of preferred stock, at an exercise of 25% of the lowest price Complete Solaria receives for such share of future series of preferred stock. In connection with the Amendments, Complete Solaria agreed to provide the warrant holders with certain registration rights pursuant to that certain A&amp;R Registration Rights Agreement, dated July 18, 2023, which the was previously filed by Complete Solaria as Exhibit 4.1 to the Complete Solarias Current Report on Form 8-K filed on July 24, 2023.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This unaudited pro forma condensed combined financial information should be read together with the historical financial statements and related notes of FACT, Legacy Complete Solaria and Solaria and other financial information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Legacy Complete Solaria has been determined to be the accounting acquirer of FACT and Solaria based on the following facts and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Complete Solarias existing shareholders are expected to have the greatest voting interest in the combined entity. Excluding warrant and option holders, Legacy Complete Solarias existing shareholders have an approximately 57.8% voting interest. On a fully diluted basis, Legacy Complete Solarias existing shareholders have approximately 56.4%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Complete Solarias existing shareholders have the ability to control decisions regarding election and removal of the majority of the combined entitys executive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Complete Solarias senior management is the senior management of the combined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name is Complete Solaria, Inc., i.e. the combined entity assumed Legacy Complete Solarias name.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weighting of evidence as described above is indicative that Legacy Complete Solaria is the accounting acquirer of FACT. Accordingly, the merger between Legacy Complete Solaria and FACT has been accounted for as a reverse recapitalization, with FACT being treated as the acquired company for financial reporting purposes. For accounting purposes, the reverse recapitalization is the equivalent of Legacy Complete Solaria issuing stock for the net assets of FACT, accompanied by a recapitalization. As a result of the Business Combination being an in-substance capital transaction, Legacy Complete Solarias qualifying transaction costs are treated as an equivalent to equity issuance costs, reflected as a reduction in additional paid-in capital, rather than as an expense, in the unaudited pro forma condensed combined financial information. The net assets of FACT have been stated at historical cost, with no goodwill or other intangible assets recorded. Operations prior to the reverse recapitalization are those of Legacy Complete Solaria. </w:t>
      </w:r>
    </w:p>
    <w:p>
      <w:pPr>
        <w:pStyle w:val="TextBody"/>
        <w:bidi w:val="0"/>
        <w:spacing w:before="240" w:after="0"/>
        <w:jc w:val="left"/>
        <w:rPr>
          <w:rFonts w:ascii="Times New Roman" w:hAnsi="Times New Roman"/>
          <w:sz w:val="20"/>
        </w:rPr>
      </w:pPr>
      <w:r>
        <w:rPr>
          <w:rFonts w:ascii="Times New Roman" w:hAnsi="Times New Roman"/>
          <w:sz w:val="20"/>
        </w:rPr>
        <w:t xml:space="preserve">Outstanding vested and unvested share-based awards of Legacy Complete Solaria (including options and RSUs) were converted into the right to receive upon vesting or exercise such awards for common shares of Complete Solaria Common Stock after applying the Merger Consideration Per Fully Diluted Share. Because no terms of such share-based awards are modified upon consummation of the Business Combination, no accounting impact for such outstanding awards was recognized. </w:t>
      </w:r>
    </w:p>
    <w:p>
      <w:pPr>
        <w:pStyle w:val="TextBody"/>
        <w:bidi w:val="0"/>
        <w:spacing w:before="240" w:after="0"/>
        <w:jc w:val="left"/>
        <w:rPr>
          <w:rFonts w:ascii="Times New Roman" w:hAnsi="Times New Roman"/>
          <w:sz w:val="20"/>
        </w:rPr>
      </w:pPr>
      <w:r>
        <w:rPr>
          <w:rFonts w:ascii="Times New Roman" w:hAnsi="Times New Roman"/>
          <w:sz w:val="20"/>
        </w:rPr>
        <w:t xml:space="preserve">Public and private warrants of FACT were not modified as a result of the Business Combination and continue to be liabilities in the New Complete Solarias financial statements. The shares of New Complete Solaria Common Stock issuable upon the achievement of trading targets are expected to be classified in equity of New Complete Solaria pursuant to guidance in ASC 815-40. </w:t>
      </w:r>
    </w:p>
    <w:p>
      <w:pPr>
        <w:pStyle w:val="TextBody"/>
        <w:bidi w:val="0"/>
        <w:spacing w:before="240" w:after="0"/>
        <w:jc w:val="left"/>
        <w:rPr>
          <w:rFonts w:ascii="Times New Roman" w:hAnsi="Times New Roman"/>
          <w:sz w:val="20"/>
        </w:rPr>
      </w:pPr>
      <w:r>
        <w:rPr>
          <w:rFonts w:ascii="Times New Roman" w:hAnsi="Times New Roman"/>
          <w:sz w:val="20"/>
        </w:rPr>
        <w:t xml:space="preserve">Complete Solaria has accounted for the modification of the long-term debt in CS Solis as debt extinguishment in accordance with ASC 480 and ASC 470. As a result of the extinguishment, Complete Solaria has recorded a loss on extinguishment and adjusted the value of the debt in CS Solis to its fair value.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the modification of the warrant resulted in the reclassification of previously equity classified warrants to liability classification, which was accounted for in accordance with ASC 815 and ASC 718. Complete Solaria recorded a reduction in additional paid-in capital for the value of the warrants prior to the modification, recorded a warrant liability for the value of the warrants after the modification and recorded other expense equal to the different between the reduction in additional paid-in capital and the warrant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Disposal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2023, Complete Solaria completed the sale of certain assets to Maxeon, pursuant to the terms of the Disposal Agreement. During the third fiscal quarter of 2023, Complete Solaria determined that the Disposal Transaction met the criteria for held-for-sale and discontinued operations classification. Complete Solaria concluded that the disposition of the solar panel business qualifies as a disposal of a business. Complete Solaria has recorded an impairment of $147.5 million, predominately related to Complete Solarias intangible assets and goodwill, in the third fiscal quarter of 2023 which is equal to the difference between the carrying value of the disposal group and the fair value of the disposal group less costs to sell. Based on Complete Solarias assessment of the Disposal Transaction, Complete Solaria has presented Solaria as held-for-sale and discontinued operations in its Quarterly Report on Form 10-Q for the quarterly period ended October 1, 2023. During the fourth fiscal quarter of 2023, upon consummation of the Disposal Transaction, Complete Solaria recognized a loss on disposal of $1.8 million.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Disposal Transaction, on October 5, 2023, Complete Solaria amended certain warrants, dated November 2, 2022, originally issued by the Complete Solaria to six warrant holders. The warrants that were amended were historically liability classified and were subsequently reclassified to equity as part of the close of the Business Combination. Upon the modification of the warrants, the warrants are liability classified in accordance with the guidance of ASC 815. In accordance with ASC 718, Complete Solaria will account for the modification of the warrants by reducing additional paid-in capital by the value of the warrants immediately before the modification, recording a warrant liability for the value of the warrants immediately after the modification, and recording the difference as an expense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Complete Solaria has included the adjustments as of December 22, 2023 in the Pro Forma Accounting Adjustments column of the unaudited pro forma condensed combined statements of operations for the thirty-nine weeks ended October 1, 2023 and the year ended December 31, 2022 and the unaudited pro forma condensed combined balance sheet as of October 1, 2023.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Pro Forma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adjustments in the unaudited pro forma condensed combined financial information have been identified and presented to provide relevant information of Complete Solaria upon consummation of the Business Combination and other events contemplated by the Business Combination as well as the effects of the Disposal Transaction. Assumptions and estimates underlying the unaudited pro forma adjustments set forth in the unaudited pro forma condensed combined financial information are described in the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presented for illustrative purposes only and is not necessarily indicative of the operating results and financial position that would have been achieved had the Business Combination and Disposal Transaction occurred on the dates indicated. The Business Combination proceeds remaining after the payment for the redemption of public shares, and payment of transaction costs related to the Merger are expected to be used for other general corporate purposes. The consideration shares received for the Disposal Transaction are expected to be classified as investment in equity securities. Further, the unaudited pro forma condensed combined financial information does not purport to project the future operating results or financial position of New Complete Solaria following the completion of the Business Combination and Disposal Transaction. The unaudited pro forma adjustments represent managements estimates based on information available as of the date of this unaudited pro forma condensed combined financial information and are subject to change as additional information becomes available and analyses are performed.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certain ordinary course of business sale and purchase transactions between Complete Solar and Solaria, FACT, Complete Solar, and Solaria have not had any historical relationship prior to the transactions associated with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pro forma New Complete Solaria common stock issued and outstanding immediately after the Business Combination, which does not give effect to the potential exercise of any warrants: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07"/>
        <w:gridCol w:w="248"/>
        <w:gridCol w:w="97"/>
        <w:gridCol w:w="1787"/>
        <w:gridCol w:w="60"/>
        <w:gridCol w:w="248"/>
        <w:gridCol w:w="196"/>
        <w:gridCol w:w="1834"/>
        <w:gridCol w:w="278"/>
      </w:tblGrid>
      <w:tr>
        <w:trPr/>
        <w:tc>
          <w:tcPr>
            <w:tcW w:w="300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00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r>
            <w:r>
              <w:rPr/>
              <w:br/>
            </w:r>
            <w:r>
              <w:rPr>
                <w:b/>
              </w:rPr>
              <w:t>Outstanding Shares</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FACT Public Stockholders(4)</w:t>
            </w:r>
          </w:p>
        </w:tc>
        <w:tc>
          <w:tcPr>
            <w:tcW w:w="24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3,458,757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4" w:type="dxa"/>
            <w:tcBorders/>
            <w:shd w:fill="CCEEFF" w:val="clear"/>
            <w:vAlign w:val="bottom"/>
          </w:tcPr>
          <w:p>
            <w:pPr>
              <w:pStyle w:val="TableContents"/>
              <w:bidi w:val="0"/>
              <w:spacing w:before="0" w:after="283"/>
              <w:jc w:val="right"/>
              <w:rPr/>
            </w:pPr>
            <w:r>
              <w:rPr/>
              <w:t>7.6</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Founder Shares (1), (2), (3), (4)</w:t>
            </w:r>
          </w:p>
        </w:tc>
        <w:tc>
          <w:tcPr>
            <w:tcW w:w="24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8,152,325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4" w:type="dxa"/>
            <w:tcBorders/>
            <w:vAlign w:val="bottom"/>
          </w:tcPr>
          <w:p>
            <w:pPr>
              <w:pStyle w:val="TableContents"/>
              <w:bidi w:val="0"/>
              <w:spacing w:before="0" w:after="283"/>
              <w:jc w:val="right"/>
              <w:rPr/>
            </w:pPr>
            <w:r>
              <w:rPr/>
              <w:t>18.0</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Complete Solaria shareholders </w:t>
            </w:r>
          </w:p>
        </w:tc>
        <w:tc>
          <w:tcPr>
            <w:tcW w:w="24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20,034,257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4" w:type="dxa"/>
            <w:tcBorders/>
            <w:shd w:fill="CCEEFF" w:val="clear"/>
            <w:vAlign w:val="bottom"/>
          </w:tcPr>
          <w:p>
            <w:pPr>
              <w:pStyle w:val="TableContents"/>
              <w:bidi w:val="0"/>
              <w:spacing w:before="0" w:after="283"/>
              <w:jc w:val="right"/>
              <w:rPr/>
            </w:pPr>
            <w:r>
              <w:rPr/>
              <w:t>44.3</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Complete Solaria convertible noteholders (3)</w:t>
            </w:r>
          </w:p>
        </w:tc>
        <w:tc>
          <w:tcPr>
            <w:tcW w:w="24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6,126,726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4" w:type="dxa"/>
            <w:tcBorders/>
            <w:vAlign w:val="bottom"/>
          </w:tcPr>
          <w:p>
            <w:pPr>
              <w:pStyle w:val="TableContents"/>
              <w:bidi w:val="0"/>
              <w:spacing w:before="0" w:after="283"/>
              <w:jc w:val="right"/>
              <w:rPr/>
            </w:pPr>
            <w:r>
              <w:rPr/>
              <w:t>13.5</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 Investors</w:t>
            </w:r>
          </w:p>
        </w:tc>
        <w:tc>
          <w:tcPr>
            <w:tcW w:w="24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7,518,488</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4" w:type="dxa"/>
            <w:tcBorders/>
            <w:shd w:fill="CCEEFF" w:val="clear"/>
            <w:vAlign w:val="bottom"/>
          </w:tcPr>
          <w:p>
            <w:pPr>
              <w:pStyle w:val="TableContents"/>
              <w:bidi w:val="0"/>
              <w:spacing w:before="0" w:after="283"/>
              <w:jc w:val="right"/>
              <w:rPr/>
            </w:pPr>
            <w:r>
              <w:rPr/>
              <w:t>16.6</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7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83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45,290,553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4" w:type="dxa"/>
            <w:tcBorders/>
            <w:vAlign w:val="bottom"/>
          </w:tcPr>
          <w:p>
            <w:pPr>
              <w:pStyle w:val="TableContents"/>
              <w:bidi w:val="0"/>
              <w:spacing w:before="0" w:after="283"/>
              <w:jc w:val="right"/>
              <w:rPr/>
            </w:pPr>
            <w:r>
              <w:rPr/>
              <w:t>100.0</w:t>
            </w:r>
          </w:p>
        </w:tc>
        <w:tc>
          <w:tcPr>
            <w:tcW w:w="278"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7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83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above table includes 122,500 FACT Class B Ordinary Shares transferred to FACT directors, employees and consultants.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table excludes the transfer of 4,333,333 shares of FACT Class B Ordinary Shares from the Sponsor to certain third parties pursuant to working capital lending arrangements, non-redemption agreements and PIPE Investments and the settlement of FACTs accrued expenses associated with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above table includes the transfer of 666,651 shares of New Complete Solaria Common Stock from the Sponsor to Complete Solaria convertible noteholders and excludes up to 666,666 shares of New Complete Solaria Common Stock issuable by the New Complete Solaria to convertible noteholders based on the trading price of New Complete Solaria Common Stock. The issuance of New Complete Solaria Common Stock to the Complete Solaria convertible noteholders would further increase the ownership percentages of Complete Solaria convertible noteholders and would dilute the ownership of all stockholders.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above table excludes the transfer of shares of a number FACT Class A Ordinary Shares held by Sponsor as of the Closing equal the difference of (i) 3,300,000 minus (ii) the number of shares, if any, of FACT Class A Ordinary Shares transferred by Sponsor to holders of 2022 Convertible Notes minus (iii) the number of shares, if any, of FACT Class A Ordinary Shares transferred by Sponsor to certain counterparties in consideration for loans and other amounts paid to finance the working capital loans due to the Sponsor and extension fees as consideration for such holders agreeing to enter into non-redemption agreements and/or such FACT PIPE Investment investors agreeing to make FACT PIPE Investment,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 the 666,666 shares of Complete Solaria Common Stock issuable by Complete Solaria to convertible noteholders based on the trading price of Complete Solaria Common Stock, 333,333 shares will vest if, from Closing of the Business Combination until the 12 month anniversary thereof, the average price of Complete Solaria Common Stock exceeds $12.50 for any 20 trading days within any 30 trading day period and 333,333 will vest if, from the Closing of the Business Combination until the 12 month anniversary thereof, the average price of Complete Solaria Common Stock exceeds $15.00 for any 20 trading days within any 30 trading day period. The issuance of such shares would dilute the value of all shares of Complete Solaria Common Stock outstanding at that time. Assuming the current capitalization structure, the 666,666 shares that would become vested upon meeting the price threshold would represent approximately 1.5% of total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of New Complete Solaria has concluded that the contingently issuable shares are equity-classified instruments, which do not have an impact on the unaudited pro forma condensed combined statement of operations for the periods ended December 31, 2022 and October 1, 2023.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240" w:after="0"/>
        <w:jc w:val="center"/>
        <w:rPr>
          <w:rFonts w:ascii="Times New Roman" w:hAnsi="Times New Roman"/>
          <w:b/>
          <w:sz w:val="20"/>
        </w:rPr>
      </w:pPr>
      <w:r>
        <w:rPr>
          <w:rFonts w:ascii="Times New Roman" w:hAnsi="Times New Roman"/>
          <w:b/>
          <w:sz w:val="20"/>
        </w:rPr>
        <w:t xml:space="preserve">As of October 1, 2023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11"/>
        <w:gridCol w:w="102"/>
        <w:gridCol w:w="147"/>
        <w:gridCol w:w="965"/>
        <w:gridCol w:w="155"/>
        <w:gridCol w:w="102"/>
        <w:gridCol w:w="204"/>
        <w:gridCol w:w="1114"/>
        <w:gridCol w:w="155"/>
        <w:gridCol w:w="60"/>
        <w:gridCol w:w="60"/>
        <w:gridCol w:w="200"/>
        <w:gridCol w:w="102"/>
        <w:gridCol w:w="102"/>
        <w:gridCol w:w="140"/>
        <w:gridCol w:w="926"/>
        <w:gridCol w:w="160"/>
      </w:tblGrid>
      <w:tr>
        <w:trPr/>
        <w:tc>
          <w:tcPr>
            <w:tcW w:w="551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Complete</w:t>
              <w:br/>
              <w:t>Solaria</w:t>
              <w:br/>
              <w:t>(Historical)</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gridSpan w:val="2"/>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Complete</w:t>
              <w:br/>
              <w:t>Solaria</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511"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1,661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5,000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b/>
              </w:rPr>
            </w:pPr>
            <w:r>
              <w:rPr>
                <w:b/>
              </w:rPr>
              <w:t>A</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6,661</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equity securities</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10,989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B</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10,989</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26,003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26,003</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12,503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12,503</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9,947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9,947</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50,114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15,989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66,103</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3,758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3,758</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4,185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4,185</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1,465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1,465</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198</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198</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assets held for sale  discontinued operations</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12,299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(12,299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b/>
              </w:rPr>
            </w:pPr>
            <w:r>
              <w:rPr>
                <w:b/>
              </w:rPr>
              <w:t>C</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965" w:type="dxa"/>
            <w:tcBorders/>
            <w:vAlign w:val="bottom"/>
          </w:tcPr>
          <w:p>
            <w:pPr>
              <w:pStyle w:val="TableContents"/>
              <w:bidi w:val="0"/>
              <w:spacing w:before="0" w:after="283"/>
              <w:jc w:val="right"/>
              <w:rPr>
                <w:b/>
              </w:rPr>
            </w:pPr>
            <w:r>
              <w:rPr>
                <w:b/>
              </w:rPr>
              <w:t>72,019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b/>
              </w:rPr>
            </w:pPr>
            <w:r>
              <w:rPr>
                <w:b/>
              </w:rPr>
              <w:t>$</w:t>
            </w:r>
          </w:p>
        </w:tc>
        <w:tc>
          <w:tcPr>
            <w:tcW w:w="1114" w:type="dxa"/>
            <w:tcBorders/>
            <w:vAlign w:val="bottom"/>
          </w:tcPr>
          <w:p>
            <w:pPr>
              <w:pStyle w:val="TableContents"/>
              <w:bidi w:val="0"/>
              <w:spacing w:before="0" w:after="283"/>
              <w:jc w:val="right"/>
              <w:rPr>
                <w:b/>
              </w:rPr>
            </w:pPr>
            <w:r>
              <w:rPr>
                <w:b/>
              </w:rPr>
              <w:t>(3,690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26" w:type="dxa"/>
            <w:tcBorders/>
            <w:vAlign w:val="bottom"/>
          </w:tcPr>
          <w:p>
            <w:pPr>
              <w:pStyle w:val="TableContents"/>
              <w:bidi w:val="0"/>
              <w:spacing w:before="0" w:after="283"/>
              <w:jc w:val="right"/>
              <w:rPr>
                <w:b/>
              </w:rPr>
            </w:pPr>
            <w:r>
              <w:rPr>
                <w:b/>
              </w:rPr>
              <w:t>75,709</w:t>
            </w:r>
          </w:p>
        </w:tc>
        <w:tc>
          <w:tcPr>
            <w:tcW w:w="160" w:type="dxa"/>
            <w:tcBorders/>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 (DEFICIT)</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14,571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14,571</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26,674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D</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27,124</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payable, net</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27,934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27,934</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 current</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2,421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2,421</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 with CS Solis</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29,194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29,194</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Forward purchase agreement liabilities</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6,586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E</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6,989</w:t>
            </w:r>
          </w:p>
        </w:tc>
        <w:tc>
          <w:tcPr>
            <w:tcW w:w="160" w:type="dxa"/>
            <w:tcBorders/>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107,380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853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108,233</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Warranty provision, noncurrent</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3,416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3,416</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10,240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1,464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b/>
              </w:rPr>
            </w:pPr>
            <w:r>
              <w:rPr>
                <w:b/>
              </w:rPr>
              <w:t>F</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11,704</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 noncurrent</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976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976</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790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790</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122,802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2,317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125,119</w:t>
            </w:r>
          </w:p>
        </w:tc>
        <w:tc>
          <w:tcPr>
            <w:tcW w:w="160" w:type="dxa"/>
            <w:tcBorders/>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7</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276,438</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4,632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G</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281,070</w:t>
            </w:r>
          </w:p>
        </w:tc>
        <w:tc>
          <w:tcPr>
            <w:tcW w:w="160"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51</w:t>
            </w:r>
          </w:p>
        </w:tc>
        <w:tc>
          <w:tcPr>
            <w:tcW w:w="160"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 (accumulated deficit)</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(327,279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(3,259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H</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(330,538</w:t>
            </w:r>
          </w:p>
        </w:tc>
        <w:tc>
          <w:tcPr>
            <w:tcW w:w="160" w:type="dxa"/>
            <w:tcBorders/>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Total stockholders equity</w:t>
            </w:r>
            <w:r>
              <w:rPr>
                <w:rFonts w:ascii="Times New Roman" w:hAnsi="Times New Roman"/>
                <w:sz w:val="20"/>
              </w:rPr>
              <w:t xml:space="preserve"> </w:t>
            </w:r>
            <w:r>
              <w:rPr>
                <w:rFonts w:ascii="Times New Roman" w:hAnsi="Times New Roman"/>
                <w:b/>
                <w:sz w:val="20"/>
              </w:rPr>
              <w:t>(deficit)</w:t>
            </w:r>
          </w:p>
        </w:tc>
        <w:tc>
          <w:tcPr>
            <w:tcW w:w="10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b/>
              </w:rPr>
            </w:pPr>
            <w:r>
              <w:rPr>
                <w:b/>
              </w:rPr>
              <w:t>(50,783</w:t>
            </w:r>
          </w:p>
        </w:tc>
        <w:tc>
          <w:tcPr>
            <w:tcW w:w="155" w:type="dxa"/>
            <w:tcBorders/>
            <w:shd w:fill="CCEEFF" w:val="clear"/>
            <w:vAlign w:val="bottom"/>
          </w:tcPr>
          <w:p>
            <w:pPr>
              <w:pStyle w:val="TableContents"/>
              <w:bidi w:val="0"/>
              <w:spacing w:before="0" w:after="283"/>
              <w:jc w:val="left"/>
              <w:rPr/>
            </w:pPr>
            <w:r>
              <w:rPr>
                <w:b/>
              </w:rPr>
              <w:t>)</w:t>
            </w:r>
            <w:r>
              <w:rPr/>
              <w:t> </w:t>
            </w:r>
          </w:p>
        </w:tc>
        <w:tc>
          <w:tcPr>
            <w:tcW w:w="10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b/>
              </w:rPr>
            </w:pPr>
            <w:r>
              <w:rPr>
                <w:b/>
              </w:rPr>
              <w:t>1,373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b/>
              </w:rPr>
            </w:pPr>
            <w:r>
              <w:rPr>
                <w:b/>
              </w:rPr>
              <w:t>(49,410</w:t>
            </w:r>
          </w:p>
        </w:tc>
        <w:tc>
          <w:tcPr>
            <w:tcW w:w="160" w:type="dxa"/>
            <w:tcBorders/>
            <w:shd w:fill="CCEEFF" w:val="clear"/>
            <w:vAlign w:val="bottom"/>
          </w:tcPr>
          <w:p>
            <w:pPr>
              <w:pStyle w:val="TableContents"/>
              <w:bidi w:val="0"/>
              <w:spacing w:before="0" w:after="283"/>
              <w:jc w:val="left"/>
              <w:rPr/>
            </w:pPr>
            <w:r>
              <w:rPr>
                <w:b/>
              </w:rPr>
              <w:t>)</w:t>
            </w: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 (deficit)</w:t>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965" w:type="dxa"/>
            <w:tcBorders/>
            <w:vAlign w:val="bottom"/>
          </w:tcPr>
          <w:p>
            <w:pPr>
              <w:pStyle w:val="TableContents"/>
              <w:bidi w:val="0"/>
              <w:spacing w:before="0" w:after="283"/>
              <w:jc w:val="right"/>
              <w:rPr>
                <w:b/>
              </w:rPr>
            </w:pPr>
            <w:r>
              <w:rPr>
                <w:b/>
              </w:rPr>
              <w:t>72,019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b/>
              </w:rPr>
            </w:pPr>
            <w:r>
              <w:rPr>
                <w:b/>
              </w:rPr>
              <w:t>$</w:t>
            </w:r>
          </w:p>
        </w:tc>
        <w:tc>
          <w:tcPr>
            <w:tcW w:w="1114" w:type="dxa"/>
            <w:tcBorders/>
            <w:vAlign w:val="bottom"/>
          </w:tcPr>
          <w:p>
            <w:pPr>
              <w:pStyle w:val="TableContents"/>
              <w:bidi w:val="0"/>
              <w:spacing w:before="0" w:after="283"/>
              <w:jc w:val="right"/>
              <w:rPr>
                <w:b/>
              </w:rPr>
            </w:pPr>
            <w:r>
              <w:rPr>
                <w:b/>
              </w:rPr>
              <w:t>3,690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26" w:type="dxa"/>
            <w:tcBorders/>
            <w:vAlign w:val="bottom"/>
          </w:tcPr>
          <w:p>
            <w:pPr>
              <w:pStyle w:val="TableContents"/>
              <w:bidi w:val="0"/>
              <w:spacing w:before="0" w:after="283"/>
              <w:jc w:val="right"/>
              <w:rPr>
                <w:b/>
              </w:rPr>
            </w:pPr>
            <w:r>
              <w:rPr>
                <w:b/>
              </w:rPr>
              <w:t>75,709</w:t>
            </w:r>
          </w:p>
        </w:tc>
        <w:tc>
          <w:tcPr>
            <w:tcW w:w="160" w:type="dxa"/>
            <w:tcBorders/>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thirty-nine weeks ended October 1, 2023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98"/>
        <w:gridCol w:w="149"/>
        <w:gridCol w:w="140"/>
        <w:gridCol w:w="1120"/>
        <w:gridCol w:w="155"/>
        <w:gridCol w:w="91"/>
        <w:gridCol w:w="242"/>
        <w:gridCol w:w="1095"/>
        <w:gridCol w:w="155"/>
        <w:gridCol w:w="91"/>
        <w:gridCol w:w="169"/>
        <w:gridCol w:w="927"/>
        <w:gridCol w:w="155"/>
        <w:gridCol w:w="91"/>
        <w:gridCol w:w="204"/>
        <w:gridCol w:w="1126"/>
        <w:gridCol w:w="155"/>
        <w:gridCol w:w="91"/>
        <w:gridCol w:w="379"/>
        <w:gridCol w:w="149"/>
        <w:gridCol w:w="140"/>
        <w:gridCol w:w="1120"/>
        <w:gridCol w:w="163"/>
      </w:tblGrid>
      <w:tr>
        <w:trPr/>
        <w:tc>
          <w:tcPr>
            <w:tcW w:w="2098"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Complete</w:t>
              <w:br/>
              <w:t>Solaria</w:t>
              <w:br/>
              <w:t>(Historical)</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3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Freedom</w:t>
              <w:br/>
              <w:t>Acquisition</w:t>
              <w:br/>
              <w:t>Corp</w:t>
              <w:br/>
              <w:t>(Historical</w:t>
              <w:br/>
              <w:t>Adjustments)</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Complete</w:t>
              <w:br/>
              <w:t>Solaria</w:t>
              <w:br/>
              <w:t>Combined</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Accounting</w:t>
              <w:br/>
              <w:t>Adjustments</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3" w:type="dxa"/>
            <w:tcBorders/>
            <w:vAlign w:val="bottom"/>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66,887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66,887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66,887</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51,788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51,788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51,788</w:t>
            </w:r>
          </w:p>
        </w:tc>
        <w:tc>
          <w:tcPr>
            <w:tcW w:w="163" w:type="dxa"/>
            <w:tcBorders/>
            <w:vAlign w:val="bottom"/>
          </w:tcPr>
          <w:p>
            <w:pPr>
              <w:pStyle w:val="TableContents"/>
              <w:bidi w:val="0"/>
              <w:spacing w:before="0" w:after="283"/>
              <w:jc w:val="left"/>
              <w:rPr/>
            </w:pPr>
            <w:r>
              <w:rPr/>
              <w:t> </w:t>
            </w:r>
          </w:p>
        </w:tc>
      </w:tr>
      <w:tr>
        <w:trPr/>
        <w:tc>
          <w:tcPr>
            <w:tcW w:w="209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15,099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15,099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15,099</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commissions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23,221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23,221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23,221</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7,002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7,002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7,002</w:t>
            </w:r>
          </w:p>
        </w:tc>
        <w:tc>
          <w:tcPr>
            <w:tcW w:w="163" w:type="dxa"/>
            <w:tcBorders/>
            <w:vAlign w:val="bottom"/>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5,216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5,216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5,216</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22,965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22,965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22,965</w:t>
            </w:r>
          </w:p>
        </w:tc>
        <w:tc>
          <w:tcPr>
            <w:tcW w:w="163" w:type="dxa"/>
            <w:tcBorders/>
            <w:vAlign w:val="bottom"/>
          </w:tcPr>
          <w:p>
            <w:pPr>
              <w:pStyle w:val="TableContents"/>
              <w:bidi w:val="0"/>
              <w:spacing w:before="0" w:after="283"/>
              <w:jc w:val="left"/>
              <w:rPr/>
            </w:pPr>
            <w:r>
              <w:rPr/>
              <w:t> </w:t>
            </w:r>
          </w:p>
        </w:tc>
      </w:tr>
      <w:tr>
        <w:trPr/>
        <w:tc>
          <w:tcPr>
            <w:tcW w:w="209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51,402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7,002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58,404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58,404</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(36,303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(7,002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(43,305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(43,305</w:t>
            </w:r>
          </w:p>
        </w:tc>
        <w:tc>
          <w:tcPr>
            <w:tcW w:w="163" w:type="dxa"/>
            <w:tcBorders/>
            <w:vAlign w:val="bottom"/>
          </w:tcPr>
          <w:p>
            <w:pPr>
              <w:pStyle w:val="TableContents"/>
              <w:bidi w:val="0"/>
              <w:spacing w:before="0" w:after="283"/>
              <w:jc w:val="left"/>
              <w:rPr/>
            </w:pPr>
            <w:r>
              <w:rPr/>
              <w:t>) </w:t>
            </w:r>
          </w:p>
        </w:tc>
      </w:tr>
      <w:tr>
        <w:trPr/>
        <w:tc>
          <w:tcPr>
            <w:tcW w:w="209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exchange gain (loss)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on marketable securities held in Trust Account</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4,225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4,225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(4,225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b/>
              </w:rPr>
            </w:pPr>
            <w:r>
              <w:rPr>
                <w:b/>
              </w:rPr>
              <w:t>AA</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(3,440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(3,440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(3,440</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(273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(273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273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b/>
              </w:rPr>
            </w:pPr>
            <w:r>
              <w:rPr>
                <w:b/>
              </w:rPr>
              <w:t>BB</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expenses related to warrant issuance</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(8,870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(8,870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742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b/>
              </w:rPr>
            </w:pPr>
            <w:r>
              <w:rPr>
                <w:b/>
              </w:rPr>
              <w:t>CC</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(8,128</w:t>
            </w:r>
          </w:p>
        </w:tc>
        <w:tc>
          <w:tcPr>
            <w:tcW w:w="163" w:type="dxa"/>
            <w:tcBorders/>
            <w:vAlign w:val="bottom"/>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26</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(28,302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(28,302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(9,455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b/>
              </w:rPr>
            </w:pPr>
            <w:r>
              <w:rPr>
                <w:b/>
              </w:rPr>
              <w:t>DD</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(37,757</w:t>
            </w:r>
          </w:p>
        </w:tc>
        <w:tc>
          <w:tcPr>
            <w:tcW w:w="163" w:type="dxa"/>
            <w:tcBorders/>
            <w:vAlign w:val="bottom"/>
          </w:tcPr>
          <w:p>
            <w:pPr>
              <w:pStyle w:val="TableContents"/>
              <w:bidi w:val="0"/>
              <w:spacing w:before="0" w:after="283"/>
              <w:jc w:val="left"/>
              <w:rPr/>
            </w:pPr>
            <w:r>
              <w:rPr/>
              <w:t>) </w:t>
            </w:r>
          </w:p>
        </w:tc>
      </w:tr>
      <w:tr>
        <w:trPr/>
        <w:tc>
          <w:tcPr>
            <w:tcW w:w="209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(73,449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(6,490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(79,939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(12,665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(92,604</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provision, net</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w:t>
            </w:r>
          </w:p>
        </w:tc>
        <w:tc>
          <w:tcPr>
            <w:tcW w:w="163" w:type="dxa"/>
            <w:tcBorders/>
            <w:vAlign w:val="bottom"/>
          </w:tcPr>
          <w:p>
            <w:pPr>
              <w:pStyle w:val="TableContents"/>
              <w:bidi w:val="0"/>
              <w:spacing w:before="0" w:after="283"/>
              <w:jc w:val="left"/>
              <w:rPr/>
            </w:pPr>
            <w:r>
              <w:rPr/>
              <w:t>) </w:t>
            </w:r>
          </w:p>
        </w:tc>
      </w:tr>
      <w:tr>
        <w:trPr/>
        <w:tc>
          <w:tcPr>
            <w:tcW w:w="209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from continuing operations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(73,444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(6,490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(79,934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(12,665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(92,599</w:t>
            </w:r>
          </w:p>
        </w:tc>
        <w:tc>
          <w:tcPr>
            <w:tcW w:w="163" w:type="dxa"/>
            <w:tcBorders/>
            <w:shd w:fill="CCEEFF" w:val="clear"/>
            <w:vAlign w:val="bottom"/>
          </w:tcPr>
          <w:p>
            <w:pPr>
              <w:pStyle w:val="TableContents"/>
              <w:bidi w:val="0"/>
              <w:spacing w:before="0" w:after="283"/>
              <w:jc w:val="left"/>
              <w:rPr/>
            </w:pPr>
            <w:r>
              <w:rPr/>
              <w:t>) </w:t>
            </w:r>
          </w:p>
        </w:tc>
      </w:tr>
      <w:tr>
        <w:trPr/>
        <w:tc>
          <w:tcPr>
            <w:tcW w:w="209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used in computing net loss per share attributable to common stockholders, basic and diluted</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16,969,979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51,160,118</w:t>
            </w:r>
          </w:p>
        </w:tc>
        <w:tc>
          <w:tcPr>
            <w:tcW w:w="163" w:type="dxa"/>
            <w:tcBorders/>
            <w:vAlign w:val="bottom"/>
          </w:tcPr>
          <w:p>
            <w:pPr>
              <w:pStyle w:val="TableContents"/>
              <w:bidi w:val="0"/>
              <w:spacing w:before="0" w:after="283"/>
              <w:jc w:val="left"/>
              <w:rPr/>
            </w:pPr>
            <w:r>
              <w:rPr/>
              <w:t> </w:t>
            </w:r>
          </w:p>
        </w:tc>
      </w:tr>
      <w:tr>
        <w:trPr/>
        <w:tc>
          <w:tcPr>
            <w:tcW w:w="2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basis and diluted</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(4.33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(1.81</w:t>
            </w:r>
          </w:p>
        </w:tc>
        <w:tc>
          <w:tcPr>
            <w:tcW w:w="1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year ended December 31, 2022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19"/>
        <w:gridCol w:w="154"/>
        <w:gridCol w:w="140"/>
        <w:gridCol w:w="1009"/>
        <w:gridCol w:w="155"/>
        <w:gridCol w:w="98"/>
        <w:gridCol w:w="221"/>
        <w:gridCol w:w="993"/>
        <w:gridCol w:w="155"/>
        <w:gridCol w:w="98"/>
        <w:gridCol w:w="169"/>
        <w:gridCol w:w="948"/>
        <w:gridCol w:w="155"/>
        <w:gridCol w:w="97"/>
        <w:gridCol w:w="243"/>
        <w:gridCol w:w="1118"/>
        <w:gridCol w:w="155"/>
        <w:gridCol w:w="98"/>
        <w:gridCol w:w="380"/>
        <w:gridCol w:w="154"/>
        <w:gridCol w:w="140"/>
        <w:gridCol w:w="1143"/>
        <w:gridCol w:w="163"/>
      </w:tblGrid>
      <w:tr>
        <w:trPr/>
        <w:tc>
          <w:tcPr>
            <w:tcW w:w="2219"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Complete</w:t>
              <w:br/>
              <w:t>Solaria</w:t>
              <w:br/>
              <w:t>(Historical)</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Freedom</w:t>
              <w:br/>
              <w:t>Acquisition</w:t>
              <w:br/>
              <w:t>Corp</w:t>
              <w:br/>
              <w:t>(Historical)</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Complete</w:t>
              <w:br/>
              <w:t>Solaria</w:t>
              <w:br/>
              <w:t>Combined</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Accounting</w:t>
              <w:br/>
              <w:t>Adjustments</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3"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66,475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48" w:type="dxa"/>
            <w:tcBorders/>
            <w:shd w:fill="CCEEFF" w:val="clear"/>
            <w:vAlign w:val="bottom"/>
          </w:tcPr>
          <w:p>
            <w:pPr>
              <w:pStyle w:val="TableContents"/>
              <w:bidi w:val="0"/>
              <w:spacing w:before="0" w:after="283"/>
              <w:jc w:val="right"/>
              <w:rPr/>
            </w:pPr>
            <w:r>
              <w:rPr/>
              <w:t>66,475</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1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66,475</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46,647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46,647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46,647</w:t>
            </w:r>
          </w:p>
        </w:tc>
        <w:tc>
          <w:tcPr>
            <w:tcW w:w="163"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19,828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19,828</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19,828</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1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commissions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21,195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21,195</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21,195</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4,407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4,407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4,407</w:t>
            </w:r>
          </w:p>
        </w:tc>
        <w:tc>
          <w:tcPr>
            <w:tcW w:w="163"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6,156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6,156</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6,156</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13,634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13,634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13,634</w:t>
            </w:r>
          </w:p>
        </w:tc>
        <w:tc>
          <w:tcPr>
            <w:tcW w:w="163"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40,985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4,407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45,392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45,392</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(21,157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(4,407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(25,564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(25,564</w:t>
            </w:r>
          </w:p>
        </w:tc>
        <w:tc>
          <w:tcPr>
            <w:tcW w:w="163"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exchange gain (loss)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(18</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on marketable securities held in Trust Account</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4,822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4,822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(4,822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b/>
              </w:rPr>
            </w:pPr>
            <w:r>
              <w:rPr>
                <w:b/>
              </w:rPr>
              <w:t>AA</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5,510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5,510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5,510</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(196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(196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196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b/>
              </w:rPr>
            </w:pPr>
            <w:r>
              <w:rPr>
                <w:b/>
              </w:rPr>
              <w:t>BB</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(4,986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(4,986</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221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b/>
              </w:rPr>
            </w:pPr>
            <w:r>
              <w:rPr>
                <w:b/>
              </w:rPr>
              <w:t>CC</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(4,765</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5</w:t>
            </w:r>
          </w:p>
        </w:tc>
        <w:tc>
          <w:tcPr>
            <w:tcW w:w="163"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Forgiveness of debt</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272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272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272</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(1,858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(1,858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5,211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b/>
              </w:rPr>
            </w:pPr>
            <w:r>
              <w:rPr>
                <w:b/>
              </w:rPr>
              <w:t>DD</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3,353</w:t>
            </w:r>
          </w:p>
        </w:tc>
        <w:tc>
          <w:tcPr>
            <w:tcW w:w="163"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(27,996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5,983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(22,013</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806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(21,207</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provision, net</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27</w:t>
            </w:r>
          </w:p>
        </w:tc>
        <w:tc>
          <w:tcPr>
            <w:tcW w:w="163"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from continuing operations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(28,023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5,983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48" w:type="dxa"/>
            <w:tcBorders/>
            <w:shd w:fill="CCEEFF" w:val="clear"/>
            <w:vAlign w:val="bottom"/>
          </w:tcPr>
          <w:p>
            <w:pPr>
              <w:pStyle w:val="TableContents"/>
              <w:bidi w:val="0"/>
              <w:spacing w:before="0" w:after="283"/>
              <w:jc w:val="right"/>
              <w:rPr/>
            </w:pPr>
            <w:r>
              <w:rPr/>
              <w:t>(22,040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118" w:type="dxa"/>
            <w:tcBorders/>
            <w:shd w:fill="CCEEFF" w:val="clear"/>
            <w:vAlign w:val="bottom"/>
          </w:tcPr>
          <w:p>
            <w:pPr>
              <w:pStyle w:val="TableContents"/>
              <w:bidi w:val="0"/>
              <w:spacing w:before="0" w:after="283"/>
              <w:jc w:val="right"/>
              <w:rPr/>
            </w:pPr>
            <w:r>
              <w:rPr/>
              <w:t>806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(21,234</w:t>
            </w:r>
          </w:p>
        </w:tc>
        <w:tc>
          <w:tcPr>
            <w:tcW w:w="163" w:type="dxa"/>
            <w:tcBorders/>
            <w:shd w:fill="CCEEFF" w:val="clear"/>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1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used in computing net loss per share attributable to common stockholders, basic and diluted,</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8,366,296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1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51,160,118</w:t>
            </w:r>
          </w:p>
        </w:tc>
        <w:tc>
          <w:tcPr>
            <w:tcW w:w="163"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basis and diluted</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(3.35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1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(0.42</w:t>
            </w:r>
          </w:p>
        </w:tc>
        <w:tc>
          <w:tcPr>
            <w:tcW w:w="1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1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between Legacy Complete Solaria and FACT has been accounted for as a reverse recapitalization, with FACT being treated as the acquired company for financial reporting purposes. For accounting purposes, the reverse recapitalization was the equivalent of Legacy Complete Solaria issuing stock for the net assets of FACT, accompanied by a recapitalization. The net assets of FACT were stated at historical cost, with no goodwill or other intangible assets recorded. Operations prior to the reverse recapitalization will be those of Legacy Complete Solaria.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of Complete Solaria for the thirty-nine weeks ended October 1, 2023 and for the year ended December 31, 2022, gives pro forma effect to the Business Combination as if it had been consummated on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On October 6, 2023, Complete Solaria completed the sale of certain of Complete Solarias North American solar panel assets, inclusive of certain intellectual property and customer contracts, to Maxeon, pursuant to the terms of the Disposal Agreement. The Disposal Transaction was accounted for as discontinued operations for financial reporting purposes. </w:t>
      </w:r>
    </w:p>
    <w:p>
      <w:pPr>
        <w:pStyle w:val="TextBody"/>
        <w:bidi w:val="0"/>
        <w:spacing w:before="240" w:after="0"/>
        <w:jc w:val="left"/>
        <w:rPr>
          <w:rFonts w:ascii="Times New Roman" w:hAnsi="Times New Roman"/>
          <w:sz w:val="20"/>
        </w:rPr>
      </w:pPr>
      <w:r>
        <w:rPr>
          <w:rFonts w:ascii="Times New Roman" w:hAnsi="Times New Roman"/>
          <w:sz w:val="20"/>
        </w:rPr>
        <w:t>In July 2023, Complete Solaria and Freedom Acquisition I Corp. entered into separate agreements (each a </w:t>
      </w:r>
      <w:r>
        <w:rPr>
          <w:rFonts w:ascii="Times New Roman" w:hAnsi="Times New Roman"/>
          <w:b/>
          <w:sz w:val="20"/>
        </w:rPr>
        <w:t>Forward Purchase Agreement</w:t>
      </w:r>
      <w:r>
        <w:rPr>
          <w:rFonts w:ascii="Times New Roman" w:hAnsi="Times New Roman"/>
          <w:sz w:val="20"/>
        </w:rPr>
        <w:t>, and together, the </w:t>
      </w:r>
      <w:r>
        <w:rPr>
          <w:rFonts w:ascii="Times New Roman" w:hAnsi="Times New Roman"/>
          <w:b/>
          <w:sz w:val="20"/>
        </w:rPr>
        <w:t>Forward Purchase Agreements</w:t>
      </w:r>
      <w:r>
        <w:rPr>
          <w:rFonts w:ascii="Times New Roman" w:hAnsi="Times New Roman"/>
          <w:sz w:val="20"/>
        </w:rPr>
        <w:t>) with each of (i) Meteora; (ii) Polar, and (iii) Sandia (each of Meteora, Polar, and Sandia, individually, a </w:t>
      </w:r>
      <w:r>
        <w:rPr>
          <w:rFonts w:ascii="Times New Roman" w:hAnsi="Times New Roman"/>
          <w:b/>
          <w:sz w:val="20"/>
        </w:rPr>
        <w:t>Seller</w:t>
      </w:r>
      <w:r>
        <w:rPr>
          <w:rFonts w:ascii="Times New Roman" w:hAnsi="Times New Roman"/>
          <w:sz w:val="20"/>
        </w:rPr>
        <w:t>, and together, the </w:t>
      </w:r>
      <w:r>
        <w:rPr>
          <w:rFonts w:ascii="Times New Roman" w:hAnsi="Times New Roman"/>
          <w:b/>
          <w:sz w:val="20"/>
        </w:rPr>
        <w:t>Sellers</w:t>
      </w:r>
      <w:r>
        <w:rPr>
          <w:rFonts w:ascii="Times New Roman" w:hAnsi="Times New Roman"/>
          <w:sz w:val="20"/>
        </w:rPr>
        <w:t>) for OTC Equity Prepaid Forward Transactions.On December 18, 2023, Complete Solaria and each Seller entered into separate amendments to the Forward Purchase Agreements (the </w:t>
      </w:r>
      <w:r>
        <w:rPr>
          <w:rFonts w:ascii="Times New Roman" w:hAnsi="Times New Roman"/>
          <w:b/>
          <w:sz w:val="20"/>
        </w:rPr>
        <w:t>Amendments</w:t>
      </w:r>
      <w:r>
        <w:rPr>
          <w:rFonts w:ascii="Times New Roman" w:hAnsi="Times New Roman"/>
          <w:sz w:val="20"/>
        </w:rPr>
        <w:t xml:space="preserve">). The Amendments lower the reset price of each Forward Purchase Agreement from $5.00 to $3.00 and allow the Company to raise up to $10,000,000 of equity from existing stockholders without triggering certain anti-dilution provisions contained in the Forward Purchase Agreements. </w:t>
      </w:r>
    </w:p>
    <w:p>
      <w:pPr>
        <w:pStyle w:val="TextBody"/>
        <w:bidi w:val="0"/>
        <w:spacing w:before="240" w:after="0"/>
        <w:jc w:val="left"/>
        <w:rPr>
          <w:rFonts w:ascii="Times New Roman" w:hAnsi="Times New Roman"/>
          <w:sz w:val="20"/>
        </w:rPr>
      </w:pPr>
      <w:r>
        <w:rPr>
          <w:rFonts w:ascii="Times New Roman" w:hAnsi="Times New Roman"/>
          <w:sz w:val="20"/>
        </w:rPr>
        <w:t>On December 18, 2023, the Complete Solaria entered into separate common stock purchase agreements (the </w:t>
      </w:r>
      <w:r>
        <w:rPr>
          <w:rFonts w:ascii="Times New Roman" w:hAnsi="Times New Roman"/>
          <w:b/>
          <w:sz w:val="20"/>
        </w:rPr>
        <w:t>Purchase Agreements</w:t>
      </w:r>
      <w:r>
        <w:rPr>
          <w:rFonts w:ascii="Times New Roman" w:hAnsi="Times New Roman"/>
          <w:sz w:val="20"/>
        </w:rPr>
        <w:t>) with the Rodgers Massey Freedom and Free Markets Charitable Trust and the Rodgers Massey Revocable Living Trust (each a </w:t>
      </w:r>
      <w:r>
        <w:rPr>
          <w:rFonts w:ascii="Times New Roman" w:hAnsi="Times New Roman"/>
          <w:b/>
          <w:sz w:val="20"/>
        </w:rPr>
        <w:t>Purchaser</w:t>
      </w:r>
      <w:r>
        <w:rPr>
          <w:rFonts w:ascii="Times New Roman" w:hAnsi="Times New Roman"/>
          <w:sz w:val="20"/>
        </w:rPr>
        <w:t>, and together, the </w:t>
      </w:r>
      <w:r>
        <w:rPr>
          <w:rFonts w:ascii="Times New Roman" w:hAnsi="Times New Roman"/>
          <w:b/>
          <w:sz w:val="20"/>
        </w:rPr>
        <w:t>Purchasers</w:t>
      </w:r>
      <w:r>
        <w:rPr>
          <w:rFonts w:ascii="Times New Roman" w:hAnsi="Times New Roman"/>
          <w:sz w:val="20"/>
        </w:rPr>
        <w:t>). Pursuant to the terms of the Purchase Agreements, each Purchaser purchased 1,838,235 shares of common stock of the Company, par value $0.0001, (the </w:t>
      </w:r>
      <w:r>
        <w:rPr>
          <w:rFonts w:ascii="Times New Roman" w:hAnsi="Times New Roman"/>
          <w:b/>
          <w:sz w:val="20"/>
        </w:rPr>
        <w:t>Shares</w:t>
      </w:r>
      <w:r>
        <w:rPr>
          <w:rFonts w:ascii="Times New Roman" w:hAnsi="Times New Roman"/>
          <w:sz w:val="20"/>
        </w:rPr>
        <w:t xml:space="preserve">), at a price per share of $1.36, representing an aggregate purchase price of $5.0 million. The Purchasers paid for the Shares in cash. Thurman J. Rodgers is a trustee of each Purchaser and is the Executive Chairman of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balance sheet of Complete Solaria as of October 1, 2023, gives pro forma effect to these transactions as if they had been consummated on October 1, 2023. The unaudited pro forma condensed combined statements of operations of Complete Solaria for the year ended December 31, 2022, and for the thirty-nine weeks ended October 1, 2023, presents pro forma effect to the transactions as if it had been completed on January 1, 2022. As the Disposal Transaction was consummated in October 2023. Complete Solarias unaudited condensed consolidated balance sheet as of October 1, 2023 and unaudited condensed consolidated statement of operations and comprehensive income (loss) for the thirty-nine week period ended October 1, 2023 have been recast to give effect to the disposition. Further, as the Disposal Transaction is related to the disposition of certain assets acquired in the Required Transaction, which occurred on November 4, 2022, there is is no pro forma impact associated with periods prior to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combined balance sheet as of October 1, 2023, and unaudited pro forma condensed combined statement of operations for the thirty-nine weeks ended October 1, 2023, have been prepared using,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condensed consolidated financial statements of Complete Solaria as of and for thirty-nine weeks ended October 1, 2023, and the related notes, included in the Proxy Statement;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statement of operations for the year ended December 31, 2022 has been prepared using,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audited statements of operations of FACT for the fiscal year ended December 31, 2022 included in the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audited statements of operations of Legacy Complete Solaria for the fiscal year ended December 31, 2022 included in the Proxy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in giving pro forma effect to the Disposal Transaction as if it had been consummated on January 1, 2022, the unaudited pro forma condensed combined statement of operations was prepared using the unaudited statement of operations of Solaria for the period from January 1, 2022 through the close of the Disposal Transaction. </w:t>
      </w:r>
    </w:p>
    <w:p>
      <w:pPr>
        <w:pStyle w:val="TextBody"/>
        <w:bidi w:val="0"/>
        <w:spacing w:before="240" w:after="0"/>
        <w:jc w:val="left"/>
        <w:rPr>
          <w:rFonts w:ascii="Times New Roman" w:hAnsi="Times New Roman"/>
          <w:sz w:val="20"/>
        </w:rPr>
      </w:pPr>
      <w:r>
        <w:rPr>
          <w:rFonts w:ascii="Times New Roman" w:hAnsi="Times New Roman"/>
          <w:sz w:val="20"/>
        </w:rPr>
        <w:t xml:space="preserve">Management has made significant estimates and assumptions in its determination of the Pro Forma Accounting Adjustments. As the unaudited pro forma condensed combined financial information has been prepared based on these preliminary estimates, the final amounts recorded may differ materially from the information presented.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The pro forma adjustments reflecting the consummation of the Business Combination and the Disposal Transaction are based on certain currently available information and certain assumptions and methodologies that Legacy Complete Solaria believes are reasonable under the circumstances. The unaudited Pro Forma Accounting Adjustments, which are described in the accompanying notes, may be revised as additional information becomes available and is evaluated. Therefore, it is likely that the actual adjustments will differ from the Pro Forma Accounting Adjustments and it is possible such differences may be material. Complete Solaria believes that these assumptions and methodologies provide a reasonable basis for presenting all of the significant effects of the Business Combination and Disposal Transaction are based on information available to management at the time and that the Pro Forma Accounting Adjustments give appropriate effect to those assumptions and are properly applied in the unaudited pro forma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any anticipated synergies, operating efficiencies, tax savings, or cost savings that may be associated with the Business Combination or Disposal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not necessarily indicative of what the actual results of operations and financial position would have been had the Business Combination and Disposal Transaction taken place on the dates indicated, nor are they indicative of the future consolidated results of operations or financial position of Complete Solaria. They should be read in conjunction with the historical financial statements and notes thereto of FACT and Legacy Complete Solaria. </w:t>
      </w:r>
    </w:p>
    <w:p>
      <w:pPr>
        <w:pStyle w:val="TextBody"/>
        <w:bidi w:val="0"/>
        <w:spacing w:before="360" w:after="0"/>
        <w:jc w:val="left"/>
        <w:rPr>
          <w:rFonts w:ascii="Times New Roman" w:hAnsi="Times New Roman"/>
          <w:b/>
          <w:sz w:val="20"/>
        </w:rPr>
      </w:pPr>
      <w:r>
        <w:rPr>
          <w:rFonts w:ascii="Times New Roman" w:hAnsi="Times New Roman"/>
          <w:b/>
          <w:sz w:val="20"/>
        </w:rPr>
        <w:t xml:space="preserve">Note 2 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Business Combination, management performed a comprehensive review of FACTs and Legacy Complete Solarias accounting policies. Based on its initial analysis, management has not identified any material differences in accounting policies that would have a material impact on the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3  Adjustments to Unaudited Pro Forma Condensed Combined Financial Information </w:t>
      </w:r>
    </w:p>
    <w:p>
      <w:pPr>
        <w:pStyle w:val="TextBody"/>
        <w:bidi w:val="0"/>
        <w:spacing w:before="120" w:after="0"/>
        <w:jc w:val="left"/>
        <w:rPr>
          <w:rFonts w:ascii="Times New Roman" w:hAnsi="Times New Roman"/>
          <w:sz w:val="20"/>
        </w:rPr>
      </w:pPr>
      <w:r>
        <w:rPr>
          <w:rFonts w:ascii="Times New Roman" w:hAnsi="Times New Roman"/>
          <w:sz w:val="20"/>
        </w:rPr>
        <w:t>Article 11 of Regulation S-X allows for the presentation of reasonably estimable synergies and other transaction effects that have occurred or are reasonably expected to occur (</w:t>
      </w:r>
      <w:r>
        <w:rPr>
          <w:rFonts w:ascii="Times New Roman" w:hAnsi="Times New Roman"/>
          <w:b/>
          <w:sz w:val="20"/>
        </w:rPr>
        <w:t>Managements Adjustments</w:t>
      </w:r>
      <w:r>
        <w:rPr>
          <w:rFonts w:ascii="Times New Roman" w:hAnsi="Times New Roman"/>
          <w:sz w:val="20"/>
        </w:rPr>
        <w:t xml:space="preserve">). Complete Solaria has elected not to present Managements Adjustments and will only be presenting Pro Forma Accounting Adjustments in the following unaudited pro forma condensed combined financial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Business Combination and Disposal Transaction and has been prepared for informational purposes only. </w:t>
      </w:r>
    </w:p>
    <w:p>
      <w:pPr>
        <w:pStyle w:val="TextBody"/>
        <w:bidi w:val="0"/>
        <w:spacing w:before="240" w:after="0"/>
        <w:jc w:val="left"/>
        <w:rPr>
          <w:rFonts w:ascii="Times New Roman" w:hAnsi="Times New Roman"/>
          <w:sz w:val="20"/>
        </w:rPr>
      </w:pPr>
      <w:r>
        <w:rPr>
          <w:rFonts w:ascii="Times New Roman" w:hAnsi="Times New Roman"/>
          <w:sz w:val="20"/>
        </w:rPr>
        <w:t xml:space="preserve">The pro forma condensed combined provision for income taxes does not necessarily reflect the amounts that would have resulted had Complete Solaria filed consolidated income tax returns during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basic and diluted net loss per share amounts presented in the unaudited pro forma condensed combined statement of operations are based upon the number of shares of Complete Solaria outstanding, assuming the Business Combination occurred on January 1, 2022.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to Unaudited Pro Forma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pro forma Transaction Accounting Adjustments, based on preliminary estimates that could change materially as additional information is obtained,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received associated with the Common Stock Purchase Agreements with a related-party investor for the sale of 3,676,470 shares of Complete Solaria Common Stock for a purchase price of $1.36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fair value of 1,100,000 Maxeon Ordinary Shares received as consideration for the Disposal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disposition of solar panel assets, inclusive of certain intellectual property and customer contracts, transferred in conjunction with the Disposal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accrual of $0.5 million of transaction costs that were incurred from October 2, 2023 through the closing date of the Disposal Transaction. As these costs were not accrued as of October 1, 2023, their accrual is reflected as a reduction in retained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change in fair value of the forward purchase agreement liabilities resulting from the Amendments of the Forward Purchase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adjustment for the reclassification of warrants upon the modification from equity classified to liability classified in accordance with the guidance of ASC 815.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 Forma Accounting Adjustments to the additional paid-in-capital balance to reflect the following (in thousands):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564"/>
        <w:gridCol w:w="330"/>
        <w:gridCol w:w="140"/>
        <w:gridCol w:w="564"/>
        <w:gridCol w:w="157"/>
      </w:tblGrid>
      <w:tr>
        <w:trPr/>
        <w:tc>
          <w:tcPr>
            <w:tcW w:w="6564"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warrants upon the modification from equity classified to liability classified in accordance with the guidance of ASC 815</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(368</w:t>
            </w:r>
          </w:p>
        </w:tc>
        <w:tc>
          <w:tcPr>
            <w:tcW w:w="157" w:type="dxa"/>
            <w:tcBorders/>
            <w:shd w:fill="CCEEFF" w:val="clear"/>
            <w:vAlign w:val="bottom"/>
          </w:tcPr>
          <w:p>
            <w:pPr>
              <w:pStyle w:val="TableContents"/>
              <w:bidi w:val="0"/>
              <w:spacing w:before="0" w:after="283"/>
              <w:jc w:val="left"/>
              <w:rPr/>
            </w:pPr>
            <w:r>
              <w:rPr/>
              <w:t>) </w:t>
            </w:r>
          </w:p>
        </w:tc>
      </w:tr>
      <w:tr>
        <w:trPr/>
        <w:tc>
          <w:tcPr>
            <w:tcW w:w="6564"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3,676,470 shares of Complete Solaria Common Stock to a related-party investor</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5,000</w:t>
            </w:r>
          </w:p>
        </w:tc>
        <w:tc>
          <w:tcPr>
            <w:tcW w:w="157" w:type="dxa"/>
            <w:tcBorders/>
            <w:vAlign w:val="bottom"/>
          </w:tcPr>
          <w:p>
            <w:pPr>
              <w:pStyle w:val="TableContents"/>
              <w:bidi w:val="0"/>
              <w:spacing w:before="0" w:after="283"/>
              <w:jc w:val="left"/>
              <w:rPr/>
            </w:pPr>
            <w:r>
              <w:rPr/>
              <w:t> </w:t>
            </w:r>
          </w:p>
        </w:tc>
      </w:tr>
      <w:tr>
        <w:trPr/>
        <w:tc>
          <w:tcPr>
            <w:tcW w:w="6564"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4,632</w:t>
            </w:r>
          </w:p>
        </w:tc>
        <w:tc>
          <w:tcPr>
            <w:tcW w:w="157" w:type="dxa"/>
            <w:tcBorders/>
            <w:shd w:fill="CCEEFF" w:val="clear"/>
            <w:vAlign w:val="bottom"/>
          </w:tcPr>
          <w:p>
            <w:pPr>
              <w:pStyle w:val="TableContents"/>
              <w:bidi w:val="0"/>
              <w:spacing w:before="0" w:after="283"/>
              <w:jc w:val="left"/>
              <w:rPr/>
            </w:pPr>
            <w:r>
              <w:rPr/>
              <w:t> </w:t>
            </w:r>
          </w:p>
        </w:tc>
      </w:tr>
      <w:tr>
        <w:trPr/>
        <w:tc>
          <w:tcPr>
            <w:tcW w:w="6564"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 Forma Accounting Adjustments to the retained earnings (accumulated deficit) balance to reflect the following (in thousands):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476"/>
        <w:gridCol w:w="326"/>
        <w:gridCol w:w="140"/>
        <w:gridCol w:w="650"/>
        <w:gridCol w:w="163"/>
      </w:tblGrid>
      <w:tr>
        <w:trPr/>
        <w:tc>
          <w:tcPr>
            <w:tcW w:w="6476"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Reflects transaction costs that were incurred from October 2, 2023 through the closing date of the Disposal Transaction</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(450</w:t>
            </w:r>
          </w:p>
        </w:tc>
        <w:tc>
          <w:tcPr>
            <w:tcW w:w="163" w:type="dxa"/>
            <w:tcBorders/>
            <w:shd w:fill="CCEEFF" w:val="clear"/>
            <w:vAlign w:val="bottom"/>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Reflects the loss on disposal associated with the Disposal Transaction</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(1,310</w:t>
            </w:r>
          </w:p>
        </w:tc>
        <w:tc>
          <w:tcPr>
            <w:tcW w:w="163"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Amendments of Forward Purchase Agreements</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(403</w:t>
            </w:r>
          </w:p>
        </w:tc>
        <w:tc>
          <w:tcPr>
            <w:tcW w:w="163" w:type="dxa"/>
            <w:tcBorders/>
            <w:shd w:fill="CCEEFF" w:val="clear"/>
            <w:vAlign w:val="bottom"/>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warrants upon the modification from equity classified to liability classified in accordance with the guidance of ASC 815</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(1,096</w:t>
            </w:r>
          </w:p>
        </w:tc>
        <w:tc>
          <w:tcPr>
            <w:tcW w:w="163" w:type="dxa"/>
            <w:tcBorders/>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(3,259</w:t>
            </w:r>
          </w:p>
        </w:tc>
        <w:tc>
          <w:tcPr>
            <w:tcW w:w="163" w:type="dxa"/>
            <w:tcBorders/>
            <w:shd w:fill="CCEEFF" w:val="clear"/>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included in the unaudited pro forma condensed combined statement of operations for the year ended December 31, 2022, and the thirty-nine weeks ended October 1, 2023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611"/>
        <w:gridCol w:w="9186"/>
      </w:tblGrid>
      <w:tr>
        <w:trPr/>
        <w:tc>
          <w:tcPr>
            <w:tcW w:w="4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(AA)</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historical investment income earned on FACTs Trust Account. The pro forma Transaction Accounting Adjustments are $(4.3) million and $(4.8) million for the thirty-nine weeks ended October 1, 2023, and the year ended December 31, 2022,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612"/>
        <w:gridCol w:w="9185"/>
      </w:tblGrid>
      <w:tr>
        <w:trPr/>
        <w:tc>
          <w:tcPr>
            <w:tcW w:w="4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(BB)</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change in fair value on FACT promissory note. The pro forma adjustments are $0.3 million and $0.2 million for the thirty-nine weeks ended October 1, 2023, and the year ended December 31, 2022,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(CC)</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interest expense of $0.7 million and $0.2 million associated with the 2022 Convertible Notes for the thirty-nine weeks ended October 1, 2023, and the year ended December 31, 2022, respectively, which was assumed in the acquisition of Solaria and converted into Complete Solaria Common Stock upon the Close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611"/>
        <w:gridCol w:w="9186"/>
      </w:tblGrid>
      <w:tr>
        <w:trPr/>
        <w:tc>
          <w:tcPr>
            <w:tcW w:w="4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(DD)</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change in fair value of Legacy Complete Solarias Preferred Stock warrant liability. The pro forma Transaction Accounting Adjustments are $(9.5) million and $5.2 million for the thirty-nine weeks ended October 1, 2023, and the year ended December 31, 2022,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net loss per share calculated using the historical weighted average shares outstanding and the issuance of additional shares in connection with the Business Combination, and other related events, assuming such additional shares were outstanding since January 1, 2022. As the Business Combination and other related events are being reflected as if they had occurred as of January 1, 2022, the calculation of weighted average shares outstanding for basic and diluted net loss per share assumes the shares issued in connection with the Business Combination, other related events have been outstanding for the entire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53"/>
        <w:gridCol w:w="268"/>
        <w:gridCol w:w="220"/>
        <w:gridCol w:w="1735"/>
        <w:gridCol w:w="155"/>
        <w:gridCol w:w="254"/>
        <w:gridCol w:w="215"/>
        <w:gridCol w:w="1697"/>
        <w:gridCol w:w="158"/>
      </w:tblGrid>
      <w:tr>
        <w:trPr/>
        <w:tc>
          <w:tcPr>
            <w:tcW w:w="3053"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(in thousands, except for share</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and per share data)</w:t>
            </w:r>
          </w:p>
        </w:tc>
        <w:tc>
          <w:tcPr>
            <w:tcW w:w="268"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2022</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thirty-nine</w:t>
              <w:br/>
              <w:t>weeks ended</w:t>
              <w:br/>
              <w:t>October 1, 2023</w:t>
            </w:r>
          </w:p>
        </w:tc>
        <w:tc>
          <w:tcPr>
            <w:tcW w:w="158" w:type="dxa"/>
            <w:tcBorders/>
            <w:vAlign w:val="bottom"/>
          </w:tcPr>
          <w:p>
            <w:pPr>
              <w:pStyle w:val="TableContents"/>
              <w:bidi w:val="0"/>
              <w:spacing w:before="0" w:after="283"/>
              <w:jc w:val="left"/>
              <w:rPr/>
            </w:pPr>
            <w:r>
              <w:rPr/>
              <w:t> </w:t>
            </w:r>
          </w:p>
        </w:tc>
      </w:tr>
      <w:tr>
        <w:trPr/>
        <w:tc>
          <w:tcPr>
            <w:tcW w:w="3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loss attributable to common stockholders   Complete Solaria</w:t>
            </w:r>
          </w:p>
        </w:tc>
        <w:tc>
          <w:tcPr>
            <w:tcW w:w="26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35" w:type="dxa"/>
            <w:tcBorders/>
            <w:shd w:fill="CCEEFF" w:val="clear"/>
            <w:vAlign w:val="bottom"/>
          </w:tcPr>
          <w:p>
            <w:pPr>
              <w:pStyle w:val="TableContents"/>
              <w:bidi w:val="0"/>
              <w:spacing w:before="0" w:after="283"/>
              <w:jc w:val="right"/>
              <w:rPr/>
            </w:pPr>
            <w:r>
              <w:rPr/>
              <w:t>(21,234</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697" w:type="dxa"/>
            <w:tcBorders/>
            <w:shd w:fill="CCEEFF" w:val="clear"/>
            <w:vAlign w:val="bottom"/>
          </w:tcPr>
          <w:p>
            <w:pPr>
              <w:pStyle w:val="TableContents"/>
              <w:bidi w:val="0"/>
              <w:spacing w:before="0" w:after="283"/>
              <w:jc w:val="right"/>
              <w:rPr/>
            </w:pPr>
            <w:r>
              <w:rPr/>
              <w:t>(92,599</w:t>
            </w:r>
          </w:p>
        </w:tc>
        <w:tc>
          <w:tcPr>
            <w:tcW w:w="158" w:type="dxa"/>
            <w:tcBorders/>
            <w:shd w:fill="CCEEFF" w:val="clear"/>
            <w:vAlign w:val="bottom"/>
          </w:tcPr>
          <w:p>
            <w:pPr>
              <w:pStyle w:val="TableContents"/>
              <w:bidi w:val="0"/>
              <w:spacing w:before="0" w:after="283"/>
              <w:jc w:val="left"/>
              <w:rPr/>
            </w:pPr>
            <w:r>
              <w:rPr/>
              <w:t>) </w:t>
            </w:r>
          </w:p>
        </w:tc>
      </w:tr>
      <w:tr>
        <w:trPr/>
        <w:tc>
          <w:tcPr>
            <w:tcW w:w="3053"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shares outstanding, basic and diluted</w:t>
            </w:r>
          </w:p>
        </w:tc>
        <w:tc>
          <w:tcPr>
            <w:tcW w:w="26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5" w:type="dxa"/>
            <w:tcBorders/>
            <w:vAlign w:val="bottom"/>
          </w:tcPr>
          <w:p>
            <w:pPr>
              <w:pStyle w:val="TableContents"/>
              <w:bidi w:val="0"/>
              <w:spacing w:before="0" w:after="283"/>
              <w:jc w:val="right"/>
              <w:rPr/>
            </w:pPr>
            <w:r>
              <w:rPr/>
              <w:t>51,160,118</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97" w:type="dxa"/>
            <w:tcBorders/>
            <w:vAlign w:val="bottom"/>
          </w:tcPr>
          <w:p>
            <w:pPr>
              <w:pStyle w:val="TableContents"/>
              <w:bidi w:val="0"/>
              <w:spacing w:before="0" w:after="283"/>
              <w:jc w:val="right"/>
              <w:rPr/>
            </w:pPr>
            <w:r>
              <w:rPr/>
              <w:t>51,160,118</w:t>
            </w:r>
          </w:p>
        </w:tc>
        <w:tc>
          <w:tcPr>
            <w:tcW w:w="158" w:type="dxa"/>
            <w:tcBorders/>
            <w:vAlign w:val="bottom"/>
          </w:tcPr>
          <w:p>
            <w:pPr>
              <w:pStyle w:val="TableContents"/>
              <w:bidi w:val="0"/>
              <w:spacing w:before="0" w:after="283"/>
              <w:jc w:val="left"/>
              <w:rPr/>
            </w:pPr>
            <w:r>
              <w:rPr/>
              <w:t> </w:t>
            </w:r>
          </w:p>
        </w:tc>
      </w:tr>
      <w:tr>
        <w:trPr/>
        <w:tc>
          <w:tcPr>
            <w:tcW w:w="3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26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35" w:type="dxa"/>
            <w:tcBorders/>
            <w:shd w:fill="CCEEFF" w:val="clear"/>
            <w:vAlign w:val="bottom"/>
          </w:tcPr>
          <w:p>
            <w:pPr>
              <w:pStyle w:val="TableContents"/>
              <w:bidi w:val="0"/>
              <w:spacing w:before="0" w:after="283"/>
              <w:jc w:val="right"/>
              <w:rPr/>
            </w:pPr>
            <w:r>
              <w:rPr/>
              <w:t>(0.42</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697" w:type="dxa"/>
            <w:tcBorders/>
            <w:shd w:fill="CCEEFF" w:val="clear"/>
            <w:vAlign w:val="bottom"/>
          </w:tcPr>
          <w:p>
            <w:pPr>
              <w:pStyle w:val="TableContents"/>
              <w:bidi w:val="0"/>
              <w:spacing w:before="0" w:after="283"/>
              <w:jc w:val="right"/>
              <w:rPr/>
            </w:pPr>
            <w:r>
              <w:rPr/>
              <w:t>(1.81</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the number of shares of Complete Solaria Common Stock outstanding used for pro forma presentation purposes for the year ended December 31, 2022, and for the thirty-nine weeks ended October 1,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9"/>
        <w:gridCol w:w="157"/>
        <w:gridCol w:w="60"/>
        <w:gridCol w:w="1100"/>
        <w:gridCol w:w="63"/>
      </w:tblGrid>
      <w:tr>
        <w:trPr/>
        <w:tc>
          <w:tcPr>
            <w:tcW w:w="5559"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 forma weighted-average shares outstandingbasic and diluted</w:t>
            </w:r>
          </w:p>
        </w:tc>
        <w:tc>
          <w:tcPr>
            <w:tcW w:w="157"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Shareholders</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3,458,757</w:t>
            </w:r>
          </w:p>
        </w:tc>
        <w:tc>
          <w:tcPr>
            <w:tcW w:w="63"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Founder Shares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8,152,325</w:t>
            </w:r>
          </w:p>
        </w:tc>
        <w:tc>
          <w:tcPr>
            <w:tcW w:w="63" w:type="dxa"/>
            <w:tcBorders/>
            <w:vAlign w:val="bottom"/>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 Investors</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7,518,488</w:t>
            </w:r>
          </w:p>
        </w:tc>
        <w:tc>
          <w:tcPr>
            <w:tcW w:w="63"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Legacy Complete Solaria Shareholders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29,837,453</w:t>
            </w:r>
          </w:p>
        </w:tc>
        <w:tc>
          <w:tcPr>
            <w:tcW w:w="63" w:type="dxa"/>
            <w:tcBorders/>
            <w:vAlign w:val="bottom"/>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Legacy Complete Solaria  equity classified penny warrants</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2,193,095</w:t>
            </w:r>
          </w:p>
        </w:tc>
        <w:tc>
          <w:tcPr>
            <w:tcW w:w="63" w:type="dxa"/>
            <w:tcBorders/>
            <w:shd w:fill="CCEEFF" w:val="clear"/>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shares outstandingbasic and diluted</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51,160,118</w:t>
            </w:r>
          </w:p>
        </w:tc>
        <w:tc>
          <w:tcPr>
            <w:tcW w:w="63" w:type="dxa"/>
            <w:tcBorders/>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approximately 7,624,716 shares of Complete Solaria Common Stock which remain reserved for options and restricted stock units outstanding. At the Closing, Legacy Complete Solaria options and restricted stock units will be converted into Complete Solaria options and restricted stock units, upon substantially the same terms and conditions as in effect with respect to the corresponding Complete Solaria option and restricted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approximately 1,156,884 shares of Complete Solaria Common Stock which remain reserve for non-penny warrants outstanding. At the Closing, Legacy Complete Solaria warrants converted into Complete Solaria Warrants, upon substantially the same terms and conditions as in effect with respect to the corresponding Legacy Complete Solaria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7,518,488 shares related to PIPE investors, which, prior to the Closing, will convert into Legacy Complete Solaria Common Stock, and will convert into Complete Solaria Common Stock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table excludes the transfer of 4,333,333 shares of FACT Class B Ordinary Shares from the Sponsor to certain third parties pursuant to working capital lending arrangements, non-redemption agreements, PIPE Investments, and the settlement of accrued expenses related to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the transfer of shares of a number FACT Class A Ordinary Shares held by Sponsor as of the Closing equal the difference of (i) 3,300,000 minus (ii) the number of shares, if any, of FACT Class A Ordinary Shares transferred by Sponsor to holders of 2022 Convertible Notes minus (iii) the number of shares, if any, of FACT Class A Ordinary Shares transferred by Sponsor to certain counterparties in consideration for loans and other amounts paid to finance the working capital loans due to the Sponsor and extension fees as consideration for such holders agreeing to enter into non-redemption agreements and/or such FACT PIPE Investment investors agreeing to make FACT PIPE Investment,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transfer of 666,651 shares of Complete Solaria Common Stock from the Sponsor to Legacy Complete Solaria convertible noteholders upon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potential outstanding securities were excluded from the computation of pro forma net loss per share, basic and diluted, because their effect would have been anti-dilutive or issuance of such shares is contingent upon the satisfaction of certain conditions which are not satisfied as of the period end for pro forma presentation purposes.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39"/>
        <w:gridCol w:w="175"/>
        <w:gridCol w:w="60"/>
        <w:gridCol w:w="1003"/>
        <w:gridCol w:w="62"/>
      </w:tblGrid>
      <w:tr>
        <w:trPr/>
        <w:tc>
          <w:tcPr>
            <w:tcW w:w="563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Share Type</w:t>
            </w:r>
          </w:p>
        </w:tc>
        <w:tc>
          <w:tcPr>
            <w:tcW w:w="175"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2" w:type="dxa"/>
            <w:tcBorders/>
            <w:vAlign w:val="bottom"/>
          </w:tcPr>
          <w:p>
            <w:pPr>
              <w:pStyle w:val="TableContents"/>
              <w:bidi w:val="0"/>
              <w:spacing w:before="0" w:after="283"/>
              <w:jc w:val="left"/>
              <w:rPr/>
            </w:pPr>
            <w:r>
              <w:rPr/>
              <w:t> </w:t>
            </w:r>
          </w:p>
        </w:tc>
      </w:tr>
      <w:tr>
        <w:trPr/>
        <w:tc>
          <w:tcPr>
            <w:tcW w:w="5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Warrants</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8,625,000</w:t>
            </w:r>
          </w:p>
        </w:tc>
        <w:tc>
          <w:tcPr>
            <w:tcW w:w="62" w:type="dxa"/>
            <w:tcBorders/>
            <w:shd w:fill="CCEEFF" w:val="clear"/>
            <w:vAlign w:val="bottom"/>
          </w:tcPr>
          <w:p>
            <w:pPr>
              <w:pStyle w:val="TableContents"/>
              <w:bidi w:val="0"/>
              <w:spacing w:before="0" w:after="283"/>
              <w:jc w:val="left"/>
              <w:rPr/>
            </w:pPr>
            <w:r>
              <w:rPr/>
              <w:t> </w:t>
            </w:r>
          </w:p>
        </w:tc>
      </w:tr>
      <w:tr>
        <w:trPr/>
        <w:tc>
          <w:tcPr>
            <w:tcW w:w="5639" w:type="dxa"/>
            <w:tcBorders/>
          </w:tcPr>
          <w:p>
            <w:pPr>
              <w:pStyle w:val="TableContents"/>
              <w:bidi w:val="0"/>
              <w:spacing w:before="0" w:after="0"/>
              <w:jc w:val="left"/>
              <w:rPr>
                <w:rFonts w:ascii="Times New Roman" w:hAnsi="Times New Roman"/>
                <w:sz w:val="20"/>
              </w:rPr>
            </w:pPr>
            <w:r>
              <w:rPr>
                <w:rFonts w:ascii="Times New Roman" w:hAnsi="Times New Roman"/>
                <w:sz w:val="20"/>
              </w:rPr>
              <w:t>Private Warrants</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6,266,667</w:t>
            </w:r>
          </w:p>
        </w:tc>
        <w:tc>
          <w:tcPr>
            <w:tcW w:w="62" w:type="dxa"/>
            <w:tcBorders/>
            <w:vAlign w:val="bottom"/>
          </w:tcPr>
          <w:p>
            <w:pPr>
              <w:pStyle w:val="TableContents"/>
              <w:bidi w:val="0"/>
              <w:spacing w:before="0" w:after="283"/>
              <w:jc w:val="left"/>
              <w:rPr/>
            </w:pPr>
            <w:r>
              <w:rPr/>
              <w:t> </w:t>
            </w:r>
          </w:p>
        </w:tc>
      </w:tr>
      <w:tr>
        <w:trPr/>
        <w:tc>
          <w:tcPr>
            <w:tcW w:w="5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Private Warrants in Connection with Promissory Notes held by the Sponsor and its affiliates</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716,667</w:t>
            </w:r>
          </w:p>
        </w:tc>
        <w:tc>
          <w:tcPr>
            <w:tcW w:w="62" w:type="dxa"/>
            <w:tcBorders/>
            <w:shd w:fill="CCEEFF" w:val="clear"/>
            <w:vAlign w:val="bottom"/>
          </w:tcPr>
          <w:p>
            <w:pPr>
              <w:pStyle w:val="TableContents"/>
              <w:bidi w:val="0"/>
              <w:spacing w:before="0" w:after="283"/>
              <w:jc w:val="left"/>
              <w:rPr/>
            </w:pPr>
            <w:r>
              <w:rPr/>
              <w:t> </w:t>
            </w:r>
          </w:p>
        </w:tc>
      </w:tr>
      <w:tr>
        <w:trPr/>
        <w:tc>
          <w:tcPr>
            <w:tcW w:w="5639" w:type="dxa"/>
            <w:tcBorders/>
          </w:tcPr>
          <w:p>
            <w:pPr>
              <w:pStyle w:val="TableContents"/>
              <w:bidi w:val="0"/>
              <w:spacing w:before="0" w:after="0"/>
              <w:jc w:val="left"/>
              <w:rPr>
                <w:rFonts w:ascii="Times New Roman" w:hAnsi="Times New Roman"/>
                <w:sz w:val="20"/>
              </w:rPr>
            </w:pPr>
            <w:r>
              <w:rPr>
                <w:rFonts w:ascii="Times New Roman" w:hAnsi="Times New Roman"/>
                <w:sz w:val="20"/>
              </w:rPr>
              <w:t>Aggregate Warrant Consideration</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6,266,572</w:t>
            </w:r>
          </w:p>
        </w:tc>
        <w:tc>
          <w:tcPr>
            <w:tcW w:w="62" w:type="dxa"/>
            <w:tcBorders/>
            <w:vAlign w:val="bottom"/>
          </w:tcPr>
          <w:p>
            <w:pPr>
              <w:pStyle w:val="TableContents"/>
              <w:bidi w:val="0"/>
              <w:spacing w:before="0" w:after="283"/>
              <w:jc w:val="left"/>
              <w:rPr/>
            </w:pPr>
            <w:r>
              <w:rPr/>
              <w:t> </w:t>
            </w:r>
          </w:p>
        </w:tc>
      </w:tr>
      <w:tr>
        <w:trPr/>
        <w:tc>
          <w:tcPr>
            <w:tcW w:w="5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issuable upon achievement of trading price targets</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666,666</w:t>
            </w:r>
          </w:p>
        </w:tc>
        <w:tc>
          <w:tcPr>
            <w:tcW w:w="62" w:type="dxa"/>
            <w:tcBorders/>
            <w:shd w:fill="CCEEFF" w:val="clear"/>
            <w:vAlign w:val="bottom"/>
          </w:tcPr>
          <w:p>
            <w:pPr>
              <w:pStyle w:val="TableContents"/>
              <w:bidi w:val="0"/>
              <w:spacing w:before="0" w:after="283"/>
              <w:jc w:val="left"/>
              <w:rPr/>
            </w:pPr>
            <w:r>
              <w:rPr/>
              <w:t> </w:t>
            </w:r>
          </w:p>
        </w:tc>
      </w:tr>
      <w:tr>
        <w:trPr/>
        <w:tc>
          <w:tcPr>
            <w:tcW w:w="5639" w:type="dxa"/>
            <w:tcBorders/>
          </w:tcPr>
          <w:p>
            <w:pPr>
              <w:pStyle w:val="TableContents"/>
              <w:bidi w:val="0"/>
              <w:spacing w:before="0" w:after="0"/>
              <w:jc w:val="left"/>
              <w:rPr>
                <w:rFonts w:ascii="Times New Roman" w:hAnsi="Times New Roman"/>
                <w:sz w:val="20"/>
              </w:rPr>
            </w:pPr>
            <w:r>
              <w:rPr>
                <w:rFonts w:ascii="Times New Roman" w:hAnsi="Times New Roman"/>
                <w:sz w:val="20"/>
              </w:rPr>
              <w:t>Options (unvested and vested)</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7,624,716</w:t>
            </w:r>
          </w:p>
        </w:tc>
        <w:tc>
          <w:tcPr>
            <w:tcW w:w="62" w:type="dxa"/>
            <w:tcBorders/>
            <w:vAlign w:val="bottom"/>
          </w:tcPr>
          <w:p>
            <w:pPr>
              <w:pStyle w:val="TableContents"/>
              <w:bidi w:val="0"/>
              <w:spacing w:before="0" w:after="283"/>
              <w:jc w:val="left"/>
              <w:rPr/>
            </w:pPr>
            <w:r>
              <w:rPr/>
              <w:t> </w:t>
            </w:r>
          </w:p>
        </w:tc>
      </w:tr>
      <w:tr>
        <w:trPr/>
        <w:tc>
          <w:tcPr>
            <w:tcW w:w="5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Warrants (non-penny warrants)</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1,156,884</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11" w:name="d474289dex994.htm"/>
      <w:bookmarkStart w:id="12" w:name="ksd474289dex994"/>
      <w:bookmarkEnd w:id="11"/>
      <w:bookmarkEnd w:id="12"/>
      <w:r>
        <w:rPr>
          <w:rFonts w:ascii="Times New Roman" w:hAnsi="Times New Roman"/>
          <w:b/>
          <w:sz w:val="20"/>
        </w:rPr>
        <w:t xml:space="preserve">Exhibit 99.4 </w:t>
      </w:r>
      <w:r>
        <w:br w:type="page"/>
      </w:r>
    </w:p>
    <w:p>
      <w:pPr>
        <w:pStyle w:val="TextBody"/>
        <w:bidi w:val="0"/>
        <w:spacing w:before="240" w:after="0"/>
        <w:jc w:val="center"/>
        <w:rPr>
          <w:rFonts w:ascii="Times New Roman" w:hAnsi="Times New Roman"/>
          <w:b/>
          <w:sz w:val="20"/>
        </w:rPr>
      </w:pPr>
      <w:bookmarkStart w:id="13" w:name="txa508460_12"/>
      <w:bookmarkEnd w:id="13"/>
      <w:r>
        <w:rPr>
          <w:rFonts w:ascii="Times New Roman" w:hAnsi="Times New Roman"/>
          <w:b/>
          <w:sz w:val="20"/>
        </w:rPr>
        <w:t xml:space="preserve">INDEPENDENT AUDITORS REPORT </w:t>
      </w:r>
    </w:p>
    <w:p>
      <w:pPr>
        <w:pStyle w:val="TextBody"/>
        <w:bidi w:val="0"/>
        <w:spacing w:before="120" w:after="0"/>
        <w:jc w:val="left"/>
        <w:rPr>
          <w:rFonts w:ascii="Times New Roman" w:hAnsi="Times New Roman"/>
          <w:sz w:val="20"/>
        </w:rPr>
      </w:pPr>
      <w:r>
        <w:rPr>
          <w:rFonts w:ascii="Times New Roman" w:hAnsi="Times New Roman"/>
          <w:sz w:val="20"/>
        </w:rPr>
        <w:t xml:space="preserve">To the shareholders and the Board of Directors of The Solaria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The Solaria Corporation and subsidiaries (the Company), which comprise the Consolidated Balance Sheets as of December 31, 2021 and 2020, and the related Consolidated Statements of Operations and Comprehensive Loss, Consolidated Statements of Redeemable Convertible Preferred Stock and Stockholders Deficit, and Consolidated Statements of Cash Flows for the years then ended, and the related notes to the consolidated financial statements (collectively referred to as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as of December 31, 2021 and 2020, and the results of its operations and its cash flows for the years then ended in accordance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the Company has experienced net operating losses from operations and negative cash flows from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 </w:t>
      </w:r>
    </w:p>
    <w:p>
      <w:pPr>
        <w:pStyle w:val="TextBody"/>
        <w:bidi w:val="0"/>
        <w:spacing w:before="360" w:after="0"/>
        <w:jc w:val="left"/>
        <w:rPr>
          <w:rFonts w:ascii="Times New Roman" w:hAnsi="Times New Roman"/>
          <w:b/>
          <w:sz w:val="20"/>
        </w:rPr>
      </w:pPr>
      <w:r>
        <w:rPr>
          <w:rFonts w:ascii="Times New Roman" w:hAnsi="Times New Roman"/>
          <w:b/>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 </w:t>
      </w:r>
    </w:p>
    <w:p>
      <w:pPr>
        <w:pStyle w:val="TextBody"/>
        <w:bidi w:val="0"/>
        <w:spacing w:before="360" w:after="0"/>
        <w:jc w:val="left"/>
        <w:rPr>
          <w:rFonts w:ascii="Times New Roman" w:hAnsi="Times New Roman"/>
          <w:b/>
          <w:sz w:val="20"/>
        </w:rPr>
      </w:pPr>
      <w:r>
        <w:rPr>
          <w:rFonts w:ascii="Times New Roman" w:hAnsi="Times New Roman"/>
          <w:b/>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from material misstatement, whether due to fraud or error, and to issue an auditors report that includes our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48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February 9,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SOLARIA CORPORATION AND SUBSIDIARIES </w:t>
      </w:r>
    </w:p>
    <w:p>
      <w:pPr>
        <w:pStyle w:val="TextBody"/>
        <w:bidi w:val="0"/>
        <w:spacing w:before="0" w:after="0"/>
        <w:jc w:val="left"/>
        <w:rPr>
          <w:rFonts w:ascii="Times New Roman" w:hAnsi="Times New Roman"/>
          <w:b/>
          <w:sz w:val="20"/>
        </w:rPr>
      </w:pPr>
      <w:bookmarkStart w:id="14" w:name="txa508460_13"/>
      <w:bookmarkEnd w:id="14"/>
      <w:r>
        <w:rPr>
          <w:rFonts w:ascii="Times New Roman" w:hAnsi="Times New Roman"/>
          <w:b/>
          <w:sz w:val="20"/>
        </w:rPr>
        <w:t xml:space="preserve">CONSOLIDATED BALANCE SHEETS </w:t>
      </w:r>
    </w:p>
    <w:p>
      <w:pPr>
        <w:pStyle w:val="TextBody"/>
        <w:bidi w:val="0"/>
        <w:spacing w:before="0" w:after="0"/>
        <w:jc w:val="left"/>
        <w:rPr>
          <w:rFonts w:ascii="Times New Roman" w:hAnsi="Times New Roman"/>
          <w:b/>
          <w:sz w:val="20"/>
        </w:rPr>
      </w:pPr>
      <w:r>
        <w:rPr>
          <w:rFonts w:ascii="Times New Roman" w:hAnsi="Times New Roman"/>
          <w:b/>
          <w:sz w:val="20"/>
        </w:rPr>
        <w:t xml:space="preserve">AS OF DECEMBER 31, 2021 AND 2020 </w:t>
      </w:r>
    </w:p>
    <w:p>
      <w:pPr>
        <w:pStyle w:val="TextBody"/>
        <w:bidi w:val="0"/>
        <w:spacing w:before="120" w:after="0"/>
        <w:jc w:val="left"/>
        <w:rPr>
          <w:rFonts w:ascii="Times New Roman" w:hAnsi="Times New Roman"/>
          <w:b/>
          <w:sz w:val="20"/>
        </w:rPr>
      </w:pPr>
      <w:r>
        <w:rPr>
          <w:rFonts w:ascii="Times New Roman" w:hAnsi="Times New Roman"/>
          <w:b/>
          <w:sz w:val="20"/>
        </w:rPr>
        <w:t xml:space="preserve">(In thousands, except par value and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18"/>
        <w:gridCol w:w="355"/>
        <w:gridCol w:w="186"/>
        <w:gridCol w:w="1171"/>
        <w:gridCol w:w="155"/>
        <w:gridCol w:w="305"/>
        <w:gridCol w:w="186"/>
        <w:gridCol w:w="1171"/>
        <w:gridCol w:w="158"/>
      </w:tblGrid>
      <w:tr>
        <w:trPr/>
        <w:tc>
          <w:tcPr>
            <w:tcW w:w="6518"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18"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8" w:type="dxa"/>
            <w:tcBorders/>
            <w:vAlign w:val="bottom"/>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9,113</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9,802</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Accounts receivable, net</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6,288</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13,318</w:t>
            </w:r>
          </w:p>
        </w:tc>
        <w:tc>
          <w:tcPr>
            <w:tcW w:w="158" w:type="dxa"/>
            <w:tcBorders/>
            <w:vAlign w:val="bottom"/>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Inventory, net</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16,928</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10,448</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2,053</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9,160</w:t>
            </w:r>
          </w:p>
        </w:tc>
        <w:tc>
          <w:tcPr>
            <w:tcW w:w="158" w:type="dxa"/>
            <w:tcBorders/>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34,382</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42,728</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4,802</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3,747</w:t>
            </w:r>
          </w:p>
        </w:tc>
        <w:tc>
          <w:tcPr>
            <w:tcW w:w="158" w:type="dxa"/>
            <w:tcBorders/>
            <w:vAlign w:val="bottom"/>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 net and other noncurrent assets</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1,755</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2,534</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999</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4,928</w:t>
            </w:r>
          </w:p>
        </w:tc>
        <w:tc>
          <w:tcPr>
            <w:tcW w:w="158" w:type="dxa"/>
            <w:tcBorders/>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41,938</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53,937</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b/>
                <w:sz w:val="18"/>
              </w:rPr>
            </w:pPr>
            <w:r>
              <w:rPr>
                <w:rFonts w:ascii="Times New Roman" w:hAnsi="Times New Roman"/>
                <w:b/>
                <w:sz w:val="18"/>
              </w:rPr>
              <w:t>LIABILITIES, MEZZANINE EQUITY AND STOCKHOLDERS DEFICIT</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5,489</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4,459</w:t>
            </w:r>
          </w:p>
        </w:tc>
        <w:tc>
          <w:tcPr>
            <w:tcW w:w="158" w:type="dxa"/>
            <w:tcBorders/>
            <w:vAlign w:val="bottom"/>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11,713</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9,975</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Deferred revenue</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2,070</w:t>
            </w:r>
          </w:p>
        </w:tc>
        <w:tc>
          <w:tcPr>
            <w:tcW w:w="158" w:type="dxa"/>
            <w:tcBorders/>
            <w:vAlign w:val="bottom"/>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Notes payable, net</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10,912</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5,938</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Operating lease liability</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390</w:t>
            </w:r>
          </w:p>
        </w:tc>
        <w:tc>
          <w:tcPr>
            <w:tcW w:w="158" w:type="dxa"/>
            <w:tcBorders/>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28,472</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22,832</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NONCURRENT LIABILITIES:</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Redeemable convertible preferred stock warrants liability</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4,955</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1,725</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Operating lease liability, net of current portion</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1,674</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2,139</w:t>
            </w:r>
          </w:p>
        </w:tc>
        <w:tc>
          <w:tcPr>
            <w:tcW w:w="158" w:type="dxa"/>
            <w:tcBorders/>
            <w:vAlign w:val="bottom"/>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liabilities, noncurrent</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2,341</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2,280</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Notes payable, net of current portion</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41,197</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11,171</w:t>
            </w:r>
          </w:p>
        </w:tc>
        <w:tc>
          <w:tcPr>
            <w:tcW w:w="158" w:type="dxa"/>
            <w:tcBorders/>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78,639</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40,147</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COMMITMENTS AND CONTINGENCIES (NOTE 14)</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MEZZANINE REDEEMABLE CONVERTIBLE PREFERRED STOCK</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Redeemable convertible preferred stock: par value of $0.001 per share; 13,500,285 shares authorized as of December 31, 2021 and 2020; issued and outstanding of 11,147,927 shares and 10,920,447 shares as of December 31, 2021 and 2020, respectively; aggregate liquidation value of $71.7 million and $71.3 million as of December 31, 2021 and 2020, respectively</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72,061</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71,152</w:t>
            </w:r>
          </w:p>
        </w:tc>
        <w:tc>
          <w:tcPr>
            <w:tcW w:w="158" w:type="dxa"/>
            <w:tcBorders/>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STOCKHOLDERS DEFICIT</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Common stock; par value $0.001 per share; 27,000,000 shares authorized as of December 31, 2021 and 2020; issued and outstanding of 2,001,357 shares and 1,841,452 shares as of December 31, 2021 and 2020, respectively</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521</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521</w:t>
            </w:r>
          </w:p>
        </w:tc>
        <w:tc>
          <w:tcPr>
            <w:tcW w:w="158" w:type="dxa"/>
            <w:tcBorders/>
            <w:vAlign w:val="bottom"/>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Class B common stock; par value $0.001 per share; 815 shares authorized as of December 31, 2021 and 2020; 815 shares issued and outstanding as of December 31, 2021 and 2020</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178,309</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175,285</w:t>
            </w:r>
          </w:p>
        </w:tc>
        <w:tc>
          <w:tcPr>
            <w:tcW w:w="158" w:type="dxa"/>
            <w:tcBorders/>
            <w:vAlign w:val="bottom"/>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(68</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(287,538</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(233,101</w:t>
            </w:r>
          </w:p>
        </w:tc>
        <w:tc>
          <w:tcPr>
            <w:tcW w:w="158" w:type="dxa"/>
            <w:tcBorders/>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stockholders deficit</w:t>
            </w:r>
          </w:p>
        </w:tc>
        <w:tc>
          <w:tcPr>
            <w:tcW w:w="3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(108,762</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(57,362</w:t>
            </w:r>
          </w:p>
        </w:tc>
        <w:tc>
          <w:tcPr>
            <w:tcW w:w="158" w:type="dxa"/>
            <w:tcBorders/>
            <w:shd w:fill="CCEEFF" w:val="clear"/>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18" w:type="dxa"/>
            <w:tcBorders/>
          </w:tcPr>
          <w:p>
            <w:pPr>
              <w:pStyle w:val="TableContents"/>
              <w:bidi w:val="0"/>
              <w:spacing w:before="0" w:after="0"/>
              <w:jc w:val="left"/>
              <w:rPr>
                <w:rFonts w:ascii="Times New Roman" w:hAnsi="Times New Roman"/>
                <w:sz w:val="18"/>
              </w:rPr>
            </w:pPr>
            <w:r>
              <w:rPr>
                <w:rFonts w:ascii="Times New Roman" w:hAnsi="Times New Roman"/>
                <w:sz w:val="18"/>
              </w:rPr>
              <w:t>TOTAL LIABILITIES, MEZZANINE EQUITY AND STOCKHOLDERS DEFICIT</w:t>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41,938</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53,937</w:t>
            </w:r>
          </w:p>
        </w:tc>
        <w:tc>
          <w:tcPr>
            <w:tcW w:w="158" w:type="dxa"/>
            <w:tcBorders/>
            <w:vAlign w:val="bottom"/>
          </w:tcPr>
          <w:p>
            <w:pPr>
              <w:pStyle w:val="TableContents"/>
              <w:bidi w:val="0"/>
              <w:spacing w:before="0" w:after="283"/>
              <w:jc w:val="left"/>
              <w:rPr/>
            </w:pPr>
            <w:r>
              <w:rPr/>
              <w:t> </w:t>
            </w:r>
          </w:p>
        </w:tc>
      </w:tr>
      <w:tr>
        <w:trPr/>
        <w:tc>
          <w:tcPr>
            <w:tcW w:w="6518"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SOLARIA CORPORATION AND SUBSIDIARIES </w:t>
      </w:r>
    </w:p>
    <w:p>
      <w:pPr>
        <w:pStyle w:val="TextBody"/>
        <w:bidi w:val="0"/>
        <w:spacing w:before="0" w:after="0"/>
        <w:jc w:val="left"/>
        <w:rPr>
          <w:rFonts w:ascii="Times New Roman" w:hAnsi="Times New Roman"/>
          <w:b/>
          <w:sz w:val="20"/>
        </w:rPr>
      </w:pPr>
      <w:bookmarkStart w:id="15" w:name="txa508460_14"/>
      <w:bookmarkEnd w:id="15"/>
      <w:r>
        <w:rPr>
          <w:rFonts w:ascii="Times New Roman" w:hAnsi="Times New Roman"/>
          <w:b/>
          <w:sz w:val="20"/>
        </w:rPr>
        <w:t xml:space="preserve">CONSOLIDATED STATEMENTS OF OPERATIONS AND COMPREHENSIVE LOSS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2021 AND 2020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83"/>
        <w:gridCol w:w="156"/>
        <w:gridCol w:w="192"/>
        <w:gridCol w:w="1041"/>
        <w:gridCol w:w="212"/>
        <w:gridCol w:w="128"/>
        <w:gridCol w:w="192"/>
        <w:gridCol w:w="1042"/>
        <w:gridCol w:w="159"/>
      </w:tblGrid>
      <w:tr>
        <w:trPr/>
        <w:tc>
          <w:tcPr>
            <w:tcW w:w="7083"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8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9" w:type="dxa"/>
            <w:tcBorders/>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9" w:type="dxa"/>
            <w:tcBorders/>
            <w:vAlign w:val="bottom"/>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 net</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59,763</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48,328</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61,144</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47,950</w:t>
            </w:r>
          </w:p>
        </w:tc>
        <w:tc>
          <w:tcPr>
            <w:tcW w:w="159" w:type="dxa"/>
            <w:tcBorders/>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 (loss)</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(1,381</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378</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engineering</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4,345</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2,964</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7,244</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7,349</w:t>
            </w:r>
          </w:p>
        </w:tc>
        <w:tc>
          <w:tcPr>
            <w:tcW w:w="159" w:type="dxa"/>
            <w:tcBorders/>
            <w:vAlign w:val="bottom"/>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9,789</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9,905</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Litigation-related costs</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5,485</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2,311</w:t>
            </w:r>
          </w:p>
        </w:tc>
        <w:tc>
          <w:tcPr>
            <w:tcW w:w="159" w:type="dxa"/>
            <w:tcBorders/>
            <w:vAlign w:val="bottom"/>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and related charges (Note 3)</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17,052</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395</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43,915</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22,924</w:t>
            </w:r>
          </w:p>
        </w:tc>
        <w:tc>
          <w:tcPr>
            <w:tcW w:w="159" w:type="dxa"/>
            <w:tcBorders/>
            <w:vAlign w:val="bottom"/>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(45,296</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(22,546</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(5,221</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(2,763</w:t>
            </w:r>
          </w:p>
        </w:tc>
        <w:tc>
          <w:tcPr>
            <w:tcW w:w="159" w:type="dxa"/>
            <w:tcBorders/>
            <w:vAlign w:val="bottom"/>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6</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130</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 (Note 7)</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(5,384</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1,458</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1,404</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expenses, net</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(9,141</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(1,229</w:t>
            </w:r>
          </w:p>
        </w:tc>
        <w:tc>
          <w:tcPr>
            <w:tcW w:w="159" w:type="dxa"/>
            <w:tcBorders/>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(54,437</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(23,775</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80</w:t>
            </w:r>
          </w:p>
        </w:tc>
        <w:tc>
          <w:tcPr>
            <w:tcW w:w="159" w:type="dxa"/>
            <w:tcBorders/>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(54,437</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(23,855</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 net of tax effect of $0, for the years ended December 31, 2021 and 2020</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13</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(68</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(54,424</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(23,923</w:t>
            </w:r>
          </w:p>
        </w:tc>
        <w:tc>
          <w:tcPr>
            <w:tcW w:w="159" w:type="dxa"/>
            <w:tcBorders/>
            <w:vAlign w:val="bottom"/>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accretion</w:t>
            </w:r>
          </w:p>
        </w:tc>
        <w:tc>
          <w:tcPr>
            <w:tcW w:w="1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21</w:t>
            </w:r>
          </w:p>
        </w:tc>
        <w:tc>
          <w:tcPr>
            <w:tcW w:w="212"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36</w:t>
            </w:r>
          </w:p>
        </w:tc>
        <w:tc>
          <w:tcPr>
            <w:tcW w:w="159" w:type="dxa"/>
            <w:tcBorders/>
            <w:shd w:fill="CCEEFF" w:val="clear"/>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to common stockholders</w:t>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(54,403</w:t>
            </w:r>
          </w:p>
        </w:tc>
        <w:tc>
          <w:tcPr>
            <w:tcW w:w="21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(23,887</w:t>
            </w:r>
          </w:p>
        </w:tc>
        <w:tc>
          <w:tcPr>
            <w:tcW w:w="159" w:type="dxa"/>
            <w:tcBorders/>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16"/>
        </w:rPr>
      </w:pPr>
      <w:r>
        <w:rPr>
          <w:rFonts w:ascii="Times New Roman" w:hAnsi="Times New Roman"/>
          <w:b/>
          <w:sz w:val="16"/>
        </w:rPr>
        <w:t xml:space="preserve">THE SOLARIA CORPORATION AND SUBSIDIARIES </w:t>
      </w:r>
    </w:p>
    <w:p>
      <w:pPr>
        <w:pStyle w:val="TextBody"/>
        <w:bidi w:val="0"/>
        <w:spacing w:before="0" w:after="0"/>
        <w:jc w:val="left"/>
        <w:rPr>
          <w:rFonts w:ascii="Times New Roman" w:hAnsi="Times New Roman"/>
          <w:b/>
          <w:sz w:val="16"/>
        </w:rPr>
      </w:pPr>
      <w:bookmarkStart w:id="16" w:name="txa508460_15"/>
      <w:bookmarkEnd w:id="16"/>
      <w:r>
        <w:rPr>
          <w:rFonts w:ascii="Times New Roman" w:hAnsi="Times New Roman"/>
          <w:b/>
          <w:sz w:val="16"/>
        </w:rPr>
        <w:t xml:space="preserve">CONSOLIDATED STATEMENTS OF REDEEMABLE CONVERTIBLE PREFERRED STOCK AND </w:t>
      </w:r>
    </w:p>
    <w:p>
      <w:pPr>
        <w:pStyle w:val="TextBody"/>
        <w:bidi w:val="0"/>
        <w:spacing w:before="0" w:after="0"/>
        <w:jc w:val="left"/>
        <w:rPr>
          <w:rFonts w:ascii="Times New Roman" w:hAnsi="Times New Roman"/>
          <w:b/>
          <w:sz w:val="16"/>
        </w:rPr>
      </w:pPr>
      <w:r>
        <w:rPr>
          <w:rFonts w:ascii="Times New Roman" w:hAnsi="Times New Roman"/>
          <w:b/>
          <w:sz w:val="16"/>
        </w:rPr>
        <w:t xml:space="preserve">STOCKHOLDERS DEFICIT </w:t>
      </w:r>
    </w:p>
    <w:p>
      <w:pPr>
        <w:pStyle w:val="TextBody"/>
        <w:bidi w:val="0"/>
        <w:spacing w:before="0" w:after="0"/>
        <w:jc w:val="left"/>
        <w:rPr>
          <w:rFonts w:ascii="Times New Roman" w:hAnsi="Times New Roman"/>
          <w:b/>
          <w:sz w:val="16"/>
        </w:rPr>
      </w:pPr>
      <w:r>
        <w:rPr>
          <w:rFonts w:ascii="Times New Roman" w:hAnsi="Times New Roman"/>
          <w:b/>
          <w:sz w:val="16"/>
        </w:rPr>
        <w:t xml:space="preserve">FOR THE YEARS ENDED DECEMBER 31, 2021 AND 2020 </w:t>
      </w:r>
    </w:p>
    <w:p>
      <w:pPr>
        <w:pStyle w:val="TextBody"/>
        <w:bidi w:val="0"/>
        <w:spacing w:before="120" w:after="0"/>
        <w:jc w:val="left"/>
        <w:rPr>
          <w:rFonts w:ascii="Times New Roman" w:hAnsi="Times New Roman"/>
          <w:b/>
          <w:sz w:val="16"/>
        </w:rPr>
      </w:pPr>
      <w:r>
        <w:rPr>
          <w:rFonts w:ascii="Times New Roman" w:hAnsi="Times New Roman"/>
          <w:b/>
          <w:sz w:val="16"/>
        </w:rPr>
        <w:t xml:space="preserve">(In thousands, except number of shares) </w:t>
      </w:r>
    </w:p>
    <w:p>
      <w:pPr>
        <w:pStyle w:val="TextBody"/>
        <w:bidi w:val="0"/>
        <w:spacing w:before="0" w:after="0"/>
        <w:jc w:val="left"/>
        <w:rPr/>
      </w:pPr>
      <w:r>
        <w:rPr/>
        <w:t> </w:t>
      </w:r>
    </w:p>
    <w:tbl>
      <w:tblPr>
        <w:tblW w:w="14315" w:type="dxa"/>
        <w:jc w:val="center"/>
        <w:tblInd w:w="0" w:type="dxa"/>
        <w:tblLayout w:type="fixed"/>
        <w:tblCellMar>
          <w:top w:w="0" w:type="dxa"/>
          <w:left w:w="0" w:type="dxa"/>
          <w:bottom w:w="0" w:type="dxa"/>
          <w:right w:w="0" w:type="dxa"/>
        </w:tblCellMar>
      </w:tblPr>
      <w:tblGrid>
        <w:gridCol w:w="1160"/>
        <w:gridCol w:w="60"/>
        <w:gridCol w:w="60"/>
        <w:gridCol w:w="1100"/>
        <w:gridCol w:w="155"/>
        <w:gridCol w:w="60"/>
        <w:gridCol w:w="146"/>
        <w:gridCol w:w="714"/>
        <w:gridCol w:w="60"/>
        <w:gridCol w:w="60"/>
        <w:gridCol w:w="30"/>
        <w:gridCol w:w="30"/>
        <w:gridCol w:w="60"/>
        <w:gridCol w:w="60"/>
        <w:gridCol w:w="60"/>
        <w:gridCol w:w="980"/>
        <w:gridCol w:w="155"/>
        <w:gridCol w:w="60"/>
        <w:gridCol w:w="231"/>
        <w:gridCol w:w="629"/>
        <w:gridCol w:w="60"/>
        <w:gridCol w:w="60"/>
        <w:gridCol w:w="172"/>
        <w:gridCol w:w="1094"/>
        <w:gridCol w:w="172"/>
        <w:gridCol w:w="172"/>
        <w:gridCol w:w="427"/>
        <w:gridCol w:w="433"/>
        <w:gridCol w:w="60"/>
        <w:gridCol w:w="60"/>
        <w:gridCol w:w="140"/>
        <w:gridCol w:w="800"/>
        <w:gridCol w:w="155"/>
        <w:gridCol w:w="60"/>
        <w:gridCol w:w="474"/>
        <w:gridCol w:w="1136"/>
        <w:gridCol w:w="155"/>
        <w:gridCol w:w="60"/>
        <w:gridCol w:w="188"/>
        <w:gridCol w:w="1182"/>
        <w:gridCol w:w="155"/>
        <w:gridCol w:w="60"/>
        <w:gridCol w:w="140"/>
        <w:gridCol w:w="875"/>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6"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Loss</w:t>
            </w:r>
          </w:p>
        </w:tc>
        <w:tc>
          <w:tcPr>
            <w:tcW w:w="15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6"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61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015"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Stockholders</w:t>
            </w:r>
          </w:p>
        </w:tc>
        <w:tc>
          <w:tcPr>
            <w:tcW w:w="155" w:type="dxa"/>
            <w:vMerge w:val="restart"/>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5" w:type="dxa"/>
            <w:gridSpan w:val="6"/>
            <w:tcBorders/>
            <w:vAlign w:val="bottom"/>
          </w:tcPr>
          <w:p>
            <w:pPr>
              <w:pStyle w:val="TableContents"/>
              <w:bidi w:val="0"/>
              <w:spacing w:before="0" w:after="283"/>
              <w:jc w:val="center"/>
              <w:rPr>
                <w:b/>
              </w:rPr>
            </w:pPr>
            <w:r>
              <w:rPr>
                <w:b/>
              </w:rPr>
              <w:t>Redeemable</w:t>
              <w:br/>
              <w:t>Convertible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6"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20"/>
              <w:jc w:val="center"/>
              <w:rPr>
                <w:rFonts w:ascii="Times New Roman" w:hAnsi="Times New Roman"/>
                <w:b/>
                <w:sz w:val="16"/>
              </w:rPr>
            </w:pPr>
            <w:r>
              <w:rPr>
                <w:rFonts w:ascii="Times New Roman" w:hAnsi="Times New Roman"/>
                <w:b/>
                <w:sz w:val="16"/>
              </w:rPr>
              <w:t>Paid-in</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61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01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61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Balance at December 29, 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10,151,638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64,193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1,816,452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521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815</w:t>
            </w:r>
          </w:p>
        </w:tc>
        <w:tc>
          <w:tcPr>
            <w:tcW w:w="1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172,469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(209,246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(36,255</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9"/>
              </w:rPr>
            </w:pPr>
            <w:r>
              <w:rPr>
                <w:rFonts w:ascii="Times New Roman" w:hAnsi="Times New Roman"/>
                <w:sz w:val="19"/>
              </w:rPr>
              <w:t>Exercise of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Issuance of Series E-1 redeemable convertible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768,809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6,748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9"/>
              </w:rPr>
            </w:pPr>
            <w:r>
              <w:rPr>
                <w:rFonts w:ascii="Times New Roman" w:hAnsi="Times New Roman"/>
                <w:sz w:val="19"/>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2,842</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Currency translation adjustment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9"/>
              </w:rPr>
            </w:pPr>
            <w:r>
              <w:rPr>
                <w:rFonts w:ascii="Times New Roman" w:hAnsi="Times New Roman"/>
                <w:sz w:val="19"/>
              </w:rPr>
              <w:t>Redeemable convertible preferred stock accretion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(23,855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(23,855</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9"/>
              </w:rPr>
            </w:pPr>
            <w:r>
              <w:rPr>
                <w:rFonts w:ascii="Times New Roman" w:hAnsi="Times New Roman"/>
                <w:sz w:val="19"/>
              </w:rPr>
              <w:t>Balance at December 31, 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10,920,447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71,152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1,841,452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521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815</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w:t>
            </w:r>
          </w:p>
        </w:tc>
        <w:tc>
          <w:tcPr>
            <w:tcW w:w="433"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175,285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(233,101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(57,362</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Exercise of warrants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246,564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762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25,000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9"/>
              </w:rPr>
            </w:pPr>
            <w:r>
              <w:rPr>
                <w:rFonts w:ascii="Times New Roman" w:hAnsi="Times New Roman"/>
                <w:sz w:val="19"/>
              </w:rPr>
              <w:t>Exercise of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159,583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370</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Repurchase of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(24,678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9"/>
              </w:rPr>
            </w:pPr>
            <w:r>
              <w:rPr>
                <w:rFonts w:ascii="Times New Roman" w:hAnsi="Times New Roman"/>
                <w:sz w:val="19"/>
              </w:rPr>
              <w:t>Rescission of Series E-1 redeemable convertible 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(19,084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Stock-based compensation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2,673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9"/>
              </w:rPr>
            </w:pPr>
            <w:r>
              <w:rPr>
                <w:rFonts w:ascii="Times New Roman" w:hAnsi="Times New Roman"/>
                <w:sz w:val="19"/>
              </w:rPr>
              <w:t>Currency 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Redeemable convertible preferred stock accretion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9"/>
              </w:rPr>
            </w:pPr>
            <w:r>
              <w:rPr>
                <w:rFonts w:ascii="Times New Roman" w:hAnsi="Times New Roman"/>
                <w:sz w:val="19"/>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(54,437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(54,437</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Balance at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11,147,927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72,061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2,001,357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521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815</w:t>
            </w:r>
          </w:p>
        </w:tc>
        <w:tc>
          <w:tcPr>
            <w:tcW w:w="1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178,309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(287,538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(108,762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SOLARIA CORPORATION AND SUBSIDIARIES </w:t>
      </w:r>
    </w:p>
    <w:p>
      <w:pPr>
        <w:pStyle w:val="TextBody"/>
        <w:bidi w:val="0"/>
        <w:spacing w:before="0" w:after="0"/>
        <w:jc w:val="left"/>
        <w:rPr>
          <w:rFonts w:ascii="Times New Roman" w:hAnsi="Times New Roman"/>
          <w:b/>
          <w:sz w:val="20"/>
        </w:rPr>
      </w:pPr>
      <w:bookmarkStart w:id="17" w:name="txa508460_16"/>
      <w:bookmarkEnd w:id="17"/>
      <w:r>
        <w:rPr>
          <w:rFonts w:ascii="Times New Roman" w:hAnsi="Times New Roman"/>
          <w:b/>
          <w:sz w:val="20"/>
        </w:rPr>
        <w:t xml:space="preserve">CONSOLIDATED STATEMENTS OF CASH FLOWS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9"/>
        <w:gridCol w:w="297"/>
        <w:gridCol w:w="211"/>
        <w:gridCol w:w="1156"/>
        <w:gridCol w:w="155"/>
        <w:gridCol w:w="251"/>
        <w:gridCol w:w="211"/>
        <w:gridCol w:w="1156"/>
        <w:gridCol w:w="159"/>
      </w:tblGrid>
      <w:tr>
        <w:trPr/>
        <w:tc>
          <w:tcPr>
            <w:tcW w:w="6609"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0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w:t>
            </w:r>
          </w:p>
        </w:tc>
        <w:tc>
          <w:tcPr>
            <w:tcW w:w="159" w:type="dxa"/>
            <w:tcBorders/>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center"/>
              <w:rPr>
                <w:b/>
              </w:rPr>
            </w:pPr>
            <w:r>
              <w:rPr>
                <w:b/>
              </w:rPr>
              <w:t>December 31,</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(54,437</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(23,855</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Debt amortization and non-cash interest expense</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3,555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2,036</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5,384</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2,799</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3,017</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redeemable convertible preferred stock warrant liability</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(358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(1,085</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1,290</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451</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Allowance for doubtful accounts expense</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183</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Impairment and related charges</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17,052</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395</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investment in privately held company</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250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Noncash operating lease expense</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336</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Forgiveness of Paycheck Protection Plan (PPP) Loan</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(1,433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135</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7,030</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(501</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(15,168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2,393</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2,970</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(4,413</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1,030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(2,189</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3,216</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(1,995</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(1,582</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(309</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(52</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 noncurrent</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1,629</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(31,985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(19,886</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(1,827</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(2,935</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248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(1,579</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(2,935</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notes payable, net</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33,415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21,933</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notes payable, net</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(382</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(15,835</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preferred stock, net</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6,748</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redeemable convertible preferred stock warrants</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512</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372</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w:t>
            </w:r>
          </w:p>
        </w:tc>
        <w:tc>
          <w:tcPr>
            <w:tcW w:w="159" w:type="dxa"/>
            <w:tcBorders/>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33,917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12,856</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(67</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(10,032</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year</w:t>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13,549</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23,581</w:t>
            </w:r>
          </w:p>
        </w:tc>
        <w:tc>
          <w:tcPr>
            <w:tcW w:w="159" w:type="dxa"/>
            <w:tcBorders/>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year</w:t>
            </w:r>
          </w:p>
        </w:tc>
        <w:tc>
          <w:tcPr>
            <w:tcW w:w="29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13,915</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13,549</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SOLARIA CORPORATION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95"/>
        <w:gridCol w:w="433"/>
        <w:gridCol w:w="244"/>
        <w:gridCol w:w="1170"/>
        <w:gridCol w:w="155"/>
        <w:gridCol w:w="381"/>
        <w:gridCol w:w="364"/>
        <w:gridCol w:w="999"/>
        <w:gridCol w:w="64"/>
      </w:tblGrid>
      <w:tr>
        <w:trPr/>
        <w:tc>
          <w:tcPr>
            <w:tcW w:w="6395"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9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33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w:t>
            </w:r>
          </w:p>
        </w:tc>
        <w:tc>
          <w:tcPr>
            <w:tcW w:w="64" w:type="dxa"/>
            <w:tcBorders/>
            <w:vAlign w:val="bottom"/>
          </w:tcPr>
          <w:p>
            <w:pPr>
              <w:pStyle w:val="TableContents"/>
              <w:bidi w:val="0"/>
              <w:spacing w:before="0" w:after="283"/>
              <w:jc w:val="left"/>
              <w:rPr/>
            </w:pPr>
            <w:r>
              <w:rPr/>
              <w:t> </w:t>
            </w:r>
          </w:p>
        </w:tc>
      </w:tr>
      <w:tr>
        <w:trPr/>
        <w:tc>
          <w:tcPr>
            <w:tcW w:w="639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center"/>
              <w:rPr>
                <w:b/>
              </w:rPr>
            </w:pPr>
            <w:r>
              <w:rPr>
                <w:b/>
              </w:rPr>
              <w:t>December 31,</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639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4" w:type="dxa"/>
            <w:tcBorders/>
            <w:vAlign w:val="bottom"/>
          </w:tcPr>
          <w:p>
            <w:pPr>
              <w:pStyle w:val="TableContents"/>
              <w:bidi w:val="0"/>
              <w:spacing w:before="0" w:after="283"/>
              <w:jc w:val="left"/>
              <w:rPr/>
            </w:pPr>
            <w:r>
              <w:rPr/>
              <w:t> </w:t>
            </w:r>
          </w:p>
        </w:tc>
      </w:tr>
      <w:tr>
        <w:trPr/>
        <w:tc>
          <w:tcPr>
            <w:tcW w:w="6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43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395" w:type="dxa"/>
            <w:tcBorders/>
          </w:tcPr>
          <w:p>
            <w:pPr>
              <w:pStyle w:val="TableContents"/>
              <w:bidi w:val="0"/>
              <w:spacing w:before="0" w:after="0"/>
              <w:jc w:val="left"/>
              <w:rPr>
                <w:rFonts w:ascii="Times New Roman" w:hAnsi="Times New Roman"/>
                <w:sz w:val="20"/>
              </w:rPr>
            </w:pPr>
            <w:r>
              <w:rPr>
                <w:rFonts w:ascii="Times New Roman" w:hAnsi="Times New Roman"/>
                <w:sz w:val="20"/>
              </w:rPr>
              <w:t>Taxes paid</w:t>
            </w:r>
          </w:p>
        </w:tc>
        <w:tc>
          <w:tcPr>
            <w:tcW w:w="43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6395"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43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860</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353</w:t>
            </w:r>
          </w:p>
        </w:tc>
        <w:tc>
          <w:tcPr>
            <w:tcW w:w="64" w:type="dxa"/>
            <w:tcBorders/>
            <w:shd w:fill="CCEEFF" w:val="clear"/>
            <w:vAlign w:val="bottom"/>
          </w:tcPr>
          <w:p>
            <w:pPr>
              <w:pStyle w:val="TableContents"/>
              <w:bidi w:val="0"/>
              <w:spacing w:before="0" w:after="283"/>
              <w:jc w:val="left"/>
              <w:rPr/>
            </w:pPr>
            <w:r>
              <w:rPr/>
              <w:t> </w:t>
            </w:r>
          </w:p>
        </w:tc>
      </w:tr>
      <w:tr>
        <w:trPr/>
        <w:tc>
          <w:tcPr>
            <w:tcW w:w="6395"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95" w:type="dxa"/>
            <w:tcBorders/>
          </w:tcPr>
          <w:p>
            <w:pPr>
              <w:pStyle w:val="TableContents"/>
              <w:bidi w:val="0"/>
              <w:spacing w:before="0" w:after="0"/>
              <w:jc w:val="left"/>
              <w:rPr>
                <w:rFonts w:ascii="Times New Roman" w:hAnsi="Times New Roman"/>
                <w:sz w:val="20"/>
              </w:rPr>
            </w:pPr>
            <w:r>
              <w:rPr>
                <w:rFonts w:ascii="Times New Roman" w:hAnsi="Times New Roman"/>
                <w:sz w:val="20"/>
              </w:rPr>
              <w:t>Non-Cash Investing and Financing Activities</w:t>
            </w:r>
          </w:p>
        </w:tc>
        <w:tc>
          <w:tcPr>
            <w:tcW w:w="43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warrants issued in connection with the 2018 Bridge notes modification</w:t>
            </w:r>
          </w:p>
        </w:tc>
        <w:tc>
          <w:tcPr>
            <w:tcW w:w="43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(731</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395"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95" w:type="dxa"/>
            <w:tcBorders/>
          </w:tcPr>
          <w:p>
            <w:pPr>
              <w:pStyle w:val="TableContents"/>
              <w:bidi w:val="0"/>
              <w:spacing w:before="0" w:after="0"/>
              <w:jc w:val="left"/>
              <w:rPr>
                <w:rFonts w:ascii="Times New Roman" w:hAnsi="Times New Roman"/>
                <w:sz w:val="20"/>
              </w:rPr>
            </w:pPr>
            <w:r>
              <w:rPr>
                <w:rFonts w:ascii="Times New Roman" w:hAnsi="Times New Roman"/>
                <w:sz w:val="20"/>
              </w:rPr>
              <w:t>Forgiveness of PPP Loan</w:t>
            </w:r>
          </w:p>
        </w:tc>
        <w:tc>
          <w:tcPr>
            <w:tcW w:w="43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(1,433</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395"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SOLARIA CORPORATION AND SUBSIDIARIES </w:t>
      </w:r>
    </w:p>
    <w:p>
      <w:pPr>
        <w:pStyle w:val="TextBody"/>
        <w:bidi w:val="0"/>
        <w:spacing w:before="0" w:after="0"/>
        <w:jc w:val="left"/>
        <w:rPr>
          <w:rFonts w:ascii="Times New Roman" w:hAnsi="Times New Roman"/>
          <w:b/>
          <w:sz w:val="20"/>
        </w:rPr>
      </w:pPr>
      <w:bookmarkStart w:id="18" w:name="txa508460_17"/>
      <w:bookmarkEnd w:id="18"/>
      <w:r>
        <w:rPr>
          <w:rFonts w:ascii="Times New Roman" w:hAnsi="Times New Roman"/>
          <w:b/>
          <w:sz w:val="20"/>
        </w:rPr>
        <w:t xml:space="preserve">NOTES TO CONSOLIDATED FINANCIAL STATEMENTS </w:t>
      </w:r>
    </w:p>
    <w:p>
      <w:pPr>
        <w:pStyle w:val="TextBody"/>
        <w:bidi w:val="0"/>
        <w:spacing w:before="0" w:after="0"/>
        <w:jc w:val="left"/>
        <w:rPr>
          <w:rFonts w:ascii="Times New Roman" w:hAnsi="Times New Roman"/>
          <w:b/>
          <w:sz w:val="20"/>
        </w:rPr>
      </w:pPr>
      <w:r>
        <w:rPr>
          <w:rFonts w:ascii="Times New Roman" w:hAnsi="Times New Roman"/>
          <w:b/>
          <w:sz w:val="20"/>
        </w:rPr>
        <w:t xml:space="preserve">AS OF AND FOR THE YEARS ENDED DECEMBER 31, 2021, AND 2020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The Solaria Corporation was incorporated as a Delaware corporation on May 5, 2006. The Solaria Corporation (together with its subsidiaries, the Company or Solaria) designs, develops, manufactures, and generates revenue from the sale of silicon photovoltaic solar panels and licensing of its technology to third parties. The Company operates from its headquarters in Fremont, California. </w:t>
      </w:r>
    </w:p>
    <w:p>
      <w:pPr>
        <w:pStyle w:val="TextBody"/>
        <w:bidi w:val="0"/>
        <w:spacing w:before="120" w:after="0"/>
        <w:jc w:val="left"/>
        <w:rPr>
          <w:rFonts w:ascii="Times New Roman" w:hAnsi="Times New Roman"/>
          <w:sz w:val="20"/>
        </w:rPr>
      </w:pPr>
      <w:r>
        <w:rPr>
          <w:rFonts w:ascii="Times New Roman" w:hAnsi="Times New Roman"/>
          <w:b/>
          <w:sz w:val="20"/>
        </w:rPr>
        <w:t xml:space="preserve">Liquidity and Going Concern </w:t>
      </w:r>
      <w:r>
        <w:rPr>
          <w:rFonts w:ascii="Times New Roman" w:hAnsi="Times New Roman"/>
          <w:sz w:val="20"/>
        </w:rPr>
        <w:t xml:space="preserve"> Since inception, the Company has incurred recurring losses and negative cash flows from operations. The Company incurred net losses of $54.4 million and $23.9 million during the year ended December 31, 2021 and 2020, respectively, and had an accumulated deficit of $287.5 million as of December 31, 2021. The Company had cash and cash equivalents of $9.1 million as of December 31, 2021. Historically, the Companys activities have been financed through private placements of equity securities and debt. The Company expects to incur significant operating expenses as it continues to grow its business. The Company believes that its operating losses and negative operating cash flows will continue into the foreseeable future. The Companys history of recurring losses, negative operating cash flows and the need to raise additional funding to finance its operations raise 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more fully described in Note 17, the Company was acquired by Complete Solar Holding Corporation (Complete Solar) in November 2022 and formed Complete Solaria, Inc. (Complete Solaria). As a result, the Company became a wholly-owned indirect subsidiary of Complete Solaria at that time. Subsequent to the acquisition, the combined company does business as Complete Solaria. The Companys ability to continue as a going concern is dependent on its and Complete Solarias ability to improve profitability and cash flows as well as Complete Solarias ability to raise additional funds through debt and/or equity raises. As discussed in Note 17, Complete Solarias plan is to seek additional funding through completion of a business combination with Freedom Acquisition Corp. (Freedom), a special purpose acquisition corporation (SPAC). At this time, Complete Solaria is focused on completing the business combination, which is subject to approval of the shareholders of both companies, regulatory approval from the Securities and Exchange Commission (SEC) and other customary closing conditions and is limited in its efforts to raise additional capital from secondary sources. </w:t>
      </w:r>
    </w:p>
    <w:p>
      <w:pPr>
        <w:pStyle w:val="TextBody"/>
        <w:bidi w:val="0"/>
        <w:spacing w:before="120" w:after="0"/>
        <w:jc w:val="left"/>
        <w:rPr>
          <w:rFonts w:ascii="Times New Roman" w:hAnsi="Times New Roman"/>
          <w:sz w:val="20"/>
        </w:rPr>
      </w:pPr>
      <w:r>
        <w:rPr>
          <w:rFonts w:ascii="Times New Roman" w:hAnsi="Times New Roman"/>
          <w:sz w:val="20"/>
        </w:rPr>
        <w:t xml:space="preserve">If Complete Solaria fails to complete this business combination, it plans to continue to fund its operations and capital funding needs through a combination of private equity offerings, debt financings and other sources. If Complete Solaria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t>
      </w:r>
    </w:p>
    <w:p>
      <w:pPr>
        <w:pStyle w:val="TextBody"/>
        <w:bidi w:val="0"/>
        <w:spacing w:before="120" w:after="0"/>
        <w:jc w:val="left"/>
        <w:rPr>
          <w:rFonts w:ascii="Times New Roman" w:hAnsi="Times New Roman"/>
          <w:sz w:val="20"/>
        </w:rPr>
      </w:pPr>
      <w:r>
        <w:rPr>
          <w:rFonts w:ascii="Times New Roman" w:hAnsi="Times New Roman"/>
          <w:sz w:val="20"/>
        </w:rPr>
        <w:t xml:space="preserve">While Complete Solaria and Solaria have historically been able to raise multiple rounds of financing, there can be no assurance that in the event additional financing is required, such financing will be available on terms that are favorable, or at all. Failure to generate sufficient cash flows from operations, raise additional capital or reduce certain discretionary spending would have a material adverse effect on the Companys ability to achieve their intended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Therefore, there is substantial doubt about Solarias ability to continue as a going concern within one year after the date that the financial statements are issued. The accompanying financial statements have been prepared assuming Solaria will continue to operate as a going concern, which contemplates the realization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Basis of Presentation  The Companys consolidated financial statements and accompanying notes have been prepared in accordance with accounting principles generally accepted in the United States of America (U.S. GAAP). The consolidated financial statements include the accounts of the Company and its wholly-owned subsidiaries, Solaria Australia Pty. Ltd and TSC PowerHome BVd PLV Inc. All intercompany balances and transactions have been eliminated in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had 52 or 53 week fiscal year that ended on the Sunday nearest to December 31 of each year. Beginning 2020 the Company changed the fiscal year end to calendar year end. </w:t>
      </w:r>
    </w:p>
    <w:p>
      <w:pPr>
        <w:pStyle w:val="TextBody"/>
        <w:bidi w:val="0"/>
        <w:spacing w:before="120" w:after="0"/>
        <w:jc w:val="left"/>
        <w:rPr>
          <w:rFonts w:ascii="Times New Roman" w:hAnsi="Times New Roman"/>
          <w:sz w:val="20"/>
        </w:rPr>
      </w:pPr>
      <w:r>
        <w:rPr>
          <w:rFonts w:ascii="Times New Roman" w:hAnsi="Times New Roman"/>
          <w:b/>
          <w:sz w:val="20"/>
        </w:rPr>
        <w:t xml:space="preserve">Significant Risks and Uncertainties </w:t>
      </w:r>
      <w:r>
        <w:rPr>
          <w:rFonts w:ascii="Times New Roman" w:hAnsi="Times New Roman"/>
          <w:sz w:val="20"/>
        </w:rPr>
        <w:t xml:space="preserve"> The Company is subject to a number of risks that are similar to those which other companies of similar size in its industry are facing, including, but not limited to, the need for successful development of products, the need for additional capital (or financing) to fund operations, competition from substitute products and services from larger companies, ability to develop sales channels and to onboard channel partners, as defined, protection of proprietary technology, patent litigation, dependence on key customers, dependence on key individuals, and risks associated with changes in information technology. </w:t>
      </w:r>
    </w:p>
    <w:p>
      <w:pPr>
        <w:pStyle w:val="TextBody"/>
        <w:bidi w:val="0"/>
        <w:spacing w:before="120" w:after="0"/>
        <w:jc w:val="left"/>
        <w:rPr>
          <w:rFonts w:ascii="Times New Roman" w:hAnsi="Times New Roman"/>
          <w:sz w:val="20"/>
        </w:rPr>
      </w:pPr>
      <w:r>
        <w:rPr>
          <w:rFonts w:ascii="Times New Roman" w:hAnsi="Times New Roman"/>
          <w:sz w:val="20"/>
        </w:rPr>
        <w:t xml:space="preserve">In March 2020, the World Health Organization declared the outbreak of a novel corona virus as a pandemic. The pandemic has reached every region of the world and has resulted in widespread impacts on the global economy. In response, the Company has modified certain business and workforce practices (including discontinuing non-essential business travel, implementing a temporary work-from-home policy for employees who can execute their work remotely and encouraging employees to adhere to local and regional social distancing guidelines, more stringent hygiene and cleaning protocols across the Companys facilities and operations and self-quarantining recommendations) to conform to restrictions and best practices encouraged by governmental and regulatory authorities. </w:t>
      </w:r>
    </w:p>
    <w:p>
      <w:pPr>
        <w:pStyle w:val="TextBody"/>
        <w:bidi w:val="0"/>
        <w:spacing w:before="120" w:after="0"/>
        <w:jc w:val="left"/>
        <w:rPr>
          <w:rFonts w:ascii="Times New Roman" w:hAnsi="Times New Roman"/>
          <w:sz w:val="20"/>
        </w:rPr>
      </w:pPr>
      <w:r>
        <w:rPr>
          <w:rFonts w:ascii="Times New Roman" w:hAnsi="Times New Roman"/>
          <w:sz w:val="20"/>
        </w:rPr>
        <w:t xml:space="preserve">The quarantine of personnel or the inability to access the Companys facilities or customer sites could adversely affect the Companys operations. As of the date of this report, the Companys efforts to respond to the challenges presented by the conditions described above have allowed the Company to minimize the impacts of these challenges to its business. </w:t>
      </w:r>
    </w:p>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The preparation of financial statements in accordance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Such estimates include warranty cost, allowances for doubtful accounts, determination of the net realizable value of inventory, determination of the useful lives of property and equipment, assessment of the recoverability and fair values of property and equipment, valuation of deferred tax assets and liabilities, estimation of other accruals and reserves, determination of the fair value of debt, redeemable convertible preferred stock, common stock, simple agreements for future equity, stock option and restricted stock grants, and redeemable convertible preferred stock and common stock warrants. Management evaluates its estimates and assumptions on an ongoing basis using historical trends, market pricing, current events and other relevant assumptions and data points. Actual results could differ from those estimates and such differences may be material to the consolidated financial statements. </w:t>
      </w:r>
    </w:p>
    <w:p>
      <w:pPr>
        <w:pStyle w:val="TextBody"/>
        <w:bidi w:val="0"/>
        <w:spacing w:before="120" w:after="0"/>
        <w:jc w:val="left"/>
        <w:rPr>
          <w:rFonts w:ascii="Times New Roman" w:hAnsi="Times New Roman"/>
          <w:sz w:val="20"/>
        </w:rPr>
      </w:pPr>
      <w:r>
        <w:rPr>
          <w:rFonts w:ascii="Times New Roman" w:hAnsi="Times New Roman"/>
          <w:b/>
          <w:sz w:val="20"/>
        </w:rPr>
        <w:t>Foreign Currency</w:t>
      </w:r>
      <w:r>
        <w:rPr>
          <w:rFonts w:ascii="Times New Roman" w:hAnsi="Times New Roman"/>
          <w:sz w:val="20"/>
        </w:rPr>
        <w:t xml:space="preserve">The Companys reporting currency is the US dollar. The functional currency for each of the Companys foreign subsidiaries is the local currency, as it is the monetary unit of account of the principal economic environments in which the Companys foreign subsidiaries operate. Assets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liabilities of the foreign subsidiaries are translated at the current exchange rate as of the end of the period, and revenue and expenses are translated at the average exchange rates in effect during the period. The gain or loss resulting from the process of translating foreign currency financial statements into US dollar financial statements is accounted for as a foreign currency cumulative translation adjustment and is reported as a component of accumulated other comprehensive loss. Foreign currency transaction gains and losses resulting from transactions denominated in a currency other than the functional currency are recognized in Other Income (expense), net in the Consolidated Statements of Operations and Comprehensive Loss. </w:t>
      </w:r>
    </w:p>
    <w:p>
      <w:pPr>
        <w:pStyle w:val="TextBody"/>
        <w:bidi w:val="0"/>
        <w:spacing w:before="120" w:after="0"/>
        <w:jc w:val="left"/>
        <w:rPr>
          <w:rFonts w:ascii="Times New Roman" w:hAnsi="Times New Roman"/>
          <w:sz w:val="20"/>
        </w:rPr>
      </w:pPr>
      <w:r>
        <w:rPr>
          <w:rFonts w:ascii="Times New Roman" w:hAnsi="Times New Roman"/>
          <w:b/>
          <w:sz w:val="20"/>
        </w:rPr>
        <w:t>Comprehensive Loss</w:t>
      </w:r>
      <w:r>
        <w:rPr>
          <w:rFonts w:ascii="Times New Roman" w:hAnsi="Times New Roman"/>
          <w:sz w:val="20"/>
        </w:rPr>
        <w:t xml:space="preserve">Comprehensive loss consists of two components, net loss and other comprehensive income (loss), net. Other comprehensive income (loss), net is defined as revenue, expenses, gains, and losses that under US GAAP are recorded as an element of stockholders deficit but are excluded from net loss. The Companys other comprehensive loss consists of foreign currency translation adjustments that result from the consolidation of its foreign entities and is reported net of tax effects. </w:t>
      </w:r>
    </w:p>
    <w:p>
      <w:pPr>
        <w:pStyle w:val="TextBody"/>
        <w:bidi w:val="0"/>
        <w:spacing w:before="12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 The Company considers all highly liquid investments with an original maturity of three months or less at the time of purchase to be cash equivalents. Cash equivalents are recorded at cost, which approximates fair value. As of December 31, 2021 and 2020, cash and cash equivalents consist primarily of checking and savings deposits. </w:t>
      </w:r>
    </w:p>
    <w:p>
      <w:pPr>
        <w:pStyle w:val="TextBody"/>
        <w:bidi w:val="0"/>
        <w:spacing w:before="120" w:after="0"/>
        <w:jc w:val="left"/>
        <w:rPr>
          <w:rFonts w:ascii="Times New Roman" w:hAnsi="Times New Roman"/>
          <w:sz w:val="20"/>
        </w:rPr>
      </w:pPr>
      <w:r>
        <w:rPr>
          <w:rFonts w:ascii="Times New Roman" w:hAnsi="Times New Roman"/>
          <w:b/>
          <w:sz w:val="20"/>
        </w:rPr>
        <w:t>Restricted Cash</w:t>
      </w:r>
      <w:r>
        <w:rPr>
          <w:rFonts w:ascii="Times New Roman" w:hAnsi="Times New Roman"/>
          <w:sz w:val="20"/>
        </w:rPr>
        <w:t xml:space="preserve"> The Company classifies all cash for which usage is limited by contractual provisions as restricted cash. Restricted cash consists of $4.8 million and $3.7 million deposited in money market account, which is used as cash collateral backing letters of credit related to customs duty authorities requirements as of December 31, 2021 and 2020, respectively. The Company has presented these balances under noncurrent assets in the consolidated balance sheets. </w:t>
      </w:r>
    </w:p>
    <w:p>
      <w:pPr>
        <w:pStyle w:val="TextBody"/>
        <w:bidi w:val="0"/>
        <w:spacing w:before="120" w:after="0"/>
        <w:jc w:val="left"/>
        <w:rPr>
          <w:rFonts w:ascii="Times New Roman" w:hAnsi="Times New Roman"/>
          <w:sz w:val="20"/>
        </w:rPr>
      </w:pPr>
      <w:r>
        <w:rPr>
          <w:rFonts w:ascii="Times New Roman" w:hAnsi="Times New Roman"/>
          <w:sz w:val="20"/>
        </w:rPr>
        <w:t xml:space="preserve">Total cash, cash equivalents and restricted cash is presented in the table below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52"/>
        <w:gridCol w:w="314"/>
        <w:gridCol w:w="140"/>
        <w:gridCol w:w="685"/>
        <w:gridCol w:w="60"/>
        <w:gridCol w:w="314"/>
        <w:gridCol w:w="140"/>
        <w:gridCol w:w="685"/>
        <w:gridCol w:w="65"/>
      </w:tblGrid>
      <w:tr>
        <w:trPr/>
        <w:tc>
          <w:tcPr>
            <w:tcW w:w="5352"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52"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5352"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5" w:type="dxa"/>
            <w:tcBorders/>
            <w:vAlign w:val="bottom"/>
          </w:tcPr>
          <w:p>
            <w:pPr>
              <w:pStyle w:val="TableContents"/>
              <w:bidi w:val="0"/>
              <w:spacing w:before="0" w:after="283"/>
              <w:jc w:val="left"/>
              <w:rPr/>
            </w:pPr>
            <w:r>
              <w:rPr/>
              <w:t> </w:t>
            </w:r>
          </w:p>
        </w:tc>
      </w:tr>
      <w:tr>
        <w:trPr/>
        <w:tc>
          <w:tcPr>
            <w:tcW w:w="5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9,113</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9,802</w:t>
            </w:r>
          </w:p>
        </w:tc>
        <w:tc>
          <w:tcPr>
            <w:tcW w:w="65" w:type="dxa"/>
            <w:tcBorders/>
            <w:shd w:fill="CCEEFF" w:val="clear"/>
            <w:vAlign w:val="bottom"/>
          </w:tcPr>
          <w:p>
            <w:pPr>
              <w:pStyle w:val="TableContents"/>
              <w:bidi w:val="0"/>
              <w:spacing w:before="0" w:after="283"/>
              <w:jc w:val="left"/>
              <w:rPr/>
            </w:pPr>
            <w:r>
              <w:rPr/>
              <w:t> </w:t>
            </w:r>
          </w:p>
        </w:tc>
      </w:tr>
      <w:tr>
        <w:trPr/>
        <w:tc>
          <w:tcPr>
            <w:tcW w:w="535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4,802</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3,747</w:t>
            </w:r>
          </w:p>
        </w:tc>
        <w:tc>
          <w:tcPr>
            <w:tcW w:w="65" w:type="dxa"/>
            <w:tcBorders/>
            <w:vAlign w:val="bottom"/>
          </w:tcPr>
          <w:p>
            <w:pPr>
              <w:pStyle w:val="TableContents"/>
              <w:bidi w:val="0"/>
              <w:spacing w:before="0" w:after="283"/>
              <w:jc w:val="left"/>
              <w:rPr/>
            </w:pPr>
            <w:r>
              <w:rPr/>
              <w:t> </w:t>
            </w:r>
          </w:p>
        </w:tc>
      </w:tr>
      <w:tr>
        <w:trPr/>
        <w:tc>
          <w:tcPr>
            <w:tcW w:w="5352"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13,915</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13,549</w:t>
            </w:r>
          </w:p>
        </w:tc>
        <w:tc>
          <w:tcPr>
            <w:tcW w:w="65" w:type="dxa"/>
            <w:tcBorders/>
            <w:shd w:fill="CCEEFF" w:val="clear"/>
            <w:vAlign w:val="bottom"/>
          </w:tcPr>
          <w:p>
            <w:pPr>
              <w:pStyle w:val="TableContents"/>
              <w:bidi w:val="0"/>
              <w:spacing w:before="0" w:after="283"/>
              <w:jc w:val="left"/>
              <w:rPr/>
            </w:pPr>
            <w:r>
              <w:rPr/>
              <w:t> </w:t>
            </w:r>
          </w:p>
        </w:tc>
      </w:tr>
      <w:tr>
        <w:trPr/>
        <w:tc>
          <w:tcPr>
            <w:tcW w:w="5352"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b/>
          <w:sz w:val="20"/>
        </w:rPr>
        <w:t>Accounts Receivable, net</w:t>
      </w:r>
      <w:r>
        <w:rPr>
          <w:rFonts w:ascii="Times New Roman" w:hAnsi="Times New Roman"/>
          <w:sz w:val="20"/>
        </w:rPr>
        <w:t xml:space="preserve"> Accounts receivable are recorded at invoiced amounts less allowances for bad debts that management believes will be adequate to absorb estimated losses on existing balances, or net realizable value. On a periodic basis, management evaluates accounts receivable and determines whether to record an allowance, or whether any account balances should be written off based on past history of write-offs, collections, and current credit conditions. A receivable is considered past due if the Company has not received payments based on agreed-upon payment terms. The Company generally does not require any security or collateral to support its accounts receivable. For the year ended December 31, 2021, accounts receivable write-offs and bad debt expense were zero. For the year ended December 31, 2020 accounts receivable write-offs were $0.1 million and bad debt expense was $0.2 million, respectively. As of December 31, 2021 and 2020, the allowance for doubtful accounts was $0.6 million. The Company did not record any impairment losses on accounts receivable in fiscal years 2020 and 2021. </w:t>
      </w:r>
    </w:p>
    <w:p>
      <w:pPr>
        <w:pStyle w:val="TextBody"/>
        <w:bidi w:val="0"/>
        <w:spacing w:before="120" w:after="0"/>
        <w:jc w:val="left"/>
        <w:rPr>
          <w:rFonts w:ascii="Times New Roman" w:hAnsi="Times New Roman"/>
          <w:sz w:val="20"/>
        </w:rPr>
      </w:pPr>
      <w:r>
        <w:rPr>
          <w:rFonts w:ascii="Times New Roman" w:hAnsi="Times New Roman"/>
          <w:b/>
          <w:sz w:val="20"/>
        </w:rPr>
        <w:t>Simple Agreement for Future Equity notes</w:t>
      </w:r>
      <w:r>
        <w:rPr>
          <w:rFonts w:ascii="Times New Roman" w:hAnsi="Times New Roman"/>
          <w:sz w:val="20"/>
        </w:rPr>
        <w:t xml:space="preserve"> The Companys Simple Agreement for Future Equity notes (SAFE) are financial instruments whereby an investor provides an investment into the Company, and the note is subsequently converted into a preferred equity security at a discount to the price paid by other investors when and if preferred equity is issued through a qualifying capital raise. The SAFE notes are classified as liabilities as of December 31, 2021 and 2020 and key terms of such notes are described in Note 7. </w:t>
      </w:r>
    </w:p>
    <w:p>
      <w:pPr>
        <w:pStyle w:val="TextBody"/>
        <w:bidi w:val="0"/>
        <w:spacing w:before="120" w:after="0"/>
        <w:jc w:val="left"/>
        <w:rPr>
          <w:rFonts w:ascii="Times New Roman" w:hAnsi="Times New Roman"/>
          <w:sz w:val="20"/>
        </w:rPr>
      </w:pPr>
      <w:r>
        <w:rPr>
          <w:rFonts w:ascii="Times New Roman" w:hAnsi="Times New Roman"/>
          <w:sz w:val="20"/>
        </w:rPr>
        <w:t xml:space="preserve">The Company elected the fair value option for SAFE financial instruments, which requires these to be remeasured to fair value each reporting period with changes in fair value recorded in Other Income (expense), net in the Consolidated Statements of Operations and Other Comprehensive Loss, except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changes in fair value that result from a change in the instrument specific credit risk which are presented separately within other comprehensive income (loss). The fair value estimate includes significant inputs not observable in the market, which represent a Level 3 measurement within the fair value hierarchy. The decision to elect the fair value option is made on an instrument-by-instrument basis on the date the instrument is initially recognized, is applied to the entire instrument, and is irrevocable once elected. As a result of applying the fair value option, direct costs and fees related to issuance of SAFE were expensed as incurred. </w:t>
      </w:r>
    </w:p>
    <w:p>
      <w:pPr>
        <w:pStyle w:val="TextBody"/>
        <w:bidi w:val="0"/>
        <w:spacing w:before="120" w:after="0"/>
        <w:jc w:val="left"/>
        <w:rPr>
          <w:rFonts w:ascii="Times New Roman" w:hAnsi="Times New Roman"/>
          <w:sz w:val="20"/>
        </w:rPr>
      </w:pPr>
      <w:r>
        <w:rPr>
          <w:rFonts w:ascii="Times New Roman" w:hAnsi="Times New Roman"/>
          <w:sz w:val="20"/>
        </w:rPr>
        <w:t xml:space="preserve">As more fully described in Note 17, post consummation of the merger in November 2022, all SAFE notes were assumed by Complete Solar. </w:t>
      </w:r>
    </w:p>
    <w:p>
      <w:pPr>
        <w:pStyle w:val="TextBody"/>
        <w:bidi w:val="0"/>
        <w:spacing w:before="120" w:after="0"/>
        <w:jc w:val="left"/>
        <w:rPr>
          <w:rFonts w:ascii="Times New Roman" w:hAnsi="Times New Roman"/>
          <w:sz w:val="20"/>
        </w:rPr>
      </w:pPr>
      <w:r>
        <w:rPr>
          <w:rFonts w:ascii="Times New Roman" w:hAnsi="Times New Roman"/>
          <w:b/>
          <w:sz w:val="20"/>
        </w:rPr>
        <w:t>Fair Value Measurements</w:t>
      </w:r>
      <w:r>
        <w:rPr>
          <w:rFonts w:ascii="Times New Roman" w:hAnsi="Times New Roman"/>
          <w:sz w:val="20"/>
        </w:rPr>
        <w:t xml:space="preserve"> As more fully described in Note 7, the Company follows ASC 820, Fair Value Measurements, which establishes a common definition of fair value to be applied when U.S. GAAP requires the use of fair value, establishes a framework for measuring fair value, and requires certain disclosure about such fair value measurements. Valuation techniques used to measure fair value maximize the use of observable inputs and minimize the use of unobservable inputs. Fair value accounting is applied to all assets and liabilities and nonfinancial assets and liabilities that are recognized or disclosed at fair value in the consolidated financial statements on a recurring basis (at least annually). Fair value is defined as the exchange price that would be received for an asset or the exit price that would be paid to transfer a liability in the principal or most advantageous market for the asset or liability in an orderly transaction between market participants on the measurement date. </w:t>
      </w:r>
    </w:p>
    <w:p>
      <w:pPr>
        <w:pStyle w:val="TextBody"/>
        <w:bidi w:val="0"/>
        <w:spacing w:before="120" w:after="0"/>
        <w:jc w:val="left"/>
        <w:rPr>
          <w:rFonts w:ascii="Times New Roman" w:hAnsi="Times New Roman"/>
          <w:sz w:val="20"/>
        </w:rPr>
      </w:pPr>
      <w:r>
        <w:rPr>
          <w:rFonts w:ascii="Times New Roman" w:hAnsi="Times New Roman"/>
          <w:b/>
          <w:sz w:val="20"/>
        </w:rPr>
        <w:t>Concentration of Credit Risk</w:t>
      </w:r>
      <w:r>
        <w:rPr>
          <w:rFonts w:ascii="Times New Roman" w:hAnsi="Times New Roman"/>
          <w:sz w:val="20"/>
        </w:rPr>
        <w:t xml:space="preserve"> Financial instruments that potentially subject the Company to concentration of credit risk consist of cash and cash equivalents and accounts receivable. Concentration risk for cash and cash equivalents is mitigated by banking with a creditworthy financial institution. At times, cash deposits have exceeded the federally insurable limit; however, the Company has not experienced any losses on its cash deposits and cash equivalents since inception. The Company generally does not require collateral or other security to support its accounts receivable. Credit is extended to customers based on an evaluation of their financial condition and other factors. The Company performs ongoing credit evaluations of its customers and maintains an allowance for doubtful accounts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had one major customer for the years ended December 31, 2021, and 2020, respectively. Major customers are defined as customers generating revenue greater than 10% of the Companys revenue. Revenue from the major customer accounted for 69% and 58% of revenue for the years ended December 31, 2021, and 2020, respectively. Accounts receivable from the major customer totaled $3.6 million and $9.2 million as of December 31, 2021, and 2020, respectively.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2021, three suppliers represented 56% of the Companys inventory purchases. For the year ended December 31, 2020, three suppliers represented 41% of the Companys inventory purchases. </w:t>
      </w:r>
    </w:p>
    <w:p>
      <w:pPr>
        <w:pStyle w:val="TextBody"/>
        <w:bidi w:val="0"/>
        <w:spacing w:before="120" w:after="0"/>
        <w:jc w:val="left"/>
        <w:rPr>
          <w:rFonts w:ascii="Times New Roman" w:hAnsi="Times New Roman"/>
          <w:sz w:val="20"/>
        </w:rPr>
      </w:pPr>
      <w:r>
        <w:rPr>
          <w:rFonts w:ascii="Times New Roman" w:hAnsi="Times New Roman"/>
          <w:b/>
          <w:sz w:val="20"/>
        </w:rPr>
        <w:t>Inventory, net</w:t>
      </w:r>
      <w:r>
        <w:rPr>
          <w:rFonts w:ascii="Times New Roman" w:hAnsi="Times New Roman"/>
          <w:sz w:val="20"/>
        </w:rPr>
        <w:t xml:space="preserve"> Inventory, net consist of raw materials, work-in-progress, and finished goods, stated at the lower of actual cost (which approximates first-in, first-out basis) or net realizable value. The determination of net realizable value involves numerous judgments, including estimated future demand and selling prices. Inventory that is obsolete, in excess of the Companys forecasted demand or is anticipated to be sold at a loss is written down to its estimated realizable value based on product life cycle, development plans, expected demand or quality issues. </w:t>
      </w:r>
    </w:p>
    <w:p>
      <w:pPr>
        <w:pStyle w:val="TextBody"/>
        <w:bidi w:val="0"/>
        <w:spacing w:before="120" w:after="0"/>
        <w:jc w:val="left"/>
        <w:rPr>
          <w:rFonts w:ascii="Times New Roman" w:hAnsi="Times New Roman"/>
          <w:sz w:val="20"/>
        </w:rPr>
      </w:pPr>
      <w:r>
        <w:rPr>
          <w:rFonts w:ascii="Times New Roman" w:hAnsi="Times New Roman"/>
          <w:b/>
          <w:sz w:val="20"/>
        </w:rPr>
        <w:t>Property and Equipment, net</w:t>
      </w:r>
      <w:r>
        <w:rPr>
          <w:rFonts w:ascii="Times New Roman" w:hAnsi="Times New Roman"/>
          <w:sz w:val="20"/>
        </w:rPr>
        <w:t xml:space="preserve"> Property and equipment, net is stated at cost and depreciated on a straight-line basis over the assets estimated useful lives. Equipment purchased but not yet placed into service is classified as construction in progress and is not depreciated until it is placed in service. Upon retirement or sale, costs and related accumulated depreciation are removed from the balance sheets and the resulting gain or loss is included in operating expense in the Consolidated Statements of Operations and Comprehensive Loss. Maintenance and repairs costs are charged to operations as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Depreciation is calculated on a straight-line basis over the estimated useful lives of those assets, ranging from three years to five years. Leasehold improvements are amortized over the shorter of the estimated useful life of the asset or the remaining lease term. </w:t>
      </w:r>
    </w:p>
    <w:p>
      <w:pPr>
        <w:pStyle w:val="TextBody"/>
        <w:bidi w:val="0"/>
        <w:spacing w:before="120" w:after="0"/>
        <w:jc w:val="left"/>
        <w:rPr>
          <w:rFonts w:ascii="Times New Roman" w:hAnsi="Times New Roman"/>
          <w:sz w:val="20"/>
        </w:rPr>
      </w:pPr>
      <w:r>
        <w:rPr>
          <w:rFonts w:ascii="Times New Roman" w:hAnsi="Times New Roman"/>
          <w:b/>
          <w:sz w:val="20"/>
        </w:rPr>
        <w:t>Investment in Privately Held Company</w:t>
      </w:r>
      <w:r>
        <w:rPr>
          <w:rFonts w:ascii="Times New Roman" w:hAnsi="Times New Roman"/>
          <w:sz w:val="20"/>
        </w:rPr>
        <w:t xml:space="preserve"> In June 2015, the Company invested $0.3 million in a privately held company and accounted for such investment using the cost method. As of December 31, 2020, this investment is included in other noncurrent assets in the consolidated Balance Sheet. The Company monitors the investment for impairment and makes appropriate reductions in carrying value if the Company determines that an impairment charge is required based primarily on the financial condition and near-term prospects of the investee. In December 2021, the Company determined the investment carrying value to be fully impaired and recorded a $0.3 million expense to Other Income (expense), net in the Consolidated Statements of Operations and Comprehensive Loss. </w:t>
      </w:r>
    </w:p>
    <w:p>
      <w:pPr>
        <w:pStyle w:val="TextBody"/>
        <w:bidi w:val="0"/>
        <w:spacing w:before="120" w:after="0"/>
        <w:jc w:val="left"/>
        <w:rPr>
          <w:rFonts w:ascii="Times New Roman" w:hAnsi="Times New Roman"/>
          <w:sz w:val="20"/>
        </w:rPr>
      </w:pPr>
      <w:r>
        <w:rPr>
          <w:rFonts w:ascii="Times New Roman" w:hAnsi="Times New Roman"/>
          <w:b/>
          <w:sz w:val="20"/>
        </w:rPr>
        <w:t>Impairment of Long-Lived Assets</w:t>
      </w:r>
      <w:r>
        <w:rPr>
          <w:rFonts w:ascii="Times New Roman" w:hAnsi="Times New Roman"/>
          <w:sz w:val="20"/>
        </w:rPr>
        <w:t xml:space="preserve"> The Company periodically evaluates the carrying value of long-lived assets to be held and used when indicators of impairment exist. The carrying value of a long-lived asset to be held and used is considered impaired when the estimated separately identifiable undiscounted cash flows expected to result from the use of the asset and its eventual disposition are less than the carrying value of the asset. In that event, a loss is recognized based on the amount by which the carrying value exceeds the fair value of the long-lived asset. Fair value is determined primarily using the estimated cash flows discounted at a rate commensurate with the risk involved. As discussed in Note 3, in December 2021, the Company recorded a write-down of assets associated with its Solar Park contract manufacturer in Korea. Equipment with a net carrying value of $4.2 million was fully written off as part of the Solar Park write-down. In addition, as discussed in Note 5, in March of 2020, the Company recorded an impairment charge of $0.4 million related to the abandonment of certain manufacturing equipment which was no longer expected to be completed. No other significant impairment charges have been recorded in the periods presented. </w:t>
      </w:r>
    </w:p>
    <w:p>
      <w:pPr>
        <w:pStyle w:val="TextBody"/>
        <w:bidi w:val="0"/>
        <w:spacing w:before="120" w:after="0"/>
        <w:jc w:val="left"/>
        <w:rPr>
          <w:rFonts w:ascii="Times New Roman" w:hAnsi="Times New Roman"/>
          <w:sz w:val="20"/>
        </w:rPr>
      </w:pPr>
      <w:r>
        <w:rPr>
          <w:rFonts w:ascii="Times New Roman" w:hAnsi="Times New Roman"/>
          <w:b/>
          <w:sz w:val="20"/>
        </w:rPr>
        <w:t>Commitments and Contingencies</w:t>
      </w:r>
      <w:r>
        <w:rPr>
          <w:rFonts w:ascii="Times New Roman" w:hAnsi="Times New Roman"/>
          <w:sz w:val="20"/>
        </w:rPr>
        <w:t xml:space="preserve"> The Company is and may become involved in various legal proceedings arising from its business activities. While management is not aware of any litigation matter that in and of itself would have a material adverse impact on the Companys consolidated results of operations, cash flows or financial position, litigation is inherently unpredictable, and depending on the nature and timing of a proceeding, an unfavorable resolution could materially affect the Companys future consolidated results of operations, cash flows or financial position in a particular period. The Company assesses contingencies to determine the degree of probability and range of possible loss for potential accrual or disclosure in the Companys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the Company may be unsupported, exaggerated or unrelated to reasonably possible outcomes, and as such are not meaningful indicators of the Companys potential liability. </w:t>
      </w:r>
    </w:p>
    <w:p>
      <w:pPr>
        <w:pStyle w:val="TextBody"/>
        <w:bidi w:val="0"/>
        <w:spacing w:before="120" w:after="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 In May 2014, the Financial Accounting Standards Board (FASB) issued new accounting guidance, Accounting Standards Codification (ASC) 606, Revenue from Contracts with Customers that supersedes nearly all U.S. GAAP on revenue recognition and eliminates legacy industry-specific guidance. Since its issuance, the FASB has issued several amendments to ASC 606. The Company adopted ASC 606 on January 1, 2018, using the modified retrospective method.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the following five steps in order to determine the appropriate amount of revenue to be recognized as it fulfills its obligations under each of its arrangements with customers: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contract with a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performance obligations in the contract;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transaction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Allocate the transaction price to the performance obligations in the contract;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revenue as performance obligations are satisfied.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ASC 606 provides a unified model in determining when and how revenue is recognized with the core principle that revenue should be recognized when a customer obtains control of the promised goods or services in an amount that reflects the consideration to which the entity expects to be entitled in exchange for those goods or services. The Company generates revenues from the sale of silicon photovoltaic solar panels and licensing of the Companys technology to third parties.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contracts with customers under non-cancellable arrangements. While customers, including distributors, may cancel master purchase agreements for convenience at any time, customers may not cancel or modify purchase orders placed under the terms of such master purchase agreements after 4 weeks from the scheduled delivery date. Each purchase order is therefore a contract with the customer, i.e., the purchase of a quantity of any given, single product; further, purchase orders do not commit the customer to purchase any further volumes over time. Contract modifications do not carry revenue recognition implications as no revenue is recognized until control over products, or intellectual property, as applicable, has transferred to the customer.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contracts with customers consist of a single performance obligation as the Company has no practice of selling products and licensing its intellectual property under the same arrangement. Products and licensed intellectual property are distinct performance obligations. Customers can benefit from the panels and intellectual property on their own  the panels and intellectual property can be used on their own, and the panels do not require integration with other offerings, do not modify or customize (or are being modified or customized by) other offerings, and are not highly interrelated or interdependent with other offerings. Similarly, no purchase of panels is required for the customer to be able to use the intellectual property as intended, and updates, if any, to the intellectual property being licensed are not critical to the customers ability to derive the intended benefits from such licensing arrangement over the licensing term. The Company does not offer extended warranty for customers to purchase, nor does the Company sell any services related to the panels. Further, while customers do have the option to purchase additional quantities of any given products, such options do not grant material rights to the customer as all such options are priced similarly to the upfront transaction and the pricing of each purchase order is highly variable.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determined based on the total consideration specified in the contract, including variable consideration. Variable consideration consists of a variety of incentives, such as volume-based rebates and price protection. The Company uses the expected-value method to estimate variable consideration, which results in a reduction of the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The pricing of each purchase order is separately negotiated and is reflective of managements pricing objectives in agreeing to honor such purchase order once agreed to. No reallocation of the transaction price is generally required as contracts with customers typically include a single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from sales of products as control is transferred to the customer, generally upon delivery to the customers premises as customers do not have rights of return and the Company does not have significant obligations post shipment. In instances where the price of a licensing arrangement is fixed at arrangement inception, license revenue is recognized at the time control over the related intellectual property has transferred to the customer. In instances where the pricing of a licensing arrangement is royalty-based, revenue is recognized based on estimates of the licensees estimated use of the licensed intellectual property in the period of reference, with a true up being recorded as actual use becomes known based on royalty reports received from the licensee.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net of sales taxes charged to customers. The Company accounts for shipping and handling costs as fulfillment costs. </w:t>
      </w:r>
    </w:p>
    <w:p>
      <w:pPr>
        <w:pStyle w:val="TextBody"/>
        <w:bidi w:val="0"/>
        <w:spacing w:before="120" w:after="0"/>
        <w:jc w:val="left"/>
        <w:rPr>
          <w:rFonts w:ascii="Times New Roman" w:hAnsi="Times New Roman"/>
          <w:sz w:val="20"/>
        </w:rPr>
      </w:pPr>
      <w:r>
        <w:rPr>
          <w:rFonts w:ascii="Times New Roman" w:hAnsi="Times New Roman"/>
          <w:b/>
          <w:sz w:val="20"/>
        </w:rPr>
        <w:t>Capitalized Contract Acquisition Costs and Fulfillment Cost</w:t>
      </w:r>
      <w:r>
        <w:rPr>
          <w:rFonts w:ascii="Times New Roman" w:hAnsi="Times New Roman"/>
          <w:sz w:val="20"/>
        </w:rPr>
        <w:t xml:space="preserve"> Contract acquisition costs primarily consist of commissions that the Company incurs to obtain a contract with a customer. These costs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incremental (i.e., no commissions are due and payable unless a contract is entered into with a customer) and recoverable. However, as the period from fulfillment of the performance obligation to rights to payment does not exceed a year, commission, costs, as permitted by the practical expedient, are expensed upon control of the product transferring to the customer, generally upon delivery because based on the above, these costs do not benefit future periods. </w:t>
      </w:r>
    </w:p>
    <w:p>
      <w:pPr>
        <w:pStyle w:val="TextBody"/>
        <w:bidi w:val="0"/>
        <w:spacing w:before="120" w:after="0"/>
        <w:jc w:val="left"/>
        <w:rPr>
          <w:rFonts w:ascii="Times New Roman" w:hAnsi="Times New Roman"/>
          <w:sz w:val="20"/>
        </w:rPr>
      </w:pPr>
      <w:r>
        <w:rPr>
          <w:rFonts w:ascii="Times New Roman" w:hAnsi="Times New Roman"/>
          <w:b/>
          <w:sz w:val="20"/>
        </w:rPr>
        <w:t>Cost of Revenue</w:t>
      </w:r>
      <w:r>
        <w:rPr>
          <w:rFonts w:ascii="Times New Roman" w:hAnsi="Times New Roman"/>
          <w:i/>
          <w:sz w:val="20"/>
        </w:rPr>
        <w:t xml:space="preserve"> </w:t>
      </w:r>
      <w:r>
        <w:rPr>
          <w:rFonts w:ascii="Times New Roman" w:hAnsi="Times New Roman"/>
          <w:sz w:val="20"/>
        </w:rPr>
        <w:t xml:space="preserve">Cost of revenue consists primarily of direct production costs, including labor, materials, and subcontractor costs, indirect labor and overhead costs related to manufacturing activities; depreciation of production equipment, and allocated facilities costs. </w:t>
      </w:r>
    </w:p>
    <w:p>
      <w:pPr>
        <w:pStyle w:val="TextBody"/>
        <w:bidi w:val="0"/>
        <w:spacing w:before="120" w:after="0"/>
        <w:jc w:val="left"/>
        <w:rPr>
          <w:rFonts w:ascii="Times New Roman" w:hAnsi="Times New Roman"/>
          <w:sz w:val="20"/>
        </w:rPr>
      </w:pPr>
      <w:r>
        <w:rPr>
          <w:rFonts w:ascii="Times New Roman" w:hAnsi="Times New Roman"/>
          <w:b/>
          <w:sz w:val="20"/>
        </w:rPr>
        <w:t>Shipping and Handling</w:t>
      </w:r>
      <w:r>
        <w:rPr>
          <w:rFonts w:ascii="Times New Roman" w:hAnsi="Times New Roman"/>
          <w:i/>
          <w:sz w:val="20"/>
        </w:rPr>
        <w:t xml:space="preserve"> </w:t>
      </w:r>
      <w:r>
        <w:rPr>
          <w:rFonts w:ascii="Times New Roman" w:hAnsi="Times New Roman"/>
          <w:sz w:val="20"/>
        </w:rPr>
        <w:t xml:space="preserve">The Company considers shipping and handling to represent activities performed in fulfilling the contract with the customer. When shipping is charged to the customer, the Company nets such charges against actual shipping costs incurred. Taxes imposed by governmental authorities on the Companys revenue producing activities, such as sales taxes, are excluded from net sales. </w:t>
      </w:r>
    </w:p>
    <w:p>
      <w:pPr>
        <w:pStyle w:val="TextBody"/>
        <w:bidi w:val="0"/>
        <w:spacing w:before="120" w:after="0"/>
        <w:jc w:val="left"/>
        <w:rPr>
          <w:rFonts w:ascii="Times New Roman" w:hAnsi="Times New Roman"/>
          <w:sz w:val="20"/>
        </w:rPr>
      </w:pPr>
      <w:r>
        <w:rPr>
          <w:rFonts w:ascii="Times New Roman" w:hAnsi="Times New Roman"/>
          <w:b/>
          <w:sz w:val="20"/>
        </w:rPr>
        <w:t>Warranty Cost</w:t>
      </w:r>
      <w:r>
        <w:rPr>
          <w:rFonts w:ascii="Times New Roman" w:hAnsi="Times New Roman"/>
          <w:i/>
          <w:sz w:val="20"/>
        </w:rPr>
        <w:t xml:space="preserve"> </w:t>
      </w:r>
      <w:r>
        <w:rPr>
          <w:rFonts w:ascii="Times New Roman" w:hAnsi="Times New Roman"/>
          <w:sz w:val="20"/>
        </w:rPr>
        <w:t xml:space="preserve">The Company warrants that its products will operate substantially in conformity with published product specifications, generally for a period of twenty-five years. The Company does not sell extended warranty coverage. The warranties provide the purchaser with protection in the event of defect or failure to perform as warranted. In fiscal year 2020, the Company changed its warranty accrual calculation methodology from a revenue-based methodology to a cost of goods sold-based methodology. Management concluded that the impact of such change in the period of change and in all periods prior to such change was de minimis and therefore reflected the impact of the change in the period the change was effected. Therefore, all periods presented are materially consistent. The Company accrues the estimated cost of warranties in the period the related revenue is recognized based on historical and projected warranty claim rates, historical and projected cost per claim, and knowledge of specific product failures outside the Companys typical experience. Estimated warranty obligations as of December 31, 2021 and 2020 were $1.7 million and $1.2 million, respectively, and are included in Accrued expenses and other current liabilities in the consolidated balance sheets.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is a roll forward of warranty cost as of December 31, 2021, and 2020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0"/>
        <w:gridCol w:w="315"/>
        <w:gridCol w:w="140"/>
        <w:gridCol w:w="565"/>
        <w:gridCol w:w="155"/>
        <w:gridCol w:w="257"/>
        <w:gridCol w:w="140"/>
        <w:gridCol w:w="565"/>
        <w:gridCol w:w="158"/>
      </w:tblGrid>
      <w:tr>
        <w:trPr/>
        <w:tc>
          <w:tcPr>
            <w:tcW w:w="54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8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8"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8"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1,248</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929</w:t>
            </w:r>
          </w:p>
        </w:tc>
        <w:tc>
          <w:tcPr>
            <w:tcW w:w="158"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Warranty settlements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(135</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(224</w:t>
            </w:r>
          </w:p>
        </w:tc>
        <w:tc>
          <w:tcPr>
            <w:tcW w:w="158"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warranty accrual</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625</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543</w:t>
            </w:r>
          </w:p>
        </w:tc>
        <w:tc>
          <w:tcPr>
            <w:tcW w:w="158"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1,738</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1,248</w:t>
            </w:r>
          </w:p>
        </w:tc>
        <w:tc>
          <w:tcPr>
            <w:tcW w:w="158"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cost, current</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62</w:t>
            </w:r>
          </w:p>
        </w:tc>
        <w:tc>
          <w:tcPr>
            <w:tcW w:w="158"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Warranty cost, noncurrent</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1,651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1,186</w:t>
            </w:r>
          </w:p>
        </w:tc>
        <w:tc>
          <w:tcPr>
            <w:tcW w:w="158"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warranty cost</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1,738</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1,248</w:t>
            </w:r>
          </w:p>
        </w:tc>
        <w:tc>
          <w:tcPr>
            <w:tcW w:w="158"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Research and Engineering</w:t>
      </w:r>
      <w:r>
        <w:rPr>
          <w:rFonts w:ascii="Times New Roman" w:hAnsi="Times New Roman"/>
          <w:i/>
          <w:sz w:val="20"/>
        </w:rPr>
        <w:t xml:space="preserve"> </w:t>
      </w:r>
      <w:r>
        <w:rPr>
          <w:rFonts w:ascii="Times New Roman" w:hAnsi="Times New Roman"/>
          <w:sz w:val="20"/>
        </w:rPr>
        <w:t xml:space="preserve">Research and engineering costs that do not meet the criteria for capitalization are expensed as incurred. Research and engineering costs primarily consist of compensation, employee benefits, stock-based compensation related to technology developers and product management employees, as well as fees paid for outside services. </w:t>
      </w:r>
    </w:p>
    <w:p>
      <w:pPr>
        <w:pStyle w:val="TextBody"/>
        <w:bidi w:val="0"/>
        <w:spacing w:before="120" w:after="0"/>
        <w:jc w:val="left"/>
        <w:rPr>
          <w:rFonts w:ascii="Times New Roman" w:hAnsi="Times New Roman"/>
          <w:sz w:val="20"/>
        </w:rPr>
      </w:pPr>
      <w:r>
        <w:rPr>
          <w:rFonts w:ascii="Times New Roman" w:hAnsi="Times New Roman"/>
          <w:b/>
          <w:sz w:val="20"/>
        </w:rPr>
        <w:t>Sales and Marketing</w:t>
      </w:r>
      <w:r>
        <w:rPr>
          <w:rFonts w:ascii="Times New Roman" w:hAnsi="Times New Roman"/>
          <w:i/>
          <w:sz w:val="20"/>
        </w:rPr>
        <w:t xml:space="preserve"> </w:t>
      </w:r>
      <w:r>
        <w:rPr>
          <w:rFonts w:ascii="Times New Roman" w:hAnsi="Times New Roman"/>
          <w:sz w:val="20"/>
        </w:rPr>
        <w:t xml:space="preserve">Sales and marketing costs are charged to expense as incurred. The Company incurred advertising costs amounting to $0.6 million and $0.3 million for the years ended December 31, 2021 and 2020, respectively. </w:t>
      </w:r>
    </w:p>
    <w:p>
      <w:pPr>
        <w:pStyle w:val="TextBody"/>
        <w:bidi w:val="0"/>
        <w:spacing w:before="120" w:after="0"/>
        <w:jc w:val="left"/>
        <w:rPr>
          <w:rFonts w:ascii="Times New Roman" w:hAnsi="Times New Roman"/>
          <w:sz w:val="20"/>
        </w:rPr>
      </w:pPr>
      <w:r>
        <w:rPr>
          <w:rFonts w:ascii="Times New Roman" w:hAnsi="Times New Roman"/>
          <w:b/>
          <w:sz w:val="20"/>
        </w:rPr>
        <w:t>General and Administrative</w:t>
      </w:r>
      <w:r>
        <w:rPr>
          <w:rFonts w:ascii="Times New Roman" w:hAnsi="Times New Roman"/>
          <w:i/>
          <w:sz w:val="20"/>
        </w:rPr>
        <w:t xml:space="preserve"> </w:t>
      </w:r>
      <w:r>
        <w:rPr>
          <w:rFonts w:ascii="Times New Roman" w:hAnsi="Times New Roman"/>
          <w:sz w:val="20"/>
        </w:rPr>
        <w:t xml:space="preserve">General and administrative expenses primarily consist of employee compensation, including stock-based compensation and benefits for the Companys finance, human resources, legal, and general management functions as well as facilities and professional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Litigation-Related Costs</w:t>
      </w:r>
      <w:r>
        <w:rPr>
          <w:rFonts w:ascii="Times New Roman" w:hAnsi="Times New Roman"/>
          <w:sz w:val="20"/>
        </w:rPr>
        <w:t xml:space="preserve">  primarily consist of legal costs incurred in connection with the Companys patent infringement claims against Canadian Solar, Inc (Canadian Solar) filed by Solaria in March 2020 in the Federal District Court for the Northern District of California and in the United States International Trade Commission (ITC) and related to Solarias proprietary shingled solar module technology. An initial determination in favor of the Company by the Chief Administrative Law Judge of the United States International Trade Commission was reached in October 2021. ln June 2022, the Company announced that it has settled its patents infringement claims and would terminate the litigation against Canadian Solar in return for Canadian Solar ceasing its importation of shingled solar panels into the United States for seven years. </w:t>
      </w:r>
    </w:p>
    <w:p>
      <w:pPr>
        <w:pStyle w:val="TextBody"/>
        <w:bidi w:val="0"/>
        <w:spacing w:before="120" w:after="0"/>
        <w:jc w:val="left"/>
        <w:rPr>
          <w:rFonts w:ascii="Times New Roman" w:hAnsi="Times New Roman"/>
          <w:sz w:val="20"/>
        </w:rPr>
      </w:pPr>
      <w:r>
        <w:rPr>
          <w:rFonts w:ascii="Times New Roman" w:hAnsi="Times New Roman"/>
          <w:b/>
          <w:sz w:val="20"/>
        </w:rPr>
        <w:t>Stock-Based Compensation</w:t>
      </w:r>
      <w:r>
        <w:rPr>
          <w:rFonts w:ascii="Times New Roman" w:hAnsi="Times New Roman"/>
          <w:i/>
          <w:sz w:val="20"/>
        </w:rPr>
        <w:t xml:space="preserve"> </w:t>
      </w:r>
      <w:r>
        <w:rPr>
          <w:rFonts w:ascii="Times New Roman" w:hAnsi="Times New Roman"/>
          <w:sz w:val="20"/>
        </w:rPr>
        <w:t xml:space="preserve">The Company accounts for stock-based compensation in accordance with ASC 718, Compensation  Stock Compensation (ASC 718). </w:t>
      </w:r>
    </w:p>
    <w:p>
      <w:pPr>
        <w:pStyle w:val="TextBody"/>
        <w:bidi w:val="0"/>
        <w:spacing w:before="120" w:after="0"/>
        <w:jc w:val="left"/>
        <w:rPr>
          <w:rFonts w:ascii="Times New Roman" w:hAnsi="Times New Roman"/>
          <w:sz w:val="20"/>
        </w:rPr>
      </w:pPr>
      <w:r>
        <w:rPr>
          <w:rFonts w:ascii="Times New Roman" w:hAnsi="Times New Roman"/>
          <w:sz w:val="20"/>
        </w:rPr>
        <w:t xml:space="preserve">The Company grants stock options to its employees, directors and consultants for a fixed number of shares with an exercise price equal to the fair value of the shares at the date of grant. All stock-based payments to employees and non-employees, including grants of stock options, are recognized in the consolidated financial statements based on their respective grant date fair values.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estimates the fair value of stock-based payments on the date of grant using the Black-Sholes-Merton option pricing model. The model requires management to make a number of assumptions, including the expected volatility of the Companys stock, the expected life of the option, the risk-free interest rate, expected dividends, and forfeiture rates. The fair value of the stock options, adjusted for forfeitures, is expensed over the related service period which is typically the vesting period. </w:t>
      </w:r>
    </w:p>
    <w:p>
      <w:pPr>
        <w:pStyle w:val="TextBody"/>
        <w:bidi w:val="0"/>
        <w:spacing w:before="120" w:after="0"/>
        <w:jc w:val="left"/>
        <w:rPr>
          <w:rFonts w:ascii="Times New Roman" w:hAnsi="Times New Roman"/>
          <w:sz w:val="20"/>
        </w:rPr>
      </w:pPr>
      <w:r>
        <w:rPr>
          <w:rFonts w:ascii="Times New Roman" w:hAnsi="Times New Roman"/>
          <w:b/>
          <w:sz w:val="20"/>
        </w:rPr>
        <w:t>Redeemable Convertible Preferred Stock Warrants</w:t>
      </w:r>
      <w:r>
        <w:rPr>
          <w:rFonts w:ascii="Times New Roman" w:hAnsi="Times New Roman"/>
          <w:i/>
          <w:sz w:val="20"/>
        </w:rPr>
        <w:t xml:space="preserve"> </w:t>
      </w:r>
      <w:r>
        <w:rPr>
          <w:rFonts w:ascii="Times New Roman" w:hAnsi="Times New Roman"/>
          <w:sz w:val="20"/>
        </w:rPr>
        <w:t xml:space="preserve">The Company accounts for the outstanding warrants exercisable into shares of the Companys redeemable convertible preferred stock in accordance with FASB Accounting Standards Codification (ASC) Topic 480, Distinguishing Liabilities from Equity. Under Topic 480, the Company is required to classify certain warrants to purchase shares of stock as liabilities and adjust the warrant instruments to fair value at each reporting period. At the end of each reporting period, changes in fair value during the period are recognized as a component of Other Income (expense), net in the Consolidated Statements of Operations and Comprehensive Loss. The Company will continue to adjust the preferred stock warrant liability for changes in the fair value until the earlier of the exercise or expiration of the warrants or the completion of a liquidation event, including completion of an initial public offering, at which time the warrant liability will be reclassified to additional paid-in capital. </w:t>
      </w:r>
    </w:p>
    <w:p>
      <w:pPr>
        <w:pStyle w:val="TextBody"/>
        <w:bidi w:val="0"/>
        <w:spacing w:before="120" w:after="0"/>
        <w:jc w:val="left"/>
        <w:rPr>
          <w:rFonts w:ascii="Times New Roman" w:hAnsi="Times New Roman"/>
          <w:sz w:val="20"/>
        </w:rPr>
      </w:pPr>
      <w:r>
        <w:rPr>
          <w:rFonts w:ascii="Times New Roman" w:hAnsi="Times New Roman"/>
          <w:b/>
          <w:sz w:val="20"/>
        </w:rPr>
        <w:t>Income Taxes</w:t>
      </w:r>
      <w:r>
        <w:rPr>
          <w:rFonts w:ascii="Times New Roman" w:hAnsi="Times New Roman"/>
          <w:i/>
          <w:sz w:val="20"/>
        </w:rPr>
        <w:t xml:space="preserve"> </w:t>
      </w:r>
      <w:r>
        <w:rPr>
          <w:rFonts w:ascii="Times New Roman" w:hAnsi="Times New Roman"/>
          <w:sz w:val="20"/>
        </w:rPr>
        <w:t xml:space="preserve">The Company accounts for income taxes using the asset and liability method as described in ASC 740, Income Taxes. Deferred income taxes are recognized by applying enacted statutory tax rates applicable to future years to differences between the financial statement carrying amounts of existing assets and liabilities and their respective tax bases, and operating loss and income tax credit carryforwards. The effect on deferred income tax assets and liabilities of a change in income tax rates is recognized in the Consolidated Statements of Operations and Comprehensive Loss in the period that includes the enactment date. Deferred income taxes are netted and classified as a noncurrent asset or liability on the consolidated balance sheets.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more fully discussed in Note 12, as of December 31, 2021 and 2020 the Company had fully reserved its deferred tax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the effect of income tax positions only if those positions are more likely than not of being sustained. Recognized income tax positions are measured at the largest amount that is greater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50% likely of being realized. Changes in recognition or measurement are reflected in the period in which the change in judgment occurs. </w:t>
      </w:r>
    </w:p>
    <w:p>
      <w:pPr>
        <w:pStyle w:val="TextBody"/>
        <w:bidi w:val="0"/>
        <w:spacing w:before="120" w:after="0"/>
        <w:jc w:val="left"/>
        <w:rPr>
          <w:rFonts w:ascii="Times New Roman" w:hAnsi="Times New Roman"/>
          <w:sz w:val="20"/>
        </w:rPr>
      </w:pPr>
      <w:r>
        <w:rPr>
          <w:rFonts w:ascii="Times New Roman" w:hAnsi="Times New Roman"/>
          <w:b/>
          <w:sz w:val="20"/>
        </w:rPr>
        <w:t>Leases</w:t>
      </w:r>
      <w:r>
        <w:rPr>
          <w:rFonts w:ascii="Times New Roman" w:hAnsi="Times New Roman"/>
          <w:i/>
          <w:sz w:val="20"/>
        </w:rPr>
        <w:t></w:t>
      </w:r>
      <w:r>
        <w:rPr>
          <w:rFonts w:ascii="Times New Roman" w:hAnsi="Times New Roman"/>
          <w:sz w:val="20"/>
        </w:rPr>
        <w:t xml:space="preserve"> The Company early adopted Accounting Standards Update (ASU) No. 2016-02, Leases (Topic 842), as amended (ASC 842) effective January 1, 2018 using the modified retrospective transition approach by applying the new standard to all leases existing at the date of initial application. ASC 842 requires all lessees to recognize most leases on their balance sheets as lease right-of-use (ROU) assets with corresponding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Operating lease right-of-use assets and operating lease liabilities are recognized at the present value of the future lease payments, generally for the base lease term, at the lease commencement date for each lease. The interest rate used to determine the present value of the future lease payments is the Companys incremental borrowing rate because the interest rate implicit in most of the Companys leases is not readily determinable. The Companys incremental borrowing rate is estimated to approximate the interest rate that the Company would pay to borrow on a collateralized basis with similar terms and payments as the lease, and in economic environments where the leased asset is located. </w:t>
      </w:r>
    </w:p>
    <w:p>
      <w:pPr>
        <w:pStyle w:val="TextBody"/>
        <w:bidi w:val="0"/>
        <w:spacing w:before="120" w:after="0"/>
        <w:jc w:val="left"/>
        <w:rPr>
          <w:rFonts w:ascii="Times New Roman" w:hAnsi="Times New Roman"/>
          <w:sz w:val="20"/>
        </w:rPr>
      </w:pPr>
      <w:r>
        <w:rPr>
          <w:rFonts w:ascii="Times New Roman" w:hAnsi="Times New Roman"/>
          <w:sz w:val="20"/>
        </w:rPr>
        <w:t xml:space="preserve">Operating lease right-of-use assets also include any prepaid lease payments and lease incentives. The Companys lease agreements generally contain lease and non-lease components. Non-lease components, which primarily include payments for maintenance and utilities, are combined with lease payments and accounted for as a single lease component. The Company includes the fixed non-lease components in the determination of the right-of-use assets and operating lease liabilities. The Company records the amortization of the right-of-use asset and the accretion of lease liability as rent expense included in general and administrative, cost of revenue, research and engineering and sales and marketing in the consolidated statement of operations and comprehensive loss. The Company did not identify any finance leases at December 31, 2021 and 2020. </w:t>
      </w:r>
    </w:p>
    <w:p>
      <w:pPr>
        <w:pStyle w:val="TextBody"/>
        <w:bidi w:val="0"/>
        <w:spacing w:before="120" w:after="0"/>
        <w:jc w:val="left"/>
        <w:rPr>
          <w:rFonts w:ascii="Times New Roman" w:hAnsi="Times New Roman"/>
          <w:sz w:val="20"/>
        </w:rPr>
      </w:pPr>
      <w:r>
        <w:rPr>
          <w:rFonts w:ascii="Times New Roman" w:hAnsi="Times New Roman"/>
          <w:sz w:val="20"/>
        </w:rPr>
        <w:t xml:space="preserve">When lease agreements provide allowances for leasehold improvements, the Company assesses whether it is the owner of the leasehold improvements for accounting purposes. When the Company concludes that it is the owner, the Company capitalizes the leasehold improvement assets and recognizes the related depreciation expense on a straight-line basis over the lesser of the lease term or the estimated useful life of the asset. Additionally, the Company recognizes the amounts of allowances to be received from the lessor as a reduction of the lease liability and the associated right-of-use asset. When the Company concludes that it is not the owner, the payments that the Company makes towards the leasehold improvements are accounted as a component of the lease payments. </w:t>
      </w:r>
    </w:p>
    <w:p>
      <w:pPr>
        <w:pStyle w:val="TextBody"/>
        <w:bidi w:val="0"/>
        <w:spacing w:before="120" w:after="0"/>
        <w:jc w:val="left"/>
        <w:rPr>
          <w:rFonts w:ascii="Times New Roman" w:hAnsi="Times New Roman"/>
          <w:sz w:val="20"/>
        </w:rPr>
      </w:pPr>
      <w:r>
        <w:rPr>
          <w:rFonts w:ascii="Times New Roman" w:hAnsi="Times New Roman"/>
          <w:b/>
          <w:sz w:val="20"/>
        </w:rPr>
        <w:t>Accounting Pronouncements Recently Adopted</w:t>
      </w:r>
      <w:r>
        <w:rPr>
          <w:rFonts w:ascii="Times New Roman" w:hAnsi="Times New Roman"/>
          <w:sz w:val="20"/>
        </w:rPr>
        <w:t xml:space="preserve">  In August 2018, the FASB issued ASU No. 2018-15, Intangibles-Goodwill and Other-Internal-Use Software (350-40) Customers Accounting for Implementation Costs Incurred in a Cloud Computing Arrangement. This guidance evaluated such costs for capitalization using the same criteria as for internal-use software development costs, with amortization expense being recorded in the same income statement expense line as the hosted service costs and over the expected term of the hosting arrangement. This ASU is effective for the Company on January 1, 2021. The adoption of this ASU on January 1, 2021 did not have a material impact to the Companys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ASU 2020-06, DebtDebt with Conversion and Other Options (Subtopic 470-20) and Derivatives and HedgingContracts in Entitys Own Equity (Subtopic 815-40): Accounting for Convertible Instruments and Contracts in an Entitys Own Equity (ASU 2020-06). The amendments in ASU 2020-06 simplify accounting for convertible instruments by removing major separation models required under current U.S. GAAP.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Also, ASU 2020-06 requires the application of the if-converted method for calculating diluted earnings per share and the treasury stock method will no longer be available. ASU 2020-06 is effective for interim and annual reporting periods beginning after December 15, 2023, with early adoption permitted, but no earlier than fiscal years beginning after December 15, 2020, including interim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those fiscal year. The Company adopted the new standard on January 1, 2022 under the modified retrospective approach resulting in a cumulative catch-up adjustment of $1.1 million to accumulated deficit and additional paid-in capital as of the date of adoption related to the beneficial conversion feature related to the 2018 Bridge Notes as discussed in Note 7.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currently qualifies as an EGC under the JOBS Act. Accordingly, the Company has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 unless, as indicated below, management determines it is preferable to take advantage of early adoption provisions offered within the applicable guidance. </w:t>
      </w:r>
    </w:p>
    <w:p>
      <w:pPr>
        <w:pStyle w:val="TextBody"/>
        <w:bidi w:val="0"/>
        <w:spacing w:before="240" w:after="0"/>
        <w:jc w:val="left"/>
        <w:rPr>
          <w:rFonts w:ascii="Times New Roman" w:hAnsi="Times New Roman"/>
          <w:sz w:val="20"/>
        </w:rPr>
      </w:pPr>
      <w:r>
        <w:rPr>
          <w:rFonts w:ascii="Times New Roman" w:hAnsi="Times New Roman"/>
          <w:sz w:val="20"/>
        </w:rPr>
        <w:t xml:space="preserve">In June 2016, the FASB issued ASU 2016-13, Financial Instruments  Credit Losses (Topic 326): Measurement of Credit Losses on Financial Instruments, which amends the FASBs guidance on the impairment of financial instruments. Topic 326 adds to GAAP an impairment model (known as the current expected credit loss model) that is based on expected losses rather than incurred losses. ASU 2016-13 is effective for the Companys annual and interim periods beginning after December 15, 2022 with early adoption permitted. The Company does not expect to early adopt the new standard. The Company is currently evaluating the impact of ASU 2016-13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2019, the FASB issued ASU 2019-12, Simplifying the Accounting for Income Taxes, which simplifies the accounting for income taxes, eliminates certain exceptions within ASC 740, Income Taxes, and clarifies certain aspects of the current guidance to promote consistency among reporting entities. ASU 2019-12 is effective for fiscal years beginning after December 15, 2021 and for interim periods within fiscal years beginning after December 15, 2022. Most amendments within this accounting standard are required to be applied on a prospective basis, while certain amendments must be applied on a retrospective or modified retrospective basis. The Company adopted ASU 2019-12 under the private company transition guidance beginning January 1, 2022, the adoption did not have an impact on the Companys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May 2021, the FASB issued ASU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This guidance clarifies certain aspects of the current guidance to promote consistency among reporting of an issuers accounting for modifications or exchanges of freestanding equity-classified written call options (for example, warrants) that remain equity classified after modification or exchange. The amendments in this update are effective for all entities for fiscal years beginning after December 15, 2021, including interim periods within those fiscal years. Early adoption is permitted for all entities, including adoption in an interim period. The Company adopted ASU 2021-04 under the private company transition guidance beginning January 1, 2022, the adoption did not have an impact on the Companys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SOLAR PARK RELATED COSTS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December 2021 the Company determined that it would no longer utilize Solar Park Korea Co., Ltd. (Solar Park), a contract manufacturer, for production of solar panels. Solar Park was experiencing serious financial issues during the fourth quarter of 2021.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the Company evaluated the relevant facts and circumstances, determined that substantially all Company assets associated with Solar Park were at risk. Accordingly, the Company wrote off the full carrying value of the assets described below Solar Park as a component of operating expenses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consolidated statement of operations and comprehensive loss for the year ended December 31, 2021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37"/>
        <w:gridCol w:w="361"/>
        <w:gridCol w:w="147"/>
        <w:gridCol w:w="731"/>
        <w:gridCol w:w="63"/>
      </w:tblGrid>
      <w:tr>
        <w:trPr/>
        <w:tc>
          <w:tcPr>
            <w:tcW w:w="563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61"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and related advances write-down</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9,123</w:t>
            </w:r>
          </w:p>
        </w:tc>
        <w:tc>
          <w:tcPr>
            <w:tcW w:w="63" w:type="dxa"/>
            <w:tcBorders/>
            <w:shd w:fill="CCEEFF" w:val="clear"/>
            <w:vAlign w:val="bottom"/>
          </w:tcPr>
          <w:p>
            <w:pPr>
              <w:pStyle w:val="TableContents"/>
              <w:bidi w:val="0"/>
              <w:spacing w:before="0" w:after="283"/>
              <w:jc w:val="left"/>
              <w:rPr/>
            </w:pPr>
            <w:r>
              <w:rPr/>
              <w:t> </w:t>
            </w:r>
          </w:p>
        </w:tc>
      </w:tr>
      <w:tr>
        <w:trPr/>
        <w:tc>
          <w:tcPr>
            <w:tcW w:w="5637" w:type="dxa"/>
            <w:tcBorders/>
          </w:tcPr>
          <w:p>
            <w:pPr>
              <w:pStyle w:val="TableContents"/>
              <w:bidi w:val="0"/>
              <w:spacing w:before="0" w:after="0"/>
              <w:jc w:val="left"/>
              <w:rPr>
                <w:rFonts w:ascii="Times New Roman" w:hAnsi="Times New Roman"/>
                <w:sz w:val="20"/>
              </w:rPr>
            </w:pPr>
            <w:r>
              <w:rPr>
                <w:rFonts w:ascii="Times New Roman" w:hAnsi="Times New Roman"/>
                <w:sz w:val="20"/>
              </w:rPr>
              <w:t>Equipment and related advances write-down</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7,928</w:t>
            </w:r>
          </w:p>
        </w:tc>
        <w:tc>
          <w:tcPr>
            <w:tcW w:w="63" w:type="dxa"/>
            <w:tcBorders/>
            <w:vAlign w:val="bottom"/>
          </w:tcPr>
          <w:p>
            <w:pPr>
              <w:pStyle w:val="TableContents"/>
              <w:bidi w:val="0"/>
              <w:spacing w:before="0" w:after="283"/>
              <w:jc w:val="left"/>
              <w:rPr/>
            </w:pPr>
            <w:r>
              <w:rPr/>
              <w:t> </w:t>
            </w:r>
          </w:p>
        </w:tc>
      </w:tr>
      <w:tr>
        <w:trPr/>
        <w:tc>
          <w:tcPr>
            <w:tcW w:w="5637"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17,052</w:t>
            </w:r>
          </w:p>
        </w:tc>
        <w:tc>
          <w:tcPr>
            <w:tcW w:w="63" w:type="dxa"/>
            <w:tcBorders/>
            <w:shd w:fill="CCEEFF" w:val="clear"/>
            <w:vAlign w:val="bottom"/>
          </w:tcPr>
          <w:p>
            <w:pPr>
              <w:pStyle w:val="TableContents"/>
              <w:bidi w:val="0"/>
              <w:spacing w:before="0" w:after="283"/>
              <w:jc w:val="left"/>
              <w:rPr/>
            </w:pPr>
            <w:r>
              <w:rPr/>
              <w:t> </w:t>
            </w:r>
          </w:p>
        </w:tc>
      </w:tr>
      <w:tr>
        <w:trPr/>
        <w:tc>
          <w:tcPr>
            <w:tcW w:w="5637"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amounts include inventory of $8.7 million, inventory-related advances of $0.4 million, equipment of $4.2 million and equipment-related advances of $3.7 million. The Company utilized inventory held outside of Solar Park to facilitate its transition to a new provider during fiscal year 2022.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Notes 14 and 17, in June 2022, the Company filed a notice of arbitration with the Singapore International Arbitration Centre (SIAC) seeking approximately $47.0 million in damages against Solar Park in connection with the write-downs described above and other costs related to the loss of Solar Parks production and transition to a new provider. Solar Park filed a response with SIAC in June 2022 asserting damages of approximately $30.0 million against the Company. The arbitration hearing, is expected to occur during the first half of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generates revenues from the sale of silicon photovoltaic solar panels and licensing of the Companys technology to third parties. </w:t>
      </w:r>
    </w:p>
    <w:p>
      <w:pPr>
        <w:pStyle w:val="TextBody"/>
        <w:bidi w:val="0"/>
        <w:spacing w:before="120" w:after="0"/>
        <w:jc w:val="left"/>
        <w:rPr>
          <w:rFonts w:ascii="Times New Roman" w:hAnsi="Times New Roman"/>
          <w:sz w:val="20"/>
        </w:rPr>
      </w:pPr>
      <w:r>
        <w:rPr>
          <w:rFonts w:ascii="Times New Roman" w:hAnsi="Times New Roman"/>
          <w:b/>
          <w:sz w:val="20"/>
        </w:rPr>
        <w:t>Product Sales</w:t>
      </w:r>
      <w:r>
        <w:rPr>
          <w:rFonts w:ascii="Times New Roman" w:hAnsi="Times New Roman"/>
          <w:i/>
          <w:sz w:val="20"/>
        </w:rPr>
        <w:t xml:space="preserve"> </w:t>
      </w:r>
      <w:r>
        <w:rPr>
          <w:rFonts w:ascii="Times New Roman" w:hAnsi="Times New Roman"/>
          <w:sz w:val="20"/>
        </w:rPr>
        <w:t xml:space="preserve">The Company recognizes revenue from sales of products as control is transferred to customers, which generally occurs upon delivery to the customers premises. Other than standard warranty obligations, there are no rights of return or significant post-shipment obligations with respect to the Companys products. Contracts with customers consist of a single performance obligation, hence the entire transaction price is allocated to this single performance obligation. In determining the transaction price in contracts with customers, the Company reduces revenue for the estimated costs of customer and distributor programs and incentive offerings such as price protection and rebates. Any provision for customer and distributor programs and other discounts is recorded as a reduction of revenue at the time of sale based on an evaluation of the contract terms and historical experience. </w:t>
      </w:r>
    </w:p>
    <w:p>
      <w:pPr>
        <w:pStyle w:val="TextBody"/>
        <w:bidi w:val="0"/>
        <w:spacing w:before="120" w:after="0"/>
        <w:jc w:val="left"/>
        <w:rPr>
          <w:rFonts w:ascii="Times New Roman" w:hAnsi="Times New Roman"/>
          <w:sz w:val="20"/>
        </w:rPr>
      </w:pPr>
      <w:r>
        <w:rPr>
          <w:rFonts w:ascii="Times New Roman" w:hAnsi="Times New Roman"/>
          <w:b/>
          <w:sz w:val="20"/>
        </w:rPr>
        <w:t xml:space="preserve">License Revenue </w:t>
      </w:r>
      <w:r>
        <w:rPr>
          <w:rFonts w:ascii="Times New Roman" w:hAnsi="Times New Roman"/>
          <w:sz w:val="20"/>
        </w:rPr>
        <w:t xml:space="preserve"> The Company derives revenue from the licensing of the Companys technology to third parties. Revenue from functional IP licensing arrangements is recognized at a point in time when control over the licensed technology is transferred to the customer. License fees, i.e., royalties, that are not fixed at contract inception are recognized over time upon occurrence of the later of the subsequent technology sale or usage, or satisfaction of the performance obligation to which some or all of the usage-based royalty relates. The Company recorded license revenue amounting to $0.03 million and $0.2 million for the years ended December 31, 2021, and 2020, respectively, which is included under product revenue, net in the Consolidated Statements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Disaggregated revenue by primary geographical market and business activity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5"/>
        <w:gridCol w:w="312"/>
        <w:gridCol w:w="230"/>
        <w:gridCol w:w="1119"/>
        <w:gridCol w:w="98"/>
        <w:gridCol w:w="378"/>
        <w:gridCol w:w="230"/>
        <w:gridCol w:w="1120"/>
        <w:gridCol w:w="63"/>
      </w:tblGrid>
      <w:tr>
        <w:trPr/>
        <w:tc>
          <w:tcPr>
            <w:tcW w:w="4205"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3175"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Years Ended December 31,    </w:t>
            </w:r>
          </w:p>
        </w:tc>
        <w:tc>
          <w:tcPr>
            <w:tcW w:w="63"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w:t>
            </w:r>
          </w:p>
        </w:tc>
        <w:tc>
          <w:tcPr>
            <w:tcW w:w="98"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2020    </w:t>
            </w:r>
          </w:p>
        </w:tc>
        <w:tc>
          <w:tcPr>
            <w:tcW w:w="63"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Primary geographical markets</w:t>
            </w:r>
          </w:p>
        </w:tc>
        <w:tc>
          <w:tcPr>
            <w:tcW w:w="31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31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56,577</w:t>
            </w:r>
          </w:p>
        </w:tc>
        <w:tc>
          <w:tcPr>
            <w:tcW w:w="98"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46,158</w:t>
            </w:r>
          </w:p>
        </w:tc>
        <w:tc>
          <w:tcPr>
            <w:tcW w:w="63"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31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3,186</w:t>
            </w:r>
          </w:p>
        </w:tc>
        <w:tc>
          <w:tcPr>
            <w:tcW w:w="98"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2,170</w:t>
            </w:r>
          </w:p>
        </w:tc>
        <w:tc>
          <w:tcPr>
            <w:tcW w:w="63"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59,763</w:t>
            </w:r>
          </w:p>
        </w:tc>
        <w:tc>
          <w:tcPr>
            <w:tcW w:w="98"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48,328</w:t>
            </w:r>
          </w:p>
        </w:tc>
        <w:tc>
          <w:tcPr>
            <w:tcW w:w="63"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sales</w:t>
            </w:r>
          </w:p>
        </w:tc>
        <w:tc>
          <w:tcPr>
            <w:tcW w:w="31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59,737</w:t>
            </w:r>
          </w:p>
        </w:tc>
        <w:tc>
          <w:tcPr>
            <w:tcW w:w="98"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48,098</w:t>
            </w:r>
          </w:p>
        </w:tc>
        <w:tc>
          <w:tcPr>
            <w:tcW w:w="63"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Royalty</w:t>
            </w:r>
          </w:p>
        </w:tc>
        <w:tc>
          <w:tcPr>
            <w:tcW w:w="31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26</w:t>
            </w:r>
          </w:p>
        </w:tc>
        <w:tc>
          <w:tcPr>
            <w:tcW w:w="98"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230</w:t>
            </w:r>
          </w:p>
        </w:tc>
        <w:tc>
          <w:tcPr>
            <w:tcW w:w="63"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1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59,763</w:t>
            </w:r>
          </w:p>
        </w:tc>
        <w:tc>
          <w:tcPr>
            <w:tcW w:w="98"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48,328</w:t>
            </w:r>
          </w:p>
        </w:tc>
        <w:tc>
          <w:tcPr>
            <w:tcW w:w="63"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Contract Balances </w:t>
      </w:r>
      <w:r>
        <w:rPr>
          <w:rFonts w:ascii="Times New Roman" w:hAnsi="Times New Roman"/>
          <w:i/>
          <w:sz w:val="20"/>
        </w:rPr>
        <w:t xml:space="preserve"> </w:t>
      </w:r>
      <w:r>
        <w:rPr>
          <w:rFonts w:ascii="Times New Roman" w:hAnsi="Times New Roman"/>
          <w:sz w:val="20"/>
        </w:rPr>
        <w:t xml:space="preserve">Contract liabilities consist of deferred revenue or customer deposits and relate to amounts invoiced to or advance consideration received from customers, which precede the Companys satisfaction of the associated performance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roll forward of deferred revenue balances as of December 31, 2021, and 2020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07"/>
        <w:gridCol w:w="368"/>
        <w:gridCol w:w="140"/>
        <w:gridCol w:w="638"/>
        <w:gridCol w:w="155"/>
        <w:gridCol w:w="312"/>
        <w:gridCol w:w="140"/>
        <w:gridCol w:w="638"/>
        <w:gridCol w:w="157"/>
      </w:tblGrid>
      <w:tr>
        <w:trPr/>
        <w:tc>
          <w:tcPr>
            <w:tcW w:w="5207"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7"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w:t>
              <w:br/>
              <w:t>December 31,</w:t>
            </w:r>
          </w:p>
        </w:tc>
        <w:tc>
          <w:tcPr>
            <w:tcW w:w="157" w:type="dxa"/>
            <w:tcBorders/>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7"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revenuebeginning balance</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2,070</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2,246</w:t>
            </w:r>
          </w:p>
        </w:tc>
        <w:tc>
          <w:tcPr>
            <w:tcW w:w="157" w:type="dxa"/>
            <w:tcBorders/>
            <w:shd w:fill="CCEEFF" w:val="clear"/>
            <w:vAlign w:val="bottom"/>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1,494</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5,624</w:t>
            </w:r>
          </w:p>
        </w:tc>
        <w:tc>
          <w:tcPr>
            <w:tcW w:w="157"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recognized</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(3,489</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(5,800</w:t>
            </w:r>
          </w:p>
        </w:tc>
        <w:tc>
          <w:tcPr>
            <w:tcW w:w="157" w:type="dxa"/>
            <w:tcBorders/>
            <w:shd w:fill="CCEEFF" w:val="clear"/>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revenueending balance</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2,070</w:t>
            </w:r>
          </w:p>
        </w:tc>
        <w:tc>
          <w:tcPr>
            <w:tcW w:w="157" w:type="dxa"/>
            <w:tcBorders/>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2021, and 2020, the Companys deferred revenue is expected to be recognized during the succeeding 12-month period and is therefore presented as deferred revenue, current, in the consolidated balance sheets.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 COMPONENTS </w:t>
            </w:r>
          </w:p>
        </w:tc>
      </w:tr>
    </w:tbl>
    <w:p>
      <w:pPr>
        <w:pStyle w:val="TextBody"/>
        <w:bidi w:val="0"/>
        <w:spacing w:before="120" w:after="0"/>
        <w:jc w:val="left"/>
        <w:rPr>
          <w:rFonts w:ascii="Times New Roman" w:hAnsi="Times New Roman"/>
          <w:sz w:val="20"/>
        </w:rPr>
      </w:pPr>
      <w:r>
        <w:rPr>
          <w:rFonts w:ascii="Times New Roman" w:hAnsi="Times New Roman"/>
          <w:b/>
          <w:sz w:val="20"/>
        </w:rPr>
        <w:t>Inventories, Net</w:t>
      </w:r>
      <w:r>
        <w:rPr>
          <w:rFonts w:ascii="Times New Roman" w:hAnsi="Times New Roman"/>
          <w:sz w:val="20"/>
        </w:rPr>
        <w:t xml:space="preserve">The components of inventories as of December 31, 2021 and 2020, respectively,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34"/>
        <w:gridCol w:w="318"/>
        <w:gridCol w:w="140"/>
        <w:gridCol w:w="691"/>
        <w:gridCol w:w="60"/>
        <w:gridCol w:w="318"/>
        <w:gridCol w:w="140"/>
        <w:gridCol w:w="691"/>
        <w:gridCol w:w="63"/>
      </w:tblGrid>
      <w:tr>
        <w:trPr/>
        <w:tc>
          <w:tcPr>
            <w:tcW w:w="5334"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34"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0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3"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16,928</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5,029</w:t>
            </w:r>
          </w:p>
        </w:tc>
        <w:tc>
          <w:tcPr>
            <w:tcW w:w="63"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1,712</w:t>
            </w:r>
          </w:p>
        </w:tc>
        <w:tc>
          <w:tcPr>
            <w:tcW w:w="63"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3,707</w:t>
            </w:r>
          </w:p>
        </w:tc>
        <w:tc>
          <w:tcPr>
            <w:tcW w:w="63" w:type="dxa"/>
            <w:tcBorders/>
            <w:shd w:fill="CCEEFF" w:val="clear"/>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inventory, net</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16,928</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10,448</w:t>
            </w:r>
          </w:p>
        </w:tc>
        <w:tc>
          <w:tcPr>
            <w:tcW w:w="63" w:type="dxa"/>
            <w:tcBorders/>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2021 and 2020 reserves for inventory obsolescence were $0.1 million and $0.2 million, respectively. </w:t>
      </w:r>
    </w:p>
    <w:p>
      <w:pPr>
        <w:pStyle w:val="TextBody"/>
        <w:bidi w:val="0"/>
        <w:spacing w:before="120" w:after="0"/>
        <w:jc w:val="left"/>
        <w:rPr>
          <w:rFonts w:ascii="Times New Roman" w:hAnsi="Times New Roman"/>
          <w:sz w:val="20"/>
        </w:rPr>
      </w:pPr>
      <w:r>
        <w:rPr>
          <w:rFonts w:ascii="Times New Roman" w:hAnsi="Times New Roman"/>
          <w:sz w:val="20"/>
        </w:rPr>
        <w:t xml:space="preserve">As more fully discussed in Note 3, in December 2021, the Company wrote off approximately $8.7 million of inventory which is held at the Solar Park contract manufacturers site in Korea and is not expected to be recoverable. </w:t>
      </w:r>
    </w:p>
    <w:p>
      <w:pPr>
        <w:pStyle w:val="TextBody"/>
        <w:bidi w:val="0"/>
        <w:spacing w:before="120" w:after="0"/>
        <w:jc w:val="left"/>
        <w:rPr>
          <w:rFonts w:ascii="Times New Roman" w:hAnsi="Times New Roman"/>
          <w:sz w:val="20"/>
        </w:rPr>
      </w:pPr>
      <w:r>
        <w:rPr>
          <w:rFonts w:ascii="Times New Roman" w:hAnsi="Times New Roman"/>
          <w:b/>
          <w:sz w:val="20"/>
        </w:rPr>
        <w:t>Property and Equipment, net</w:t>
      </w:r>
      <w:r>
        <w:rPr>
          <w:rFonts w:ascii="Times New Roman" w:hAnsi="Times New Roman"/>
          <w:i/>
          <w:sz w:val="20"/>
        </w:rPr>
        <w:t xml:space="preserve"> </w:t>
      </w:r>
      <w:r>
        <w:rPr>
          <w:rFonts w:ascii="Times New Roman" w:hAnsi="Times New Roman"/>
          <w:sz w:val="20"/>
        </w:rPr>
        <w:t xml:space="preserve">Property and equipment, net as of December 31, 2021 and 2020,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20"/>
        <w:gridCol w:w="355"/>
        <w:gridCol w:w="140"/>
        <w:gridCol w:w="642"/>
        <w:gridCol w:w="155"/>
        <w:gridCol w:w="302"/>
        <w:gridCol w:w="140"/>
        <w:gridCol w:w="642"/>
        <w:gridCol w:w="159"/>
      </w:tblGrid>
      <w:tr>
        <w:trPr/>
        <w:tc>
          <w:tcPr>
            <w:tcW w:w="5220"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2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9" w:type="dxa"/>
            <w:tcBorders/>
            <w:vAlign w:val="bottom"/>
          </w:tcPr>
          <w:p>
            <w:pPr>
              <w:pStyle w:val="TableContents"/>
              <w:bidi w:val="0"/>
              <w:spacing w:before="0" w:after="283"/>
              <w:jc w:val="left"/>
              <w:rPr/>
            </w:pPr>
            <w:r>
              <w:rPr/>
              <w:t> </w:t>
            </w:r>
          </w:p>
        </w:tc>
      </w:tr>
      <w:tr>
        <w:trPr/>
        <w:tc>
          <w:tcPr>
            <w:tcW w:w="522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9" w:type="dxa"/>
            <w:tcBorders/>
            <w:vAlign w:val="bottom"/>
          </w:tcPr>
          <w:p>
            <w:pPr>
              <w:pStyle w:val="TableContents"/>
              <w:bidi w:val="0"/>
              <w:spacing w:before="0" w:after="283"/>
              <w:jc w:val="left"/>
              <w:rPr/>
            </w:pPr>
            <w:r>
              <w:rPr/>
              <w:t> </w:t>
            </w:r>
          </w:p>
        </w:tc>
      </w:tr>
      <w:tr>
        <w:trPr/>
        <w:tc>
          <w:tcPr>
            <w:tcW w:w="5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Manufacturing equipment</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2" w:type="dxa"/>
            <w:tcBorders/>
            <w:shd w:fill="CCEEFF" w:val="clear"/>
            <w:vAlign w:val="bottom"/>
          </w:tcPr>
          <w:p>
            <w:pPr>
              <w:pStyle w:val="TableContents"/>
              <w:bidi w:val="0"/>
              <w:spacing w:before="0" w:after="283"/>
              <w:jc w:val="right"/>
              <w:rPr/>
            </w:pPr>
            <w:r>
              <w:rPr/>
              <w:t>3,195</w:t>
            </w:r>
          </w:p>
        </w:tc>
        <w:tc>
          <w:tcPr>
            <w:tcW w:w="15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2" w:type="dxa"/>
            <w:tcBorders/>
            <w:shd w:fill="CCEEFF" w:val="clear"/>
            <w:vAlign w:val="bottom"/>
          </w:tcPr>
          <w:p>
            <w:pPr>
              <w:pStyle w:val="TableContents"/>
              <w:bidi w:val="0"/>
              <w:spacing w:before="0" w:after="283"/>
              <w:jc w:val="right"/>
              <w:rPr/>
            </w:pPr>
            <w:r>
              <w:rPr/>
              <w:t>7,316</w:t>
            </w:r>
          </w:p>
        </w:tc>
        <w:tc>
          <w:tcPr>
            <w:tcW w:w="159" w:type="dxa"/>
            <w:tcBorders/>
            <w:shd w:fill="CCEEFF" w:val="clear"/>
            <w:vAlign w:val="bottom"/>
          </w:tcPr>
          <w:p>
            <w:pPr>
              <w:pStyle w:val="TableContents"/>
              <w:bidi w:val="0"/>
              <w:spacing w:before="0" w:after="283"/>
              <w:jc w:val="left"/>
              <w:rPr/>
            </w:pPr>
            <w:r>
              <w:rPr/>
              <w:t> </w:t>
            </w:r>
          </w:p>
        </w:tc>
      </w:tr>
      <w:tr>
        <w:trPr/>
        <w:tc>
          <w:tcPr>
            <w:tcW w:w="5220"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864</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1,080</w:t>
            </w:r>
          </w:p>
        </w:tc>
        <w:tc>
          <w:tcPr>
            <w:tcW w:w="159" w:type="dxa"/>
            <w:tcBorders/>
            <w:vAlign w:val="bottom"/>
          </w:tcPr>
          <w:p>
            <w:pPr>
              <w:pStyle w:val="TableContents"/>
              <w:bidi w:val="0"/>
              <w:spacing w:before="0" w:after="283"/>
              <w:jc w:val="left"/>
              <w:rPr/>
            </w:pPr>
            <w:r>
              <w:rPr/>
              <w:t> </w:t>
            </w:r>
          </w:p>
        </w:tc>
      </w:tr>
      <w:tr>
        <w:trPr/>
        <w:tc>
          <w:tcPr>
            <w:tcW w:w="5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fixtures and office equipment</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100</w:t>
            </w:r>
          </w:p>
        </w:tc>
        <w:tc>
          <w:tcPr>
            <w:tcW w:w="159" w:type="dxa"/>
            <w:tcBorders/>
            <w:shd w:fill="CCEEFF" w:val="clear"/>
            <w:vAlign w:val="bottom"/>
          </w:tcPr>
          <w:p>
            <w:pPr>
              <w:pStyle w:val="TableContents"/>
              <w:bidi w:val="0"/>
              <w:spacing w:before="0" w:after="283"/>
              <w:jc w:val="left"/>
              <w:rPr/>
            </w:pPr>
            <w:r>
              <w:rPr/>
              <w:t> </w:t>
            </w:r>
          </w:p>
        </w:tc>
      </w:tr>
      <w:tr>
        <w:trPr/>
        <w:tc>
          <w:tcPr>
            <w:tcW w:w="522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2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782" w:type="dxa"/>
            <w:gridSpan w:val="2"/>
            <w:tcBorders/>
            <w:vAlign w:val="bottom"/>
          </w:tcPr>
          <w:p>
            <w:pPr>
              <w:pStyle w:val="TableContents"/>
              <w:bidi w:val="0"/>
              <w:spacing w:before="0" w:after="283"/>
              <w:jc w:val="center"/>
              <w:rPr/>
            </w:pPr>
            <w:r>
              <w:rPr/>
              <w:t>$4,125</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82" w:type="dxa"/>
            <w:gridSpan w:val="2"/>
            <w:tcBorders/>
            <w:vAlign w:val="bottom"/>
          </w:tcPr>
          <w:p>
            <w:pPr>
              <w:pStyle w:val="TableContents"/>
              <w:bidi w:val="0"/>
              <w:spacing w:before="0" w:after="283"/>
              <w:jc w:val="center"/>
              <w:rPr/>
            </w:pPr>
            <w:r>
              <w:rPr/>
              <w:t>$8,496</w:t>
            </w:r>
          </w:p>
        </w:tc>
        <w:tc>
          <w:tcPr>
            <w:tcW w:w="159" w:type="dxa"/>
            <w:tcBorders/>
            <w:vAlign w:val="bottom"/>
          </w:tcPr>
          <w:p>
            <w:pPr>
              <w:pStyle w:val="TableContents"/>
              <w:bidi w:val="0"/>
              <w:spacing w:before="0" w:after="283"/>
              <w:jc w:val="left"/>
              <w:rPr/>
            </w:pPr>
            <w:r>
              <w:rPr/>
              <w:t> </w:t>
            </w:r>
          </w:p>
        </w:tc>
      </w:tr>
      <w:tr>
        <w:trPr/>
        <w:tc>
          <w:tcPr>
            <w:tcW w:w="5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(3,126</w:t>
            </w:r>
          </w:p>
        </w:tc>
        <w:tc>
          <w:tcPr>
            <w:tcW w:w="15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(3,568</w:t>
            </w:r>
          </w:p>
        </w:tc>
        <w:tc>
          <w:tcPr>
            <w:tcW w:w="159" w:type="dxa"/>
            <w:tcBorders/>
            <w:shd w:fill="CCEEFF" w:val="clear"/>
            <w:vAlign w:val="bottom"/>
          </w:tcPr>
          <w:p>
            <w:pPr>
              <w:pStyle w:val="TableContents"/>
              <w:bidi w:val="0"/>
              <w:spacing w:before="0" w:after="283"/>
              <w:jc w:val="left"/>
              <w:rPr/>
            </w:pPr>
            <w:r>
              <w:rPr/>
              <w:t>) </w:t>
            </w:r>
          </w:p>
        </w:tc>
      </w:tr>
      <w:tr>
        <w:trPr/>
        <w:tc>
          <w:tcPr>
            <w:tcW w:w="522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20"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 net</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2" w:type="dxa"/>
            <w:tcBorders/>
            <w:vAlign w:val="bottom"/>
          </w:tcPr>
          <w:p>
            <w:pPr>
              <w:pStyle w:val="TableContents"/>
              <w:bidi w:val="0"/>
              <w:spacing w:before="0" w:after="283"/>
              <w:jc w:val="right"/>
              <w:rPr/>
            </w:pPr>
            <w:r>
              <w:rPr/>
              <w:t>999</w:t>
            </w:r>
          </w:p>
        </w:tc>
        <w:tc>
          <w:tcPr>
            <w:tcW w:w="15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2" w:type="dxa"/>
            <w:tcBorders/>
            <w:vAlign w:val="bottom"/>
          </w:tcPr>
          <w:p>
            <w:pPr>
              <w:pStyle w:val="TableContents"/>
              <w:bidi w:val="0"/>
              <w:spacing w:before="0" w:after="283"/>
              <w:jc w:val="right"/>
              <w:rPr/>
            </w:pPr>
            <w:r>
              <w:rPr/>
              <w:t>4,928</w:t>
            </w:r>
          </w:p>
        </w:tc>
        <w:tc>
          <w:tcPr>
            <w:tcW w:w="159" w:type="dxa"/>
            <w:tcBorders/>
            <w:vAlign w:val="bottom"/>
          </w:tcPr>
          <w:p>
            <w:pPr>
              <w:pStyle w:val="TableContents"/>
              <w:bidi w:val="0"/>
              <w:spacing w:before="0" w:after="283"/>
              <w:jc w:val="left"/>
              <w:rPr/>
            </w:pPr>
            <w:r>
              <w:rPr/>
              <w:t> </w:t>
            </w:r>
          </w:p>
        </w:tc>
      </w:tr>
      <w:tr>
        <w:trPr/>
        <w:tc>
          <w:tcPr>
            <w:tcW w:w="5220"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depreciation expense for the years ended December 31, 2021, and 2020 was $1.3 million and $0.5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in March of 2020, the Company recorded an impairment charge of $0.4 million related to the abandonment of certain manufacturing equipment which was no longer expected to be completed. These assets were previously included as a component of Construction in Progress within Property and Equipment. The write-down was included in the Consolidated Statement of Operations and Comprehensive Loss as Impairment and Related Charges. </w:t>
      </w:r>
    </w:p>
    <w:p>
      <w:pPr>
        <w:pStyle w:val="TextBody"/>
        <w:bidi w:val="0"/>
        <w:spacing w:before="240" w:after="0"/>
        <w:jc w:val="left"/>
        <w:rPr>
          <w:rFonts w:ascii="Times New Roman" w:hAnsi="Times New Roman"/>
          <w:sz w:val="20"/>
        </w:rPr>
      </w:pPr>
      <w:r>
        <w:rPr>
          <w:rFonts w:ascii="Times New Roman" w:hAnsi="Times New Roman"/>
          <w:sz w:val="20"/>
        </w:rPr>
        <w:t xml:space="preserve">As more fully discussed in Note 3, the Company wrote off approximately $4.2 million net carrying value of manufacturing equipment which is held at the Solar Park contract manufacturers site in Korea and is not expected to be recoverable. </w:t>
      </w:r>
    </w:p>
    <w:p>
      <w:pPr>
        <w:pStyle w:val="TextBody"/>
        <w:bidi w:val="0"/>
        <w:spacing w:before="240" w:after="0"/>
        <w:jc w:val="left"/>
        <w:rPr>
          <w:rFonts w:ascii="Times New Roman" w:hAnsi="Times New Roman"/>
          <w:sz w:val="20"/>
        </w:rPr>
      </w:pPr>
      <w:r>
        <w:rPr>
          <w:rFonts w:ascii="Times New Roman" w:hAnsi="Times New Roman"/>
          <w:b/>
          <w:sz w:val="20"/>
        </w:rPr>
        <w:t>Accrued Expenses and Other Current Liabilities</w:t>
      </w:r>
      <w:r>
        <w:rPr>
          <w:rFonts w:ascii="Times New Roman" w:hAnsi="Times New Roman"/>
          <w:i/>
          <w:sz w:val="20"/>
        </w:rPr>
        <w:t xml:space="preserve"> </w:t>
      </w:r>
      <w:r>
        <w:rPr>
          <w:rFonts w:ascii="Times New Roman" w:hAnsi="Times New Roman"/>
          <w:sz w:val="20"/>
        </w:rPr>
        <w:t xml:space="preserve">Accrued expenses and other current liabilities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49"/>
        <w:gridCol w:w="318"/>
        <w:gridCol w:w="140"/>
        <w:gridCol w:w="704"/>
        <w:gridCol w:w="60"/>
        <w:gridCol w:w="318"/>
        <w:gridCol w:w="140"/>
        <w:gridCol w:w="562"/>
        <w:gridCol w:w="64"/>
      </w:tblGrid>
      <w:tr>
        <w:trPr/>
        <w:tc>
          <w:tcPr>
            <w:tcW w:w="5449"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49"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9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5449"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4" w:type="dxa"/>
            <w:tcBorders/>
            <w:vAlign w:val="bottom"/>
          </w:tcPr>
          <w:p>
            <w:pPr>
              <w:pStyle w:val="TableContents"/>
              <w:bidi w:val="0"/>
              <w:spacing w:before="0" w:after="283"/>
              <w:jc w:val="left"/>
              <w:rPr/>
            </w:pPr>
            <w:r>
              <w:rPr/>
              <w:t> </w:t>
            </w:r>
          </w:p>
        </w:tc>
      </w:tr>
      <w:tr>
        <w:trPr/>
        <w:tc>
          <w:tcPr>
            <w:tcW w:w="5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purchases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2,657</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1,400</w:t>
            </w:r>
          </w:p>
        </w:tc>
        <w:tc>
          <w:tcPr>
            <w:tcW w:w="64" w:type="dxa"/>
            <w:tcBorders/>
            <w:shd w:fill="CCEEFF" w:val="clear"/>
            <w:vAlign w:val="bottom"/>
          </w:tcPr>
          <w:p>
            <w:pPr>
              <w:pStyle w:val="TableContents"/>
              <w:bidi w:val="0"/>
              <w:spacing w:before="0" w:after="283"/>
              <w:jc w:val="left"/>
              <w:rPr/>
            </w:pPr>
            <w:r>
              <w:rPr/>
              <w:t> </w:t>
            </w:r>
          </w:p>
        </w:tc>
      </w:tr>
      <w:tr>
        <w:trPr/>
        <w:tc>
          <w:tcPr>
            <w:tcW w:w="5449" w:type="dxa"/>
            <w:tcBorders/>
          </w:tcPr>
          <w:p>
            <w:pPr>
              <w:pStyle w:val="TableContents"/>
              <w:bidi w:val="0"/>
              <w:spacing w:before="0" w:after="0"/>
              <w:jc w:val="left"/>
              <w:rPr>
                <w:rFonts w:ascii="Times New Roman" w:hAnsi="Times New Roman"/>
                <w:sz w:val="20"/>
              </w:rPr>
            </w:pPr>
            <w:r>
              <w:rPr>
                <w:rFonts w:ascii="Times New Roman" w:hAnsi="Times New Roman"/>
                <w:sz w:val="20"/>
              </w:rPr>
              <w:t>Accrued rebates and credits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1,967</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2,313</w:t>
            </w:r>
          </w:p>
        </w:tc>
        <w:tc>
          <w:tcPr>
            <w:tcW w:w="64" w:type="dxa"/>
            <w:tcBorders/>
            <w:vAlign w:val="bottom"/>
          </w:tcPr>
          <w:p>
            <w:pPr>
              <w:pStyle w:val="TableContents"/>
              <w:bidi w:val="0"/>
              <w:spacing w:before="0" w:after="283"/>
              <w:jc w:val="left"/>
              <w:rPr/>
            </w:pPr>
            <w:r>
              <w:rPr/>
              <w:t> </w:t>
            </w:r>
          </w:p>
        </w:tc>
      </w:tr>
      <w:tr>
        <w:trPr/>
        <w:tc>
          <w:tcPr>
            <w:tcW w:w="5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cost, current</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62</w:t>
            </w:r>
          </w:p>
        </w:tc>
        <w:tc>
          <w:tcPr>
            <w:tcW w:w="64" w:type="dxa"/>
            <w:tcBorders/>
            <w:shd w:fill="CCEEFF" w:val="clear"/>
            <w:vAlign w:val="bottom"/>
          </w:tcPr>
          <w:p>
            <w:pPr>
              <w:pStyle w:val="TableContents"/>
              <w:bidi w:val="0"/>
              <w:spacing w:before="0" w:after="283"/>
              <w:jc w:val="left"/>
              <w:rPr/>
            </w:pPr>
            <w:r>
              <w:rPr/>
              <w:t> </w:t>
            </w:r>
          </w:p>
        </w:tc>
      </w:tr>
      <w:tr>
        <w:trPr/>
        <w:tc>
          <w:tcPr>
            <w:tcW w:w="5449" w:type="dxa"/>
            <w:tcBorders/>
          </w:tcPr>
          <w:p>
            <w:pPr>
              <w:pStyle w:val="TableContents"/>
              <w:bidi w:val="0"/>
              <w:spacing w:before="0" w:after="0"/>
              <w:jc w:val="left"/>
              <w:rPr>
                <w:rFonts w:ascii="Times New Roman" w:hAnsi="Times New Roman"/>
                <w:sz w:val="20"/>
              </w:rPr>
            </w:pPr>
            <w:r>
              <w:rPr>
                <w:rFonts w:ascii="Times New Roman" w:hAnsi="Times New Roman"/>
                <w:sz w:val="20"/>
              </w:rPr>
              <w:t>Other taxes payable</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1,053</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2,275</w:t>
            </w:r>
          </w:p>
        </w:tc>
        <w:tc>
          <w:tcPr>
            <w:tcW w:w="64" w:type="dxa"/>
            <w:tcBorders/>
            <w:vAlign w:val="bottom"/>
          </w:tcPr>
          <w:p>
            <w:pPr>
              <w:pStyle w:val="TableContents"/>
              <w:bidi w:val="0"/>
              <w:spacing w:before="0" w:after="283"/>
              <w:jc w:val="left"/>
              <w:rPr/>
            </w:pPr>
            <w:r>
              <w:rPr/>
              <w:t> </w:t>
            </w:r>
          </w:p>
        </w:tc>
      </w:tr>
      <w:tr>
        <w:trPr/>
        <w:tc>
          <w:tcPr>
            <w:tcW w:w="5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deposits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773</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452</w:t>
            </w:r>
          </w:p>
        </w:tc>
        <w:tc>
          <w:tcPr>
            <w:tcW w:w="64" w:type="dxa"/>
            <w:tcBorders/>
            <w:shd w:fill="CCEEFF" w:val="clear"/>
            <w:vAlign w:val="bottom"/>
          </w:tcPr>
          <w:p>
            <w:pPr>
              <w:pStyle w:val="TableContents"/>
              <w:bidi w:val="0"/>
              <w:spacing w:before="0" w:after="283"/>
              <w:jc w:val="left"/>
              <w:rPr/>
            </w:pPr>
            <w:r>
              <w:rPr/>
              <w:t> </w:t>
            </w:r>
          </w:p>
        </w:tc>
      </w:tr>
      <w:tr>
        <w:trPr/>
        <w:tc>
          <w:tcPr>
            <w:tcW w:w="5449"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784</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1,099</w:t>
            </w:r>
          </w:p>
        </w:tc>
        <w:tc>
          <w:tcPr>
            <w:tcW w:w="64" w:type="dxa"/>
            <w:tcBorders/>
            <w:vAlign w:val="bottom"/>
          </w:tcPr>
          <w:p>
            <w:pPr>
              <w:pStyle w:val="TableContents"/>
              <w:bidi w:val="0"/>
              <w:spacing w:before="0" w:after="283"/>
              <w:jc w:val="left"/>
              <w:rPr/>
            </w:pPr>
            <w:r>
              <w:rPr/>
              <w:t> </w:t>
            </w:r>
          </w:p>
        </w:tc>
      </w:tr>
      <w:tr>
        <w:trPr/>
        <w:tc>
          <w:tcPr>
            <w:tcW w:w="5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amount payable to a vendor (Note 14)</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1,699</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1,252</w:t>
            </w:r>
          </w:p>
        </w:tc>
        <w:tc>
          <w:tcPr>
            <w:tcW w:w="64" w:type="dxa"/>
            <w:tcBorders/>
            <w:shd w:fill="CCEEFF" w:val="clear"/>
            <w:vAlign w:val="bottom"/>
          </w:tcPr>
          <w:p>
            <w:pPr>
              <w:pStyle w:val="TableContents"/>
              <w:bidi w:val="0"/>
              <w:spacing w:before="0" w:after="283"/>
              <w:jc w:val="left"/>
              <w:rPr/>
            </w:pPr>
            <w:r>
              <w:rPr/>
              <w:t> </w:t>
            </w:r>
          </w:p>
        </w:tc>
      </w:tr>
      <w:tr>
        <w:trPr/>
        <w:tc>
          <w:tcPr>
            <w:tcW w:w="5449" w:type="dxa"/>
            <w:tcBorders/>
          </w:tcPr>
          <w:p>
            <w:pPr>
              <w:pStyle w:val="TableContents"/>
              <w:bidi w:val="0"/>
              <w:spacing w:before="0" w:after="0"/>
              <w:jc w:val="left"/>
              <w:rPr>
                <w:rFonts w:ascii="Times New Roman" w:hAnsi="Times New Roman"/>
                <w:sz w:val="20"/>
              </w:rPr>
            </w:pPr>
            <w:r>
              <w:rPr>
                <w:rFonts w:ascii="Times New Roman" w:hAnsi="Times New Roman"/>
                <w:sz w:val="20"/>
              </w:rPr>
              <w:t>SCI Term Loan and Revolving Loan amendment fees</w:t>
              <w:br/>
              <w:t>(Note 7)</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1,700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993</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1,122</w:t>
            </w:r>
          </w:p>
        </w:tc>
        <w:tc>
          <w:tcPr>
            <w:tcW w:w="64" w:type="dxa"/>
            <w:tcBorders/>
            <w:shd w:fill="CCEEFF" w:val="clear"/>
            <w:vAlign w:val="bottom"/>
          </w:tcPr>
          <w:p>
            <w:pPr>
              <w:pStyle w:val="TableContents"/>
              <w:bidi w:val="0"/>
              <w:spacing w:before="0" w:after="283"/>
              <w:jc w:val="left"/>
              <w:rPr/>
            </w:pPr>
            <w:r>
              <w:rPr/>
              <w:t> </w:t>
            </w:r>
          </w:p>
        </w:tc>
      </w:tr>
      <w:tr>
        <w:trPr/>
        <w:tc>
          <w:tcPr>
            <w:tcW w:w="5449"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49"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4" w:type="dxa"/>
            <w:tcBorders/>
            <w:vAlign w:val="bottom"/>
          </w:tcPr>
          <w:p>
            <w:pPr>
              <w:pStyle w:val="TableContents"/>
              <w:bidi w:val="0"/>
              <w:spacing w:before="0" w:after="283"/>
              <w:jc w:val="right"/>
              <w:rPr/>
            </w:pPr>
            <w:r>
              <w:rPr/>
              <w:t>11,713</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9,975</w:t>
            </w:r>
          </w:p>
        </w:tc>
        <w:tc>
          <w:tcPr>
            <w:tcW w:w="64" w:type="dxa"/>
            <w:tcBorders/>
            <w:vAlign w:val="bottom"/>
          </w:tcPr>
          <w:p>
            <w:pPr>
              <w:pStyle w:val="TableContents"/>
              <w:bidi w:val="0"/>
              <w:spacing w:before="0" w:after="283"/>
              <w:jc w:val="left"/>
              <w:rPr/>
            </w:pPr>
            <w:r>
              <w:rPr/>
              <w:t> </w:t>
            </w:r>
          </w:p>
        </w:tc>
      </w:tr>
      <w:tr>
        <w:trPr/>
        <w:tc>
          <w:tcPr>
            <w:tcW w:w="5449"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91"/>
        <w:gridCol w:w="437"/>
        <w:gridCol w:w="249"/>
        <w:gridCol w:w="1004"/>
        <w:gridCol w:w="276"/>
        <w:gridCol w:w="479"/>
        <w:gridCol w:w="249"/>
        <w:gridCol w:w="1007"/>
        <w:gridCol w:w="63"/>
      </w:tblGrid>
      <w:tr>
        <w:trPr/>
        <w:tc>
          <w:tcPr>
            <w:tcW w:w="3991"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264"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Years Ended December 31,    </w:t>
            </w:r>
          </w:p>
        </w:tc>
        <w:tc>
          <w:tcPr>
            <w:tcW w:w="63" w:type="dxa"/>
            <w:tcBorders/>
            <w:vAlign w:val="bottom"/>
          </w:tcPr>
          <w:p>
            <w:pPr>
              <w:pStyle w:val="TableContents"/>
              <w:bidi w:val="0"/>
              <w:spacing w:before="0" w:after="283"/>
              <w:jc w:val="left"/>
              <w:rPr/>
            </w:pPr>
            <w:r>
              <w:rPr/>
              <w:t> </w:t>
            </w:r>
          </w:p>
        </w:tc>
      </w:tr>
      <w:tr>
        <w:trPr/>
        <w:tc>
          <w:tcPr>
            <w:tcW w:w="399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w:t>
            </w:r>
          </w:p>
        </w:tc>
        <w:tc>
          <w:tcPr>
            <w:tcW w:w="276"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2020    </w:t>
            </w:r>
          </w:p>
        </w:tc>
        <w:tc>
          <w:tcPr>
            <w:tcW w:w="63" w:type="dxa"/>
            <w:tcBorders/>
            <w:vAlign w:val="bottom"/>
          </w:tcPr>
          <w:p>
            <w:pPr>
              <w:pStyle w:val="TableContents"/>
              <w:bidi w:val="0"/>
              <w:spacing w:before="0" w:after="283"/>
              <w:jc w:val="left"/>
              <w:rPr/>
            </w:pPr>
            <w:r>
              <w:rPr/>
              <w:t> </w:t>
            </w:r>
          </w:p>
        </w:tc>
      </w:tr>
      <w:tr>
        <w:trPr/>
        <w:tc>
          <w:tcPr>
            <w:tcW w:w="3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Forgiveness of Paycheck Protection Program Loan (Note 7)</w:t>
            </w:r>
          </w:p>
        </w:tc>
        <w:tc>
          <w:tcPr>
            <w:tcW w:w="43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1,433</w:t>
            </w:r>
          </w:p>
        </w:tc>
        <w:tc>
          <w:tcPr>
            <w:tcW w:w="276"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99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redeemable convertible preferred stock warrant liability (Note 8)</w:t>
            </w:r>
          </w:p>
        </w:tc>
        <w:tc>
          <w:tcPr>
            <w:tcW w:w="43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358</w:t>
            </w:r>
          </w:p>
        </w:tc>
        <w:tc>
          <w:tcPr>
            <w:tcW w:w="276"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1,085</w:t>
            </w:r>
          </w:p>
        </w:tc>
        <w:tc>
          <w:tcPr>
            <w:tcW w:w="63" w:type="dxa"/>
            <w:tcBorders/>
            <w:vAlign w:val="bottom"/>
          </w:tcPr>
          <w:p>
            <w:pPr>
              <w:pStyle w:val="TableContents"/>
              <w:bidi w:val="0"/>
              <w:spacing w:before="0" w:after="283"/>
              <w:jc w:val="left"/>
              <w:rPr/>
            </w:pPr>
            <w:r>
              <w:rPr/>
              <w:t> </w:t>
            </w:r>
          </w:p>
        </w:tc>
      </w:tr>
      <w:tr>
        <w:trPr/>
        <w:tc>
          <w:tcPr>
            <w:tcW w:w="3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Write-off of Investment in Privately Held Company</w:t>
            </w:r>
          </w:p>
        </w:tc>
        <w:tc>
          <w:tcPr>
            <w:tcW w:w="43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(250</w:t>
            </w:r>
          </w:p>
        </w:tc>
        <w:tc>
          <w:tcPr>
            <w:tcW w:w="276"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991" w:type="dxa"/>
            <w:tcBorders/>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43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(83</w:t>
            </w:r>
          </w:p>
        </w:tc>
        <w:tc>
          <w:tcPr>
            <w:tcW w:w="276"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319</w:t>
            </w:r>
          </w:p>
        </w:tc>
        <w:tc>
          <w:tcPr>
            <w:tcW w:w="63" w:type="dxa"/>
            <w:tcBorders/>
            <w:vAlign w:val="bottom"/>
          </w:tcPr>
          <w:p>
            <w:pPr>
              <w:pStyle w:val="TableContents"/>
              <w:bidi w:val="0"/>
              <w:spacing w:before="0" w:after="283"/>
              <w:jc w:val="left"/>
              <w:rPr/>
            </w:pPr>
            <w:r>
              <w:rPr/>
              <w:t> </w:t>
            </w:r>
          </w:p>
        </w:tc>
      </w:tr>
      <w:tr>
        <w:trPr/>
        <w:tc>
          <w:tcPr>
            <w:tcW w:w="3991"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43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1,458</w:t>
            </w:r>
          </w:p>
        </w:tc>
        <w:tc>
          <w:tcPr>
            <w:tcW w:w="276"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1,404</w:t>
            </w:r>
          </w:p>
        </w:tc>
        <w:tc>
          <w:tcPr>
            <w:tcW w:w="63" w:type="dxa"/>
            <w:tcBorders/>
            <w:shd w:fill="CCEEFF" w:val="clear"/>
            <w:vAlign w:val="bottom"/>
          </w:tcPr>
          <w:p>
            <w:pPr>
              <w:pStyle w:val="TableContents"/>
              <w:bidi w:val="0"/>
              <w:spacing w:before="0" w:after="283"/>
              <w:jc w:val="left"/>
              <w:rPr/>
            </w:pPr>
            <w:r>
              <w:rPr/>
              <w:t> </w:t>
            </w:r>
          </w:p>
        </w:tc>
      </w:tr>
      <w:tr>
        <w:trPr/>
        <w:tc>
          <w:tcPr>
            <w:tcW w:w="3991"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b/>
          <w:sz w:val="20"/>
        </w:rPr>
        <w:t>Operating Leases</w:t>
      </w:r>
      <w:r>
        <w:rPr>
          <w:rFonts w:ascii="Times New Roman" w:hAnsi="Times New Roman"/>
          <w:i/>
          <w:sz w:val="20"/>
        </w:rPr>
        <w:t xml:space="preserve"> </w:t>
      </w:r>
      <w:r>
        <w:rPr>
          <w:rFonts w:ascii="Times New Roman" w:hAnsi="Times New Roman"/>
          <w:sz w:val="20"/>
        </w:rPr>
        <w:t xml:space="preserve">In April 2018, the Company entered into a 56-month lease agreement for an office space in Oakland, California for $0.8 million in total payments. Effective June 2021, the Company terminated the lease agreement and agreed to settle the unpaid rent and related legal costs for $0.3 million. As a result, the Company derecognized the Oakland right-of use asset and corresponding lease liability and recognized a loss of $0.01 million as Other Income (Expense), net in the Consolidated Statement of Operations and Comprehensive Loss for the year ended December 31,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November 2019, the Company entered an 84-month lease for office and manufacturing space in Fremont, California (Fremont facility) for $3.3 million in total payment. The Company has an option to renew the lease for five years. Lease renewals are not assumed in the determination of the lease term until the exercise of the renewals are deemed to be reasonably certain. </w:t>
      </w:r>
    </w:p>
    <w:p>
      <w:pPr>
        <w:pStyle w:val="TextBody"/>
        <w:bidi w:val="0"/>
        <w:spacing w:before="120" w:after="0"/>
        <w:jc w:val="left"/>
        <w:rPr>
          <w:rFonts w:ascii="Times New Roman" w:hAnsi="Times New Roman"/>
          <w:sz w:val="20"/>
        </w:rPr>
      </w:pPr>
      <w:r>
        <w:rPr>
          <w:rFonts w:ascii="Times New Roman" w:hAnsi="Times New Roman"/>
          <w:sz w:val="20"/>
        </w:rPr>
        <w:t xml:space="preserve">Operating lease right of use assets and lease liability as of December 31, 2021 and 2020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75"/>
        <w:gridCol w:w="322"/>
        <w:gridCol w:w="140"/>
        <w:gridCol w:w="567"/>
        <w:gridCol w:w="60"/>
        <w:gridCol w:w="322"/>
        <w:gridCol w:w="140"/>
        <w:gridCol w:w="567"/>
        <w:gridCol w:w="62"/>
      </w:tblGrid>
      <w:tr>
        <w:trPr/>
        <w:tc>
          <w:tcPr>
            <w:tcW w:w="5575"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7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7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2" w:type="dxa"/>
            <w:tcBorders/>
            <w:vAlign w:val="bottom"/>
          </w:tcPr>
          <w:p>
            <w:pPr>
              <w:pStyle w:val="TableContents"/>
              <w:bidi w:val="0"/>
              <w:spacing w:before="0" w:after="283"/>
              <w:jc w:val="left"/>
              <w:rPr/>
            </w:pPr>
            <w:r>
              <w:rPr/>
              <w:t> </w:t>
            </w:r>
          </w:p>
        </w:tc>
      </w:tr>
      <w:tr>
        <w:trPr/>
        <w:tc>
          <w:tcPr>
            <w:tcW w:w="557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2" w:type="dxa"/>
            <w:tcBorders/>
            <w:vAlign w:val="bottom"/>
          </w:tcPr>
          <w:p>
            <w:pPr>
              <w:pStyle w:val="TableContents"/>
              <w:bidi w:val="0"/>
              <w:spacing w:before="0" w:after="283"/>
              <w:jc w:val="left"/>
              <w:rPr/>
            </w:pPr>
            <w:r>
              <w:rPr/>
              <w:t> </w:t>
            </w:r>
          </w:p>
        </w:tc>
      </w:tr>
      <w:tr>
        <w:trPr/>
        <w:tc>
          <w:tcPr>
            <w:tcW w:w="55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1,642</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2,156</w:t>
            </w:r>
          </w:p>
        </w:tc>
        <w:tc>
          <w:tcPr>
            <w:tcW w:w="62" w:type="dxa"/>
            <w:tcBorders/>
            <w:shd w:fill="CCEEFF" w:val="clear"/>
            <w:vAlign w:val="bottom"/>
          </w:tcPr>
          <w:p>
            <w:pPr>
              <w:pStyle w:val="TableContents"/>
              <w:bidi w:val="0"/>
              <w:spacing w:before="0" w:after="283"/>
              <w:jc w:val="left"/>
              <w:rPr/>
            </w:pPr>
            <w:r>
              <w:rPr/>
              <w:t> </w:t>
            </w:r>
          </w:p>
        </w:tc>
      </w:tr>
      <w:tr>
        <w:trPr/>
        <w:tc>
          <w:tcPr>
            <w:tcW w:w="557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75"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5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283</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390</w:t>
            </w:r>
          </w:p>
        </w:tc>
        <w:tc>
          <w:tcPr>
            <w:tcW w:w="62" w:type="dxa"/>
            <w:tcBorders/>
            <w:shd w:fill="CCEEFF" w:val="clear"/>
            <w:vAlign w:val="bottom"/>
          </w:tcPr>
          <w:p>
            <w:pPr>
              <w:pStyle w:val="TableContents"/>
              <w:bidi w:val="0"/>
              <w:spacing w:before="0" w:after="283"/>
              <w:jc w:val="left"/>
              <w:rPr/>
            </w:pPr>
            <w:r>
              <w:rPr/>
              <w:t> </w:t>
            </w:r>
          </w:p>
        </w:tc>
      </w:tr>
      <w:tr>
        <w:trPr/>
        <w:tc>
          <w:tcPr>
            <w:tcW w:w="5575" w:type="dxa"/>
            <w:tcBorders/>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1,674</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2,139</w:t>
            </w:r>
          </w:p>
        </w:tc>
        <w:tc>
          <w:tcPr>
            <w:tcW w:w="62" w:type="dxa"/>
            <w:tcBorders/>
            <w:vAlign w:val="bottom"/>
          </w:tcPr>
          <w:p>
            <w:pPr>
              <w:pStyle w:val="TableContents"/>
              <w:bidi w:val="0"/>
              <w:spacing w:before="0" w:after="283"/>
              <w:jc w:val="left"/>
              <w:rPr/>
            </w:pPr>
            <w:r>
              <w:rPr/>
              <w:t> </w:t>
            </w:r>
          </w:p>
        </w:tc>
      </w:tr>
      <w:tr>
        <w:trPr/>
        <w:tc>
          <w:tcPr>
            <w:tcW w:w="557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1,957</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2,529</w:t>
            </w:r>
          </w:p>
        </w:tc>
        <w:tc>
          <w:tcPr>
            <w:tcW w:w="62" w:type="dxa"/>
            <w:tcBorders/>
            <w:shd w:fill="CCEEFF" w:val="clear"/>
            <w:vAlign w:val="bottom"/>
          </w:tcPr>
          <w:p>
            <w:pPr>
              <w:pStyle w:val="TableContents"/>
              <w:bidi w:val="0"/>
              <w:spacing w:before="0" w:after="283"/>
              <w:jc w:val="left"/>
              <w:rPr/>
            </w:pPr>
            <w:r>
              <w:rPr/>
              <w:t> </w:t>
            </w:r>
          </w:p>
        </w:tc>
      </w:tr>
      <w:tr>
        <w:trPr/>
        <w:tc>
          <w:tcPr>
            <w:tcW w:w="557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2021 and 2020, the Company incurred operating leases expenses of $0.7 million and $0.8 million, respectively, which is included in research and engineering, sale and marketing and general and administrative expenses in the consolidated statement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Supplemental cash flow information and non-cash activity related to the Companys operating leases for the years ended December 31, 2021 and 2020, respectively,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7"/>
        <w:gridCol w:w="438"/>
        <w:gridCol w:w="250"/>
        <w:gridCol w:w="680"/>
        <w:gridCol w:w="107"/>
        <w:gridCol w:w="519"/>
        <w:gridCol w:w="250"/>
        <w:gridCol w:w="681"/>
        <w:gridCol w:w="63"/>
      </w:tblGrid>
      <w:tr>
        <w:trPr/>
        <w:tc>
          <w:tcPr>
            <w:tcW w:w="4767"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67"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487"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As of December 31,    </w:t>
            </w:r>
          </w:p>
        </w:tc>
        <w:tc>
          <w:tcPr>
            <w:tcW w:w="63" w:type="dxa"/>
            <w:tcBorders/>
            <w:vAlign w:val="bottom"/>
          </w:tcPr>
          <w:p>
            <w:pPr>
              <w:pStyle w:val="TableContents"/>
              <w:bidi w:val="0"/>
              <w:spacing w:before="0" w:after="283"/>
              <w:jc w:val="left"/>
              <w:rPr/>
            </w:pPr>
            <w:r>
              <w:rPr/>
              <w:t> </w:t>
            </w:r>
          </w:p>
        </w:tc>
      </w:tr>
      <w:tr>
        <w:trPr/>
        <w:tc>
          <w:tcPr>
            <w:tcW w:w="4767"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9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w:t>
            </w:r>
          </w:p>
        </w:tc>
        <w:tc>
          <w:tcPr>
            <w:tcW w:w="107"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2020    </w:t>
            </w:r>
          </w:p>
        </w:tc>
        <w:tc>
          <w:tcPr>
            <w:tcW w:w="63" w:type="dxa"/>
            <w:tcBorders/>
            <w:vAlign w:val="bottom"/>
          </w:tcPr>
          <w:p>
            <w:pPr>
              <w:pStyle w:val="TableContents"/>
              <w:bidi w:val="0"/>
              <w:spacing w:before="0" w:after="283"/>
              <w:jc w:val="left"/>
              <w:rPr/>
            </w:pPr>
            <w:r>
              <w:rPr/>
              <w:t> </w:t>
            </w:r>
          </w:p>
        </w:tc>
      </w:tr>
      <w:tr>
        <w:trPr/>
        <w:tc>
          <w:tcPr>
            <w:tcW w:w="4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payments included in the measurement of operating lease liability  operating cash flows</w:t>
            </w:r>
          </w:p>
        </w:tc>
        <w:tc>
          <w:tcPr>
            <w:tcW w:w="43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991</w:t>
            </w:r>
          </w:p>
        </w:tc>
        <w:tc>
          <w:tcPr>
            <w:tcW w:w="107"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441</w:t>
            </w:r>
          </w:p>
        </w:tc>
        <w:tc>
          <w:tcPr>
            <w:tcW w:w="63" w:type="dxa"/>
            <w:tcBorders/>
            <w:shd w:fill="CCEEFF" w:val="clear"/>
            <w:vAlign w:val="bottom"/>
          </w:tcPr>
          <w:p>
            <w:pPr>
              <w:pStyle w:val="TableContents"/>
              <w:bidi w:val="0"/>
              <w:spacing w:before="0" w:after="283"/>
              <w:jc w:val="left"/>
              <w:rPr/>
            </w:pPr>
            <w:r>
              <w:rPr/>
              <w:t> </w:t>
            </w:r>
          </w:p>
        </w:tc>
      </w:tr>
      <w:tr>
        <w:trPr/>
        <w:tc>
          <w:tcPr>
            <w:tcW w:w="476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2021, future minimum lease payments under the noncancellable lease agreements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63"/>
        <w:gridCol w:w="258"/>
        <w:gridCol w:w="172"/>
        <w:gridCol w:w="689"/>
        <w:gridCol w:w="157"/>
      </w:tblGrid>
      <w:tr>
        <w:trPr/>
        <w:tc>
          <w:tcPr>
            <w:tcW w:w="5663"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Future Operating Lease Payments</w:t>
            </w:r>
          </w:p>
        </w:tc>
        <w:tc>
          <w:tcPr>
            <w:tcW w:w="25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7"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25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512</w:t>
            </w:r>
          </w:p>
        </w:tc>
        <w:tc>
          <w:tcPr>
            <w:tcW w:w="157" w:type="dxa"/>
            <w:tcBorders/>
            <w:shd w:fill="CCEEFF" w:val="clear"/>
            <w:vAlign w:val="bottom"/>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25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528</w:t>
            </w:r>
          </w:p>
        </w:tc>
        <w:tc>
          <w:tcPr>
            <w:tcW w:w="157"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25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548</w:t>
            </w:r>
          </w:p>
        </w:tc>
        <w:tc>
          <w:tcPr>
            <w:tcW w:w="157" w:type="dxa"/>
            <w:tcBorders/>
            <w:shd w:fill="CCEEFF" w:val="clear"/>
            <w:vAlign w:val="bottom"/>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5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559</w:t>
            </w:r>
          </w:p>
        </w:tc>
        <w:tc>
          <w:tcPr>
            <w:tcW w:w="157"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25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477</w:t>
            </w:r>
          </w:p>
        </w:tc>
        <w:tc>
          <w:tcPr>
            <w:tcW w:w="157" w:type="dxa"/>
            <w:tcBorders/>
            <w:shd w:fill="CCEEFF" w:val="clear"/>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Reasonably certain future lease payments</w:t>
            </w:r>
          </w:p>
        </w:tc>
        <w:tc>
          <w:tcPr>
            <w:tcW w:w="25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2,624</w:t>
            </w:r>
          </w:p>
        </w:tc>
        <w:tc>
          <w:tcPr>
            <w:tcW w:w="157"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25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(667</w:t>
            </w:r>
          </w:p>
        </w:tc>
        <w:tc>
          <w:tcPr>
            <w:tcW w:w="157" w:type="dxa"/>
            <w:tcBorders/>
            <w:shd w:fill="CCEEFF" w:val="clear"/>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lease liability</w:t>
            </w:r>
          </w:p>
        </w:tc>
        <w:tc>
          <w:tcPr>
            <w:tcW w:w="25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1,957</w:t>
            </w:r>
          </w:p>
        </w:tc>
        <w:tc>
          <w:tcPr>
            <w:tcW w:w="157"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25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283</w:t>
            </w:r>
          </w:p>
        </w:tc>
        <w:tc>
          <w:tcPr>
            <w:tcW w:w="157" w:type="dxa"/>
            <w:tcBorders/>
            <w:shd w:fill="CCEEFF" w:val="clear"/>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25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1,674</w:t>
            </w:r>
          </w:p>
        </w:tc>
        <w:tc>
          <w:tcPr>
            <w:tcW w:w="157"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10"/>
        <w:gridCol w:w="274"/>
        <w:gridCol w:w="60"/>
        <w:gridCol w:w="1007"/>
        <w:gridCol w:w="275"/>
        <w:gridCol w:w="180"/>
        <w:gridCol w:w="60"/>
        <w:gridCol w:w="1007"/>
        <w:gridCol w:w="282"/>
      </w:tblGrid>
      <w:tr>
        <w:trPr/>
        <w:tc>
          <w:tcPr>
            <w:tcW w:w="461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61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282"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282" w:type="dxa"/>
            <w:tcBorders/>
            <w:vAlign w:val="bottom"/>
          </w:tcPr>
          <w:p>
            <w:pPr>
              <w:pStyle w:val="TableContents"/>
              <w:bidi w:val="0"/>
              <w:spacing w:before="0" w:after="283"/>
              <w:jc w:val="left"/>
              <w:rPr/>
            </w:pPr>
            <w:r>
              <w:rPr/>
              <w:t> </w:t>
            </w:r>
          </w:p>
        </w:tc>
      </w:tr>
      <w:tr>
        <w:trPr/>
        <w:tc>
          <w:tcPr>
            <w:tcW w:w="4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4.4 Years</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5.3 Years</w:t>
            </w:r>
          </w:p>
        </w:tc>
        <w:tc>
          <w:tcPr>
            <w:tcW w:w="282" w:type="dxa"/>
            <w:tcBorders/>
            <w:shd w:fill="CCEEFF" w:val="clear"/>
            <w:vAlign w:val="bottom"/>
          </w:tcPr>
          <w:p>
            <w:pPr>
              <w:pStyle w:val="TableContents"/>
              <w:bidi w:val="0"/>
              <w:spacing w:before="0" w:after="283"/>
              <w:jc w:val="left"/>
              <w:rPr/>
            </w:pPr>
            <w:r>
              <w:rPr/>
              <w:t> </w:t>
            </w:r>
          </w:p>
        </w:tc>
      </w:tr>
      <w:tr>
        <w:trPr/>
        <w:tc>
          <w:tcPr>
            <w:tcW w:w="4610"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lease discount rate</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12.75</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12.75</w:t>
            </w:r>
          </w:p>
        </w:tc>
        <w:tc>
          <w:tcPr>
            <w:tcW w:w="28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2021 and 2020, the discount rate of 12.75% for the operating lease was determined based on recent debt financing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NOTES PAYABLE,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Notes payable, net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06"/>
        <w:gridCol w:w="308"/>
        <w:gridCol w:w="140"/>
        <w:gridCol w:w="795"/>
        <w:gridCol w:w="161"/>
        <w:gridCol w:w="251"/>
        <w:gridCol w:w="140"/>
        <w:gridCol w:w="687"/>
        <w:gridCol w:w="167"/>
      </w:tblGrid>
      <w:tr>
        <w:trPr/>
        <w:tc>
          <w:tcPr>
            <w:tcW w:w="5106"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1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7"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7" w:type="dxa"/>
            <w:tcBorders/>
            <w:vAlign w:val="bottom"/>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2018 Bridge Notes</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7,076</w:t>
            </w:r>
          </w:p>
        </w:tc>
        <w:tc>
          <w:tcPr>
            <w:tcW w:w="1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4,422</w:t>
            </w:r>
          </w:p>
        </w:tc>
        <w:tc>
          <w:tcPr>
            <w:tcW w:w="167" w:type="dxa"/>
            <w:tcBorders/>
            <w:shd w:fill="CCEEFF" w:val="clear"/>
            <w:vAlign w:val="bottom"/>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Payroll Protection Program Loan</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1,414</w:t>
            </w:r>
          </w:p>
        </w:tc>
        <w:tc>
          <w:tcPr>
            <w:tcW w:w="16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1,433</w:t>
            </w:r>
          </w:p>
        </w:tc>
        <w:tc>
          <w:tcPr>
            <w:tcW w:w="167" w:type="dxa"/>
            <w:tcBorders/>
            <w:vAlign w:val="bottom"/>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Simple Agreement for Future Equity Note</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34,001</w:t>
            </w:r>
          </w:p>
        </w:tc>
        <w:tc>
          <w:tcPr>
            <w:tcW w:w="1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2,000</w:t>
            </w:r>
          </w:p>
        </w:tc>
        <w:tc>
          <w:tcPr>
            <w:tcW w:w="167" w:type="dxa"/>
            <w:tcBorders/>
            <w:shd w:fill="CCEEFF" w:val="clear"/>
            <w:vAlign w:val="bottom"/>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Term and Revolver Loan</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9,618</w:t>
            </w:r>
          </w:p>
        </w:tc>
        <w:tc>
          <w:tcPr>
            <w:tcW w:w="16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9,254</w:t>
            </w:r>
          </w:p>
        </w:tc>
        <w:tc>
          <w:tcPr>
            <w:tcW w:w="167"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notes payable, net</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52,109</w:t>
            </w:r>
          </w:p>
        </w:tc>
        <w:tc>
          <w:tcPr>
            <w:tcW w:w="1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17,109</w:t>
            </w:r>
          </w:p>
        </w:tc>
        <w:tc>
          <w:tcPr>
            <w:tcW w:w="167" w:type="dxa"/>
            <w:tcBorders/>
            <w:shd w:fill="CCEEFF" w:val="clear"/>
            <w:vAlign w:val="bottom"/>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(10,912</w:t>
            </w:r>
          </w:p>
        </w:tc>
        <w:tc>
          <w:tcPr>
            <w:tcW w:w="16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(5,938</w:t>
            </w:r>
          </w:p>
        </w:tc>
        <w:tc>
          <w:tcPr>
            <w:tcW w:w="167"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payable, net of current portion</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41,197</w:t>
            </w:r>
          </w:p>
        </w:tc>
        <w:tc>
          <w:tcPr>
            <w:tcW w:w="1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11,171</w:t>
            </w:r>
          </w:p>
        </w:tc>
        <w:tc>
          <w:tcPr>
            <w:tcW w:w="167" w:type="dxa"/>
            <w:tcBorders/>
            <w:shd w:fill="CCEEFF" w:val="clear"/>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2018 Bridge Notes</w:t>
      </w:r>
    </w:p>
    <w:p>
      <w:pPr>
        <w:pStyle w:val="TextBody"/>
        <w:bidi w:val="0"/>
        <w:spacing w:before="120" w:after="0"/>
        <w:jc w:val="left"/>
        <w:rPr>
          <w:rFonts w:ascii="Times New Roman" w:hAnsi="Times New Roman"/>
          <w:sz w:val="20"/>
        </w:rPr>
      </w:pPr>
      <w:r>
        <w:rPr>
          <w:rFonts w:ascii="Times New Roman" w:hAnsi="Times New Roman"/>
          <w:sz w:val="20"/>
        </w:rPr>
        <w:t xml:space="preserve">In December 2018, the Company issued senior subordinated convertible secured notes (2018 Notes) totaling approximately $3.4 million in exchange for cash. The notes bear interest at the rate of 8% per annum and the investors are entitled to receive twice of the face value of the notes at maturity. The 2018 Notes are secured by substantially all of the Companys assets.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2018 Notes, the Company originally issued warrants to purchase 486,240 shares of its common stock at $0.01 per share. The warrants, which were exercisable upon issuance, expire in December 2023. At issuance, the Company determined the relative fair value of the warrants to be $1.1 million. The Company recorded the fair value of the warrant as a debt discount within additional paid-in capital. After allocating $1.1 million to the warrant, the fair value of preferred stock in which the notes could be converted exceeded the carrying value of the notes. As such the conversion feature under the notes was considered a beneficial conversion feature which was treated as debt discount and amortized to interest expense using the effective interest rate method. The Company recorded an additional $1.1 million discount to the notes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2021, the Company entered into an amendment to the 2018 Notes extending the maturity date from December 13, 2021 to December 13, 2022. In connection with the amendment, the notes will continue to bear interest at 8% per annum and are entitled to a repayment premium of 110% of the principal and accrued interest at the time of repayment. Additionally, the Company issued warrants to purchase 196,462 shares of Series E-1 redeemable convertible preferred stock (Series E-1 warrants) at $4.59 per share in connection with the amendment. The warrants were exercisable immediately and expire on December 13, 2031. Upon issuance, the Company determined the fair value of the warrants to be $0.7 million using the Black-Scholes option-pricing model using the following assumptions: no dividends; risk-free interest rate of 1.42%; contractual life of 10 years; and expected volatility of 54.4%. The Series E-1 warrants qualified as liabilities as the underlying preferred stock were contingently redeemable upon the occurrence of a change in control, which is outside the control of the Company. At December 31, 2021, all of the warrants issued remain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concluded that the modification was a troubled debt restructuring as the Company was experiencing financial difficulty and the amended terms resulted in a concession to the Company. As the future undiscounted cash payments under the modified terms exceeded the carrying amount of the 2018 Notes on the date of modification, the modification was accounted for prospectively. Additionally, the Company recorded the fair value of the Series E-1 warrants as a reduction of Notes payable, net of discounts to the restructured notes on the date of modification. The debt discount and incremental repayment premium are being amortized to interest expense using the effective interest rate method.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net carrying value of 2018 Bridge Notes was as below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08"/>
        <w:gridCol w:w="368"/>
        <w:gridCol w:w="140"/>
        <w:gridCol w:w="637"/>
        <w:gridCol w:w="155"/>
        <w:gridCol w:w="312"/>
        <w:gridCol w:w="140"/>
        <w:gridCol w:w="637"/>
        <w:gridCol w:w="158"/>
      </w:tblGrid>
      <w:tr>
        <w:trPr/>
        <w:tc>
          <w:tcPr>
            <w:tcW w:w="5208"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0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8" w:type="dxa"/>
            <w:tcBorders/>
            <w:vAlign w:val="bottom"/>
          </w:tcPr>
          <w:p>
            <w:pPr>
              <w:pStyle w:val="TableContents"/>
              <w:bidi w:val="0"/>
              <w:spacing w:before="0" w:after="283"/>
              <w:jc w:val="left"/>
              <w:rPr/>
            </w:pPr>
            <w:r>
              <w:rPr/>
              <w:t> </w:t>
            </w:r>
          </w:p>
        </w:tc>
      </w:tr>
      <w:tr>
        <w:trPr/>
        <w:tc>
          <w:tcPr>
            <w:tcW w:w="520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7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8" w:type="dxa"/>
            <w:tcBorders/>
            <w:vAlign w:val="bottom"/>
          </w:tcPr>
          <w:p>
            <w:pPr>
              <w:pStyle w:val="TableContents"/>
              <w:bidi w:val="0"/>
              <w:spacing w:before="0" w:after="283"/>
              <w:jc w:val="left"/>
              <w:rPr/>
            </w:pPr>
            <w:r>
              <w:rPr/>
              <w:t> </w:t>
            </w:r>
          </w:p>
        </w:tc>
      </w:tr>
      <w:tr>
        <w:trPr/>
        <w:tc>
          <w:tcPr>
            <w:tcW w:w="5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7,777</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5,555</w:t>
            </w:r>
          </w:p>
        </w:tc>
        <w:tc>
          <w:tcPr>
            <w:tcW w:w="158" w:type="dxa"/>
            <w:tcBorders/>
            <w:shd w:fill="CCEEFF" w:val="clear"/>
            <w:vAlign w:val="bottom"/>
          </w:tcPr>
          <w:p>
            <w:pPr>
              <w:pStyle w:val="TableContents"/>
              <w:bidi w:val="0"/>
              <w:spacing w:before="0" w:after="283"/>
              <w:jc w:val="left"/>
              <w:rPr/>
            </w:pPr>
            <w:r>
              <w:rPr/>
              <w:t> </w:t>
            </w:r>
          </w:p>
        </w:tc>
      </w:tr>
      <w:tr>
        <w:trPr/>
        <w:tc>
          <w:tcPr>
            <w:tcW w:w="5208"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debt discount</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(701</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(1,133</w:t>
            </w:r>
          </w:p>
        </w:tc>
        <w:tc>
          <w:tcPr>
            <w:tcW w:w="158" w:type="dxa"/>
            <w:tcBorders/>
            <w:vAlign w:val="bottom"/>
          </w:tcPr>
          <w:p>
            <w:pPr>
              <w:pStyle w:val="TableContents"/>
              <w:bidi w:val="0"/>
              <w:spacing w:before="0" w:after="283"/>
              <w:jc w:val="left"/>
              <w:rPr/>
            </w:pPr>
            <w:r>
              <w:rPr/>
              <w:t>) </w:t>
            </w:r>
          </w:p>
        </w:tc>
      </w:tr>
      <w:tr>
        <w:trPr/>
        <w:tc>
          <w:tcPr>
            <w:tcW w:w="5208"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carrying value</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7,076</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4,422</w:t>
            </w:r>
          </w:p>
        </w:tc>
        <w:tc>
          <w:tcPr>
            <w:tcW w:w="158" w:type="dxa"/>
            <w:tcBorders/>
            <w:shd w:fill="CCEEFF" w:val="clear"/>
            <w:vAlign w:val="bottom"/>
          </w:tcPr>
          <w:p>
            <w:pPr>
              <w:pStyle w:val="TableContents"/>
              <w:bidi w:val="0"/>
              <w:spacing w:before="0" w:after="283"/>
              <w:jc w:val="left"/>
              <w:rPr/>
            </w:pPr>
            <w:r>
              <w:rPr/>
              <w:t> </w:t>
            </w:r>
          </w:p>
        </w:tc>
      </w:tr>
      <w:tr>
        <w:trPr/>
        <w:tc>
          <w:tcPr>
            <w:tcW w:w="5208"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(7,076</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(4,422</w:t>
            </w:r>
          </w:p>
        </w:tc>
        <w:tc>
          <w:tcPr>
            <w:tcW w:w="158" w:type="dxa"/>
            <w:tcBorders/>
            <w:vAlign w:val="bottom"/>
          </w:tcPr>
          <w:p>
            <w:pPr>
              <w:pStyle w:val="TableContents"/>
              <w:bidi w:val="0"/>
              <w:spacing w:before="0" w:after="283"/>
              <w:jc w:val="left"/>
              <w:rPr/>
            </w:pPr>
            <w:r>
              <w:rPr/>
              <w:t>) </w:t>
            </w:r>
          </w:p>
        </w:tc>
      </w:tr>
      <w:tr>
        <w:trPr/>
        <w:tc>
          <w:tcPr>
            <w:tcW w:w="5208"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noncurrent portion</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208"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total interest expense recognized related to the 2018 Bridge Notes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79"/>
        <w:gridCol w:w="356"/>
        <w:gridCol w:w="140"/>
        <w:gridCol w:w="564"/>
        <w:gridCol w:w="278"/>
        <w:gridCol w:w="255"/>
        <w:gridCol w:w="140"/>
        <w:gridCol w:w="564"/>
        <w:gridCol w:w="279"/>
      </w:tblGrid>
      <w:tr>
        <w:trPr/>
        <w:tc>
          <w:tcPr>
            <w:tcW w:w="5179"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17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279" w:type="dxa"/>
            <w:tcBorders/>
            <w:vAlign w:val="bottom"/>
          </w:tcPr>
          <w:p>
            <w:pPr>
              <w:pStyle w:val="TableContents"/>
              <w:bidi w:val="0"/>
              <w:spacing w:before="0" w:after="283"/>
              <w:jc w:val="left"/>
              <w:rPr/>
            </w:pPr>
            <w:r>
              <w:rPr/>
              <w:t> </w:t>
            </w:r>
          </w:p>
        </w:tc>
      </w:tr>
      <w:tr>
        <w:trPr/>
        <w:tc>
          <w:tcPr>
            <w:tcW w:w="517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78"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279" w:type="dxa"/>
            <w:tcBorders/>
            <w:vAlign w:val="bottom"/>
          </w:tcPr>
          <w:p>
            <w:pPr>
              <w:pStyle w:val="TableContents"/>
              <w:bidi w:val="0"/>
              <w:spacing w:before="0" w:after="283"/>
              <w:jc w:val="left"/>
              <w:rPr/>
            </w:pPr>
            <w:r>
              <w:rPr/>
              <w:t> </w:t>
            </w:r>
          </w:p>
        </w:tc>
      </w:tr>
      <w:tr>
        <w:trPr/>
        <w:tc>
          <w:tcPr>
            <w:tcW w:w="5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discount</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1,160</w:t>
            </w:r>
          </w:p>
        </w:tc>
        <w:tc>
          <w:tcPr>
            <w:tcW w:w="278"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643</w:t>
            </w:r>
          </w:p>
        </w:tc>
        <w:tc>
          <w:tcPr>
            <w:tcW w:w="279" w:type="dxa"/>
            <w:tcBorders/>
            <w:shd w:fill="CCEEFF" w:val="clear"/>
            <w:vAlign w:val="bottom"/>
          </w:tcPr>
          <w:p>
            <w:pPr>
              <w:pStyle w:val="TableContents"/>
              <w:bidi w:val="0"/>
              <w:spacing w:before="0" w:after="283"/>
              <w:jc w:val="left"/>
              <w:rPr/>
            </w:pPr>
            <w:r>
              <w:rPr/>
              <w:t> </w:t>
            </w:r>
          </w:p>
        </w:tc>
      </w:tr>
      <w:tr>
        <w:trPr/>
        <w:tc>
          <w:tcPr>
            <w:tcW w:w="5179" w:type="dxa"/>
            <w:tcBorders/>
          </w:tcPr>
          <w:p>
            <w:pPr>
              <w:pStyle w:val="TableContents"/>
              <w:bidi w:val="0"/>
              <w:spacing w:before="0" w:after="0"/>
              <w:jc w:val="left"/>
              <w:rPr>
                <w:rFonts w:ascii="Times New Roman" w:hAnsi="Times New Roman"/>
                <w:sz w:val="20"/>
              </w:rPr>
            </w:pPr>
            <w:r>
              <w:rPr>
                <w:rFonts w:ascii="Times New Roman" w:hAnsi="Times New Roman"/>
                <w:sz w:val="20"/>
              </w:rPr>
              <w:t>Contractual interest expense</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2,223</w:t>
            </w:r>
          </w:p>
        </w:tc>
        <w:tc>
          <w:tcPr>
            <w:tcW w:w="278"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1,335</w:t>
            </w:r>
          </w:p>
        </w:tc>
        <w:tc>
          <w:tcPr>
            <w:tcW w:w="279" w:type="dxa"/>
            <w:tcBorders/>
            <w:vAlign w:val="bottom"/>
          </w:tcPr>
          <w:p>
            <w:pPr>
              <w:pStyle w:val="TableContents"/>
              <w:bidi w:val="0"/>
              <w:spacing w:before="0" w:after="283"/>
              <w:jc w:val="left"/>
              <w:rPr/>
            </w:pPr>
            <w:r>
              <w:rPr/>
              <w:t> </w:t>
            </w:r>
          </w:p>
        </w:tc>
      </w:tr>
      <w:tr>
        <w:trPr/>
        <w:tc>
          <w:tcPr>
            <w:tcW w:w="5179"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5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interest expense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3,383</w:t>
            </w:r>
          </w:p>
        </w:tc>
        <w:tc>
          <w:tcPr>
            <w:tcW w:w="278"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1,978</w:t>
            </w:r>
          </w:p>
        </w:tc>
        <w:tc>
          <w:tcPr>
            <w:tcW w:w="279" w:type="dxa"/>
            <w:tcBorders/>
            <w:shd w:fill="CCEEFF" w:val="clear"/>
            <w:vAlign w:val="bottom"/>
          </w:tcPr>
          <w:p>
            <w:pPr>
              <w:pStyle w:val="TableContents"/>
              <w:bidi w:val="0"/>
              <w:spacing w:before="0" w:after="283"/>
              <w:jc w:val="left"/>
              <w:rPr/>
            </w:pPr>
            <w:r>
              <w:rPr/>
              <w:t> </w:t>
            </w:r>
          </w:p>
        </w:tc>
      </w:tr>
      <w:tr>
        <w:trPr/>
        <w:tc>
          <w:tcPr>
            <w:tcW w:w="5179"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5179" w:type="dxa"/>
            <w:tcBorders/>
          </w:tcPr>
          <w:p>
            <w:pPr>
              <w:pStyle w:val="TableContents"/>
              <w:bidi w:val="0"/>
              <w:spacing w:before="0" w:after="0"/>
              <w:jc w:val="left"/>
              <w:rPr>
                <w:rFonts w:ascii="Times New Roman" w:hAnsi="Times New Roman"/>
                <w:sz w:val="20"/>
              </w:rPr>
            </w:pPr>
            <w:r>
              <w:rPr>
                <w:rFonts w:ascii="Times New Roman" w:hAnsi="Times New Roman"/>
                <w:sz w:val="20"/>
              </w:rPr>
              <w:t>Effective interest rate of the liability component</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32.6</w:t>
            </w:r>
          </w:p>
        </w:tc>
        <w:tc>
          <w:tcPr>
            <w:tcW w:w="278"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32.6</w:t>
            </w:r>
          </w:p>
        </w:tc>
        <w:tc>
          <w:tcPr>
            <w:tcW w:w="279" w:type="dxa"/>
            <w:tcBorders/>
            <w:vAlign w:val="bottom"/>
          </w:tcPr>
          <w:p>
            <w:pPr>
              <w:pStyle w:val="TableContents"/>
              <w:bidi w:val="0"/>
              <w:spacing w:before="0" w:after="283"/>
              <w:jc w:val="left"/>
              <w:rPr/>
            </w:pPr>
            <w:r>
              <w:rPr/>
              <w:t>% </w:t>
            </w:r>
          </w:p>
        </w:tc>
      </w:tr>
      <w:tr>
        <w:trPr/>
        <w:tc>
          <w:tcPr>
            <w:tcW w:w="5179"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sz w:val="20"/>
        </w:rPr>
        <w:t>Paycheck Protection Program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May 2020, the Company entered into an unsecured promissory note under the Payroll Protection Program (PPP Loan), with a bank under the PPP administered by the United States Small Business Administration (SBA) and authorized by the Keeping American Workers Employed and Paid Act, which is part of the CARES Act, enacted on March 27, 2020. The PPP Loan may be prepaid, in full or in part, at any time prior to maturity with no prepayment penalties. Under the terms of the PPP, the Company can apply for, and be granted, forgiveness for all or a portion of the PPP Loan. The principal amount of the PPP Loan is $1.4 million. The PPP Loan is non-interest bearing and has a maturity date of less than a year. The PPP Loan was forgiven in full in March 2021 and as a result gain on forgiveness of debt of $1.4 million is recorded within Other income (expense), net in the Companys Consolidated Statements of Operations and Comprehensive Loss for the year ended December 31, 2021.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2021, the Company obtained a PPP Loan with a principal amount of $1.4 million. The PPP Loan bears interest at less than 1% per annum and has a maturity date of less than one year. The PPP Loan principal and accrued interest was forgiven in full in January 2022. </w:t>
      </w:r>
    </w:p>
    <w:p>
      <w:pPr>
        <w:pStyle w:val="TextBody"/>
        <w:bidi w:val="0"/>
        <w:spacing w:before="120" w:after="0"/>
        <w:jc w:val="left"/>
        <w:rPr>
          <w:rFonts w:ascii="Times New Roman" w:hAnsi="Times New Roman"/>
          <w:b/>
          <w:sz w:val="20"/>
        </w:rPr>
      </w:pPr>
      <w:r>
        <w:rPr>
          <w:rFonts w:ascii="Times New Roman" w:hAnsi="Times New Roman"/>
          <w:b/>
          <w:sz w:val="20"/>
        </w:rPr>
        <w:t>Simple Agreement for Future Equity Notes</w:t>
      </w:r>
    </w:p>
    <w:p>
      <w:pPr>
        <w:pStyle w:val="TextBody"/>
        <w:bidi w:val="0"/>
        <w:spacing w:before="120" w:after="0"/>
        <w:jc w:val="left"/>
        <w:rPr>
          <w:rFonts w:ascii="Times New Roman" w:hAnsi="Times New Roman"/>
          <w:sz w:val="20"/>
        </w:rPr>
      </w:pPr>
      <w:r>
        <w:rPr>
          <w:rFonts w:ascii="Times New Roman" w:hAnsi="Times New Roman"/>
          <w:sz w:val="20"/>
        </w:rPr>
        <w:t>The Company entered into various interest free unsecured SAFE notes agreements and raised $32.0 million in fiscal 2021 and $2.0 million in fiscal 2020. The number of shares to be issued upon conversion of the SAFE notes are subject to the following:</w:t>
      </w:r>
    </w:p>
    <w:p>
      <w:pPr>
        <w:pStyle w:val="TextBody"/>
        <w:bidi w:val="0"/>
        <w:spacing w:before="120" w:after="0"/>
        <w:jc w:val="left"/>
        <w:rPr>
          <w:rFonts w:ascii="Times New Roman" w:hAnsi="Times New Roman"/>
          <w:sz w:val="20"/>
        </w:rPr>
      </w:pPr>
      <w:r>
        <w:rPr>
          <w:rFonts w:ascii="Times New Roman" w:hAnsi="Times New Roman"/>
          <w:sz w:val="20"/>
        </w:rPr>
        <w:t xml:space="preserve">Equity Financing </w:t>
      </w:r>
      <w:r>
        <w:rPr>
          <w:rFonts w:ascii="Times New Roman" w:hAnsi="Times New Roman"/>
          <w:i/>
          <w:sz w:val="20"/>
        </w:rPr>
        <w:t></w:t>
      </w:r>
      <w:r>
        <w:rPr>
          <w:rFonts w:ascii="Times New Roman" w:hAnsi="Times New Roman"/>
          <w:sz w:val="20"/>
        </w:rPr>
        <w:t xml:space="preserve"> In the event of certain equity financing before the termination of the SAFE note, on the initial closing of such equity financing, the SAFE note will automatically convert into the number of shares of SAFE preferred stock in accordance with the terms of the SAFE agreement. In the event of certain other financing before the termination of the SAFE note, the investor may elect to convert the SAFE note into preferred stock equal based on the terms of the SAFE agreement.</w:t>
      </w:r>
    </w:p>
    <w:p>
      <w:pPr>
        <w:pStyle w:val="TextBody"/>
        <w:bidi w:val="0"/>
        <w:spacing w:before="120" w:after="0"/>
        <w:jc w:val="left"/>
        <w:rPr>
          <w:rFonts w:ascii="Times New Roman" w:hAnsi="Times New Roman"/>
          <w:sz w:val="20"/>
        </w:rPr>
      </w:pPr>
      <w:r>
        <w:rPr>
          <w:rFonts w:ascii="Times New Roman" w:hAnsi="Times New Roman"/>
          <w:sz w:val="20"/>
        </w:rPr>
        <w:t>Public Offering  If there is an Initial Public Offering (IPO) before the termination of the SAFE note, the SAFE note will automatically convert into the right to receive the number of shares of common stock according to the terms of the SAFE agreement.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Change of Control  If there is a Change of Control before the termination of the SAFE note, the SAFE note will automatically convert into the right to receive a portion of proceeds according to the terms of the SAFE agreement.</w:t>
      </w:r>
    </w:p>
    <w:p>
      <w:pPr>
        <w:pStyle w:val="TextBody"/>
        <w:bidi w:val="0"/>
        <w:spacing w:before="120" w:after="0"/>
        <w:jc w:val="left"/>
        <w:rPr>
          <w:rFonts w:ascii="Times New Roman" w:hAnsi="Times New Roman"/>
          <w:sz w:val="20"/>
        </w:rPr>
      </w:pPr>
      <w:r>
        <w:rPr>
          <w:rFonts w:ascii="Times New Roman" w:hAnsi="Times New Roman"/>
          <w:sz w:val="20"/>
        </w:rPr>
        <w:t>Dissolution Event  If there is a Dissolution Event before the termination of the SAFE note, the investor will automatically be entitled to receive a portion of proceeds according to the terms of the SAFE agreement.</w:t>
      </w:r>
    </w:p>
    <w:p>
      <w:pPr>
        <w:pStyle w:val="TextBody"/>
        <w:bidi w:val="0"/>
        <w:spacing w:before="120" w:after="0"/>
        <w:jc w:val="left"/>
        <w:rPr>
          <w:rFonts w:ascii="Times New Roman" w:hAnsi="Times New Roman"/>
          <w:sz w:val="20"/>
        </w:rPr>
      </w:pPr>
      <w:r>
        <w:rPr>
          <w:rFonts w:ascii="Times New Roman" w:hAnsi="Times New Roman"/>
          <w:sz w:val="20"/>
        </w:rPr>
        <w:t xml:space="preserve">Valuation Caps </w:t>
      </w:r>
      <w:r>
        <w:rPr>
          <w:rFonts w:ascii="Times New Roman" w:hAnsi="Times New Roman"/>
          <w:i/>
          <w:sz w:val="20"/>
        </w:rPr>
        <w:t></w:t>
      </w:r>
      <w:r>
        <w:rPr>
          <w:rFonts w:ascii="Times New Roman" w:hAnsi="Times New Roman"/>
          <w:sz w:val="20"/>
        </w:rPr>
        <w:t xml:space="preserve"> the SAFE notes are subject to a valuation cap. The valuation cap is $190.0 million for each of 33 notes with aggregate principal of $30.0 million. Two notes with principal balance of $2.0 million each have valuation caps of $219.1 million and $221.1 million,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Company elected to account for all of the SAFE notes at estimated fair value pursuant to the fair value option and recorded the change in estimated fair value as Other income (expense), net in the Consolidated Statements of Operations and Comprehensive Loss until the notes are converted or settled. </w:t>
      </w:r>
    </w:p>
    <w:p>
      <w:pPr>
        <w:pStyle w:val="TextBody"/>
        <w:bidi w:val="0"/>
        <w:spacing w:before="120" w:after="0"/>
        <w:jc w:val="left"/>
        <w:rPr>
          <w:rFonts w:ascii="Times New Roman" w:hAnsi="Times New Roman"/>
          <w:sz w:val="20"/>
        </w:rPr>
      </w:pPr>
      <w:r>
        <w:rPr>
          <w:rFonts w:ascii="Times New Roman" w:hAnsi="Times New Roman"/>
          <w:sz w:val="20"/>
        </w:rPr>
        <w:t xml:space="preserve">The estimated fair values of SAFE notes approximated the face value and is considered a Level 3 fair value measurement. </w:t>
      </w:r>
    </w:p>
    <w:p>
      <w:pPr>
        <w:pStyle w:val="TextBody"/>
        <w:bidi w:val="0"/>
        <w:spacing w:before="120" w:after="0"/>
        <w:jc w:val="left"/>
        <w:rPr>
          <w:rFonts w:ascii="Times New Roman" w:hAnsi="Times New Roman"/>
          <w:sz w:val="20"/>
        </w:rPr>
      </w:pPr>
      <w:r>
        <w:rPr>
          <w:rFonts w:ascii="Times New Roman" w:hAnsi="Times New Roman"/>
          <w:b/>
          <w:sz w:val="20"/>
        </w:rPr>
        <w:t>Term and Revolver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October 2020, the Company entered into a loan agreement (Loan Agreement) with Structural Capital Investments III, LP (SCI). </w:t>
      </w:r>
    </w:p>
    <w:p>
      <w:pPr>
        <w:pStyle w:val="TextBody"/>
        <w:bidi w:val="0"/>
        <w:spacing w:before="120" w:after="0"/>
        <w:jc w:val="left"/>
        <w:rPr>
          <w:rFonts w:ascii="Times New Roman" w:hAnsi="Times New Roman"/>
          <w:sz w:val="20"/>
        </w:rPr>
      </w:pPr>
      <w:r>
        <w:rPr>
          <w:rFonts w:ascii="Times New Roman" w:hAnsi="Times New Roman"/>
          <w:sz w:val="20"/>
        </w:rPr>
        <w:t xml:space="preserve">The Loan Agreement with SCI comprises of two facilities, a term loan (the Term Loan) and a revolving loan (the Revolving Loan) (together Original Agreement) for $5.0 million each with a maturity date of October 31, 2023. Both the Term Loan and the Revolving Loan were fully drawn upon closing. </w:t>
      </w:r>
    </w:p>
    <w:p>
      <w:pPr>
        <w:pStyle w:val="TextBody"/>
        <w:bidi w:val="0"/>
        <w:spacing w:before="120" w:after="0"/>
        <w:jc w:val="left"/>
        <w:rPr>
          <w:rFonts w:ascii="Times New Roman" w:hAnsi="Times New Roman"/>
          <w:sz w:val="20"/>
        </w:rPr>
      </w:pPr>
      <w:r>
        <w:rPr>
          <w:rFonts w:ascii="Times New Roman" w:hAnsi="Times New Roman"/>
          <w:sz w:val="20"/>
        </w:rPr>
        <w:t xml:space="preserve">The Term Loan has a term of thirty-six months, equal monthly payments of principal beginning November 2021 until the end of the term and an annual interest rate of 9.25% or Prime rate plus 6%, whichever is higher. The Revolving Loan also has a term of thirty-six months, principal repayments at the end of the term and an annual interest rate of 7.75% or Prime rate plus 4.5%, whichever is higher. The Loan Agreement required the Company to meet certain financial covenants relating to maintenance of specified restricted cash balance, achieving specified revenue target and maintaining specified contribution margin (Financial covenants) over the term of each of the Term Loan and Revolving Loan. </w:t>
      </w:r>
    </w:p>
    <w:p>
      <w:pPr>
        <w:pStyle w:val="TextBody"/>
        <w:bidi w:val="0"/>
        <w:spacing w:before="240" w:after="0"/>
        <w:jc w:val="left"/>
        <w:rPr>
          <w:rFonts w:ascii="Times New Roman" w:hAnsi="Times New Roman"/>
          <w:sz w:val="20"/>
        </w:rPr>
      </w:pPr>
      <w:r>
        <w:rPr>
          <w:rFonts w:ascii="Times New Roman" w:hAnsi="Times New Roman"/>
          <w:sz w:val="20"/>
        </w:rPr>
        <w:t xml:space="preserve">In October 2020, the Company recorded debt issuance costs discount totaling $0.8 million related to the Original agreement. The total debt issuance costs and discount is being amortized to interest expense using the effective interest method.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2021, the Company entered into an Amended and Restated Loan and Security Agreement as a First Amendment to the Original Agreement (First Amendment) to revise certain financial covenants within the Original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2021, the Company entered into an amendment to the Original Agreement (Second Amendment) as a forbearance agreement for SCI to forbear from exercising any rights and remedies available to it as a result of Company not meeting certain Financial Covenants required by the Original Agreement. As a result of this amendment changes were made to the financial covenants. The Company incurred $1.2 million in amendment fee related to the Second Amendment which was recognized as loss on extinguishment of debt discussed below.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Second Amendment, the Company issued E-1 Warrants to purchase 305,342 shares of Series E-1 redeemable convertible preferred stock (SCI Series E-1 warrants) at $4.59 per share. The warrants were fully exercisable in whole or in part at any time during the term of the Original agreement. The SCI Series E-1 Warrants are scheduled to expire on July 30, 2031. Upon issuance, the Company determined the fair value of the warrants to be $1.2 million using the Black-Scholes option-pricing model using the following assumptions: no dividends; risk-free interest rate of 1.44%; contractual life of 10 years; and expected volatility of 55.7%. The Series E-1 warrants qualified as liabilities as the underlying preferred stock were contingently redeemable upon the occurrence of a change in control, which is outside the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concluded that the modification to the terms of the Second Amendment changed the present value of cash flows by more than 10% and, as such, was treated as a debt extinguishment. The Company recognized a loss on extinguishment of debt of $3.0 million in the Consolidated Statements of Operations and Comprehensive Loss in July 2021 which included the fair value of SCI Series E-1 warrants of $1.2 million issued in connection with the modification and $1.2 million amendment fee.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2021, the Company entered into an amendment to the Original Agreement (Third Amendment) as a forbearance agreement for SCI to forbear from exercising any rights and remedies available to it as a result of Company not meeting certain Financial Covenants required by the Original agreement. As a result of this amendment changes were made to the financial covenants. The Company incurred $0.5 million in amendment fee related to the Third Amendment and also paid default interest amounting to $0.3 million for the period April 2021 through November 2021. In connection with the Third Amendment, the Company further amended the exercise price of the Series D-1 Preferred Stock Warrants to $2.17 per share and also amended the number of warrants. As of the date of the Amendment, the Company determined the fair value of the amended Series D-1 Preferred Stock warrants to be $2.9 million using the Black-Scholes option-pricing model using the following assumptions: no dividends; risk-free interest rate of 1.35%; contractual life of 6 years; and expected volatility of 57.7%. </w:t>
      </w:r>
    </w:p>
    <w:p>
      <w:pPr>
        <w:pStyle w:val="TextBody"/>
        <w:bidi w:val="0"/>
        <w:spacing w:before="120" w:after="0"/>
        <w:jc w:val="left"/>
        <w:rPr>
          <w:rFonts w:ascii="Times New Roman" w:hAnsi="Times New Roman"/>
          <w:sz w:val="20"/>
        </w:rPr>
      </w:pPr>
      <w:r>
        <w:rPr>
          <w:rFonts w:ascii="Times New Roman" w:hAnsi="Times New Roman"/>
          <w:sz w:val="20"/>
        </w:rPr>
        <w:t xml:space="preserve">Additionally, the Company amended the exercise price of the Series E-1 Preferred Stock Warrants to $2.29 per share. As of the date of the Amendment, the Company determined the fair value of the amended Series E-1 Preferred Stock warrants to be $1.3 million using the Black-Scholes option-pricing model using the following assumptions: no dividends; risk-free interest rate of 1.44%; contractual life of 9.6 years; and expected volatility of 57.6%.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concluded that the modification to the terms of the Third Amendment changed the present value of cash flows by more than 10% and, as such, was treated as a debt extinguishment. The Company recognized a loss on extinguishment of debt of $2.4 million in the Consolidated Statements of Operations and Comprehensive Loss in December 2021 which included the incremental fair value of the Series D-1 warrants of $1.7 million and incremental fair value of the Series E-1 warrants of $0.2 million relating to the modification. </w:t>
      </w:r>
    </w:p>
    <w:p>
      <w:pPr>
        <w:pStyle w:val="TextBody"/>
        <w:bidi w:val="0"/>
        <w:spacing w:before="120" w:after="0"/>
        <w:jc w:val="left"/>
        <w:rPr>
          <w:rFonts w:ascii="Times New Roman" w:hAnsi="Times New Roman"/>
          <w:sz w:val="20"/>
        </w:rPr>
      </w:pPr>
      <w:r>
        <w:rPr>
          <w:rFonts w:ascii="Times New Roman" w:hAnsi="Times New Roman"/>
          <w:sz w:val="20"/>
        </w:rPr>
        <w:t xml:space="preserve">The Term Loan and Revolving Loan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47"/>
        <w:gridCol w:w="310"/>
        <w:gridCol w:w="140"/>
        <w:gridCol w:w="661"/>
        <w:gridCol w:w="155"/>
        <w:gridCol w:w="253"/>
        <w:gridCol w:w="140"/>
        <w:gridCol w:w="691"/>
        <w:gridCol w:w="158"/>
      </w:tblGrid>
      <w:tr>
        <w:trPr/>
        <w:tc>
          <w:tcPr>
            <w:tcW w:w="5247"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0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8" w:type="dxa"/>
            <w:tcBorders/>
            <w:vAlign w:val="bottom"/>
          </w:tcPr>
          <w:p>
            <w:pPr>
              <w:pStyle w:val="TableContents"/>
              <w:bidi w:val="0"/>
              <w:spacing w:before="0" w:after="283"/>
              <w:jc w:val="left"/>
              <w:rPr/>
            </w:pPr>
            <w:r>
              <w:rPr/>
              <w:t> </w:t>
            </w:r>
          </w:p>
        </w:tc>
      </w:tr>
      <w:tr>
        <w:trPr/>
        <w:tc>
          <w:tcPr>
            <w:tcW w:w="524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8" w:type="dxa"/>
            <w:tcBorders/>
            <w:vAlign w:val="bottom"/>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61" w:type="dxa"/>
            <w:tcBorders/>
            <w:shd w:fill="CCEEFF" w:val="clear"/>
            <w:vAlign w:val="bottom"/>
          </w:tcPr>
          <w:p>
            <w:pPr>
              <w:pStyle w:val="TableContents"/>
              <w:bidi w:val="0"/>
              <w:spacing w:before="0" w:after="283"/>
              <w:jc w:val="right"/>
              <w:rPr/>
            </w:pPr>
            <w:r>
              <w:rPr/>
              <w:t>9,618</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10,000</w:t>
            </w:r>
          </w:p>
        </w:tc>
        <w:tc>
          <w:tcPr>
            <w:tcW w:w="158" w:type="dxa"/>
            <w:tcBorders/>
            <w:shd w:fill="CCEEFF" w:val="clear"/>
            <w:vAlign w:val="bottom"/>
          </w:tcPr>
          <w:p>
            <w:pPr>
              <w:pStyle w:val="TableContents"/>
              <w:bidi w:val="0"/>
              <w:spacing w:before="0" w:after="283"/>
              <w:jc w:val="left"/>
              <w:rPr/>
            </w:pPr>
            <w:r>
              <w:rPr/>
              <w:t> </w:t>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debt discount</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(746</w:t>
            </w:r>
          </w:p>
        </w:tc>
        <w:tc>
          <w:tcPr>
            <w:tcW w:w="158" w:type="dxa"/>
            <w:tcBorders/>
            <w:vAlign w:val="bottom"/>
          </w:tcPr>
          <w:p>
            <w:pPr>
              <w:pStyle w:val="TableContents"/>
              <w:bidi w:val="0"/>
              <w:spacing w:before="0" w:after="283"/>
              <w:jc w:val="left"/>
              <w:rPr/>
            </w:pPr>
            <w:r>
              <w:rPr/>
              <w:t>) </w:t>
            </w:r>
          </w:p>
        </w:tc>
      </w:tr>
      <w:tr>
        <w:trPr/>
        <w:tc>
          <w:tcPr>
            <w:tcW w:w="5247"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carrying value</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right"/>
              <w:rPr/>
            </w:pPr>
            <w:r>
              <w:rPr/>
              <w:t>9,618</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9,254</w:t>
            </w:r>
          </w:p>
        </w:tc>
        <w:tc>
          <w:tcPr>
            <w:tcW w:w="158" w:type="dxa"/>
            <w:tcBorders/>
            <w:shd w:fill="CCEEFF" w:val="clear"/>
            <w:vAlign w:val="bottom"/>
          </w:tcPr>
          <w:p>
            <w:pPr>
              <w:pStyle w:val="TableContents"/>
              <w:bidi w:val="0"/>
              <w:spacing w:before="0" w:after="283"/>
              <w:jc w:val="left"/>
              <w:rPr/>
            </w:pPr>
            <w:r>
              <w:rPr/>
              <w:t> </w:t>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(2,421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(83</w:t>
            </w:r>
          </w:p>
        </w:tc>
        <w:tc>
          <w:tcPr>
            <w:tcW w:w="158" w:type="dxa"/>
            <w:tcBorders/>
            <w:vAlign w:val="bottom"/>
          </w:tcPr>
          <w:p>
            <w:pPr>
              <w:pStyle w:val="TableContents"/>
              <w:bidi w:val="0"/>
              <w:spacing w:before="0" w:after="283"/>
              <w:jc w:val="left"/>
              <w:rPr/>
            </w:pPr>
            <w:r>
              <w:rPr/>
              <w:t>) </w:t>
            </w:r>
          </w:p>
        </w:tc>
      </w:tr>
      <w:tr>
        <w:trPr/>
        <w:tc>
          <w:tcPr>
            <w:tcW w:w="5247"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noncurrent portion</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61" w:type="dxa"/>
            <w:tcBorders/>
            <w:shd w:fill="CCEEFF" w:val="clear"/>
            <w:vAlign w:val="bottom"/>
          </w:tcPr>
          <w:p>
            <w:pPr>
              <w:pStyle w:val="TableContents"/>
              <w:bidi w:val="0"/>
              <w:spacing w:before="0" w:after="283"/>
              <w:jc w:val="right"/>
              <w:rPr/>
            </w:pPr>
            <w:r>
              <w:rPr/>
              <w:t>7,197</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9,171</w:t>
            </w:r>
          </w:p>
        </w:tc>
        <w:tc>
          <w:tcPr>
            <w:tcW w:w="158" w:type="dxa"/>
            <w:tcBorders/>
            <w:shd w:fill="CCEEFF" w:val="clear"/>
            <w:vAlign w:val="bottom"/>
          </w:tcPr>
          <w:p>
            <w:pPr>
              <w:pStyle w:val="TableContents"/>
              <w:bidi w:val="0"/>
              <w:spacing w:before="0" w:after="283"/>
              <w:jc w:val="left"/>
              <w:rPr/>
            </w:pPr>
            <w:r>
              <w:rPr/>
              <w:t> </w:t>
            </w:r>
          </w:p>
        </w:tc>
      </w:tr>
      <w:tr>
        <w:trPr/>
        <w:tc>
          <w:tcPr>
            <w:tcW w:w="5247"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total interest expense recognized related to the SCI term Loan and revolving Loan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47"/>
        <w:gridCol w:w="272"/>
        <w:gridCol w:w="205"/>
        <w:gridCol w:w="823"/>
        <w:gridCol w:w="83"/>
        <w:gridCol w:w="311"/>
        <w:gridCol w:w="205"/>
        <w:gridCol w:w="528"/>
        <w:gridCol w:w="65"/>
      </w:tblGrid>
      <w:tr>
        <w:trPr/>
        <w:tc>
          <w:tcPr>
            <w:tcW w:w="4447"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47"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4447"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8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5" w:type="dxa"/>
            <w:tcBorders/>
            <w:vAlign w:val="bottom"/>
          </w:tcPr>
          <w:p>
            <w:pPr>
              <w:pStyle w:val="TableContents"/>
              <w:bidi w:val="0"/>
              <w:spacing w:before="0" w:after="283"/>
              <w:jc w:val="left"/>
              <w:rPr/>
            </w:pPr>
            <w:r>
              <w:rPr/>
              <w:t> </w:t>
            </w:r>
          </w:p>
        </w:tc>
      </w:tr>
      <w:tr>
        <w:trPr/>
        <w:tc>
          <w:tcPr>
            <w:tcW w:w="44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discount</w:t>
            </w:r>
          </w:p>
        </w:tc>
        <w:tc>
          <w:tcPr>
            <w:tcW w:w="272"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170</w:t>
            </w:r>
          </w:p>
        </w:tc>
        <w:tc>
          <w:tcPr>
            <w:tcW w:w="8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528" w:type="dxa"/>
            <w:tcBorders/>
            <w:shd w:fill="CCEEFF" w:val="clear"/>
            <w:vAlign w:val="bottom"/>
          </w:tcPr>
          <w:p>
            <w:pPr>
              <w:pStyle w:val="TableContents"/>
              <w:bidi w:val="0"/>
              <w:spacing w:before="0" w:after="283"/>
              <w:jc w:val="right"/>
              <w:rPr/>
            </w:pPr>
            <w:r>
              <w:rPr/>
              <w:t>49</w:t>
            </w:r>
          </w:p>
        </w:tc>
        <w:tc>
          <w:tcPr>
            <w:tcW w:w="65" w:type="dxa"/>
            <w:tcBorders/>
            <w:shd w:fill="CCEEFF" w:val="clear"/>
            <w:vAlign w:val="bottom"/>
          </w:tcPr>
          <w:p>
            <w:pPr>
              <w:pStyle w:val="TableContents"/>
              <w:bidi w:val="0"/>
              <w:spacing w:before="0" w:after="283"/>
              <w:jc w:val="left"/>
              <w:rPr/>
            </w:pPr>
            <w:r>
              <w:rPr/>
              <w:t> </w:t>
            </w:r>
          </w:p>
        </w:tc>
      </w:tr>
      <w:tr>
        <w:trPr/>
        <w:tc>
          <w:tcPr>
            <w:tcW w:w="4447" w:type="dxa"/>
            <w:tcBorders/>
          </w:tcPr>
          <w:p>
            <w:pPr>
              <w:pStyle w:val="TableContents"/>
              <w:bidi w:val="0"/>
              <w:spacing w:before="0" w:after="0"/>
              <w:jc w:val="left"/>
              <w:rPr>
                <w:rFonts w:ascii="Times New Roman" w:hAnsi="Times New Roman"/>
                <w:sz w:val="20"/>
              </w:rPr>
            </w:pPr>
            <w:r>
              <w:rPr>
                <w:rFonts w:ascii="Times New Roman" w:hAnsi="Times New Roman"/>
                <w:sz w:val="20"/>
              </w:rPr>
              <w:t>Contractual interest expense</w:t>
            </w:r>
          </w:p>
        </w:tc>
        <w:tc>
          <w:tcPr>
            <w:tcW w:w="272"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860</w:t>
            </w:r>
          </w:p>
        </w:tc>
        <w:tc>
          <w:tcPr>
            <w:tcW w:w="8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151</w:t>
            </w:r>
          </w:p>
        </w:tc>
        <w:tc>
          <w:tcPr>
            <w:tcW w:w="65" w:type="dxa"/>
            <w:tcBorders/>
            <w:vAlign w:val="bottom"/>
          </w:tcPr>
          <w:p>
            <w:pPr>
              <w:pStyle w:val="TableContents"/>
              <w:bidi w:val="0"/>
              <w:spacing w:before="0" w:after="283"/>
              <w:jc w:val="left"/>
              <w:rPr/>
            </w:pPr>
            <w:r>
              <w:rPr/>
              <w:t> </w:t>
            </w:r>
          </w:p>
        </w:tc>
      </w:tr>
      <w:tr>
        <w:trPr/>
        <w:tc>
          <w:tcPr>
            <w:tcW w:w="4447"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interest expense</w:t>
            </w:r>
          </w:p>
        </w:tc>
        <w:tc>
          <w:tcPr>
            <w:tcW w:w="272"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1,030</w:t>
            </w:r>
          </w:p>
        </w:tc>
        <w:tc>
          <w:tcPr>
            <w:tcW w:w="8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528" w:type="dxa"/>
            <w:tcBorders/>
            <w:shd w:fill="CCEEFF" w:val="clear"/>
            <w:vAlign w:val="bottom"/>
          </w:tcPr>
          <w:p>
            <w:pPr>
              <w:pStyle w:val="TableContents"/>
              <w:bidi w:val="0"/>
              <w:spacing w:before="0" w:after="283"/>
              <w:jc w:val="right"/>
              <w:rPr/>
            </w:pPr>
            <w:r>
              <w:rPr/>
              <w:t>200</w:t>
            </w:r>
          </w:p>
        </w:tc>
        <w:tc>
          <w:tcPr>
            <w:tcW w:w="65" w:type="dxa"/>
            <w:tcBorders/>
            <w:shd w:fill="CCEEFF" w:val="clear"/>
            <w:vAlign w:val="bottom"/>
          </w:tcPr>
          <w:p>
            <w:pPr>
              <w:pStyle w:val="TableContents"/>
              <w:bidi w:val="0"/>
              <w:spacing w:before="0" w:after="283"/>
              <w:jc w:val="left"/>
              <w:rPr/>
            </w:pPr>
            <w:r>
              <w:rPr/>
              <w:t> </w:t>
            </w:r>
          </w:p>
        </w:tc>
      </w:tr>
      <w:tr>
        <w:trPr/>
        <w:tc>
          <w:tcPr>
            <w:tcW w:w="4447"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52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scheduled maturities of the SCI term loan and revolving loan, at December 31, 2021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02"/>
        <w:gridCol w:w="312"/>
        <w:gridCol w:w="172"/>
        <w:gridCol w:w="690"/>
        <w:gridCol w:w="63"/>
      </w:tblGrid>
      <w:tr>
        <w:trPr/>
        <w:tc>
          <w:tcPr>
            <w:tcW w:w="5702"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312"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31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2,421</w:t>
            </w:r>
          </w:p>
        </w:tc>
        <w:tc>
          <w:tcPr>
            <w:tcW w:w="63" w:type="dxa"/>
            <w:tcBorders/>
            <w:shd w:fill="CCEEFF" w:val="clear"/>
            <w:vAlign w:val="bottom"/>
          </w:tcPr>
          <w:p>
            <w:pPr>
              <w:pStyle w:val="TableContents"/>
              <w:bidi w:val="0"/>
              <w:spacing w:before="0" w:after="283"/>
              <w:jc w:val="left"/>
              <w:rPr/>
            </w:pPr>
            <w:r>
              <w:rPr/>
              <w:t>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31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7,197</w:t>
            </w:r>
          </w:p>
        </w:tc>
        <w:tc>
          <w:tcPr>
            <w:tcW w:w="63" w:type="dxa"/>
            <w:tcBorders/>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term and revolver loan</w:t>
            </w:r>
          </w:p>
        </w:tc>
        <w:tc>
          <w:tcPr>
            <w:tcW w:w="31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9,618</w:t>
            </w:r>
          </w:p>
        </w:tc>
        <w:tc>
          <w:tcPr>
            <w:tcW w:w="63" w:type="dxa"/>
            <w:tcBorders/>
            <w:shd w:fill="CCEEFF" w:val="clear"/>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REDEEMABLE CONVERTIBLE PREFERRED STOCK WARRANTS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2010, in connection with a loan agreement, the Company issued a warrant to purchase 211,270 shares of Series A-1 preferred stock at an exercise price of $1.52 per share. These warrants were exercised in March 2021.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Series B-1 preferred stock financing in February 2015, the Company amended certain previously outstanding common stock warrants into a warrant to purchase 35,294 shares of Series B-1 at an exercise price of $5.40 per share. These warrants were exercised in March 2021. </w:t>
      </w:r>
    </w:p>
    <w:p>
      <w:pPr>
        <w:pStyle w:val="TextBody"/>
        <w:bidi w:val="0"/>
        <w:spacing w:before="120" w:after="0"/>
        <w:jc w:val="left"/>
        <w:rPr>
          <w:rFonts w:ascii="Times New Roman" w:hAnsi="Times New Roman"/>
          <w:sz w:val="20"/>
        </w:rPr>
      </w:pPr>
      <w:r>
        <w:rPr>
          <w:rFonts w:ascii="Times New Roman" w:hAnsi="Times New Roman"/>
          <w:sz w:val="20"/>
        </w:rPr>
        <w:t xml:space="preserve">In 2017, in connection with a Loan and Security Agreement with Structural Capital Investments II, LP and El Dorado Investment Company, the Company issued warrants to purchase 147,551 shares of Series C-1 at an exercise price of $8.66 per share. In 2018, in connection with a second amendment to Loan and Security Agreement and the cancellation of the C-1 Warrants, the Company issued warrants to purchase 375,801 shares of Series D-1 at an exercise price of $4.33 per share. As fully discussed in Note 7, in December 2021, in connection with the Third Amendment to the Original Agreement, the Company amended certain terms of the warrant to purchase Series D-1 preferred stock. As amended, the Series D-1 preferred stock warrants are calculated based on a percentage of the Companys fully diluted capitalization at an exercise price of $2.17 per share. As of December 31, 2021, 742,679 units of Series D-1 preferred stock warrants are outstanding. The warrants were exercisable upon issuance and expire on December 22, 2027. </w:t>
      </w:r>
    </w:p>
    <w:p>
      <w:pPr>
        <w:pStyle w:val="TextBody"/>
        <w:bidi w:val="0"/>
        <w:spacing w:before="120" w:after="0"/>
        <w:jc w:val="left"/>
        <w:rPr>
          <w:rFonts w:ascii="Times New Roman" w:hAnsi="Times New Roman"/>
          <w:sz w:val="20"/>
        </w:rPr>
      </w:pPr>
      <w:r>
        <w:rPr>
          <w:rFonts w:ascii="Times New Roman" w:hAnsi="Times New Roman"/>
          <w:sz w:val="20"/>
        </w:rPr>
        <w:t xml:space="preserve">As fully discussed in Note 7, in July 2021, in connection with the Second Amendment to Original Agreement, the Company issued warrants to purchase 305,342 shares of Series E-1 at an exercise price of $4.59 per share. In December 2021, in connection with the Third Amendment to the Original Agreement, the Company amended the exercise price of the Series E-1 preferred stock warrants to $2.29 per share. </w:t>
      </w:r>
    </w:p>
    <w:p>
      <w:pPr>
        <w:pStyle w:val="TextBody"/>
        <w:bidi w:val="0"/>
        <w:spacing w:before="120" w:after="0"/>
        <w:jc w:val="left"/>
        <w:rPr>
          <w:rFonts w:ascii="Times New Roman" w:hAnsi="Times New Roman"/>
          <w:sz w:val="20"/>
        </w:rPr>
      </w:pPr>
      <w:r>
        <w:rPr>
          <w:rFonts w:ascii="Times New Roman" w:hAnsi="Times New Roman"/>
          <w:sz w:val="20"/>
        </w:rPr>
        <w:t xml:space="preserve">As fully discussed in Note 7, in December 2021, in connection with the amendment to the 2018 Notes, the Company issued warrants to purchase 196,462 shares of Series E-1 Preferred Stock at an exercise price of $4.59 per share. The Series E-1 warrants remain outstanding as of December 31, 2021. </w:t>
      </w:r>
    </w:p>
    <w:p>
      <w:pPr>
        <w:pStyle w:val="TextBody"/>
        <w:bidi w:val="0"/>
        <w:spacing w:before="120" w:after="0"/>
        <w:jc w:val="left"/>
        <w:rPr>
          <w:rFonts w:ascii="Times New Roman" w:hAnsi="Times New Roman"/>
          <w:sz w:val="20"/>
        </w:rPr>
      </w:pPr>
      <w:r>
        <w:rPr>
          <w:rFonts w:ascii="Times New Roman" w:hAnsi="Times New Roman"/>
          <w:sz w:val="20"/>
        </w:rPr>
        <w:t xml:space="preserve">All of the above preferred stock warrants qualified as liabilities as the underlying preferred stock were contingently redeemable upon the occurrence of a change in control, which is outside the control of the Company. The preferred stock warrants have been recorded as a preferred stock warrant liability and are revalued to fair value each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changes in value of the preferred stock warrant liability are summarized below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4"/>
        <w:gridCol w:w="346"/>
        <w:gridCol w:w="155"/>
        <w:gridCol w:w="716"/>
        <w:gridCol w:w="158"/>
      </w:tblGrid>
      <w:tr>
        <w:trPr/>
        <w:tc>
          <w:tcPr>
            <w:tcW w:w="556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4"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8" w:type="dxa"/>
            <w:tcBorders/>
            <w:vAlign w:val="bottom"/>
          </w:tcPr>
          <w:p>
            <w:pPr>
              <w:pStyle w:val="TableContents"/>
              <w:bidi w:val="0"/>
              <w:spacing w:before="0" w:after="283"/>
              <w:jc w:val="left"/>
              <w:rPr/>
            </w:pPr>
            <w:r>
              <w:rPr/>
              <w:t> </w:t>
            </w:r>
          </w:p>
        </w:tc>
      </w:tr>
      <w:tr>
        <w:trPr/>
        <w:tc>
          <w:tcPr>
            <w:tcW w:w="5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2019</w:t>
            </w:r>
          </w:p>
        </w:tc>
        <w:tc>
          <w:tcPr>
            <w:tcW w:w="34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2,810</w:t>
            </w:r>
          </w:p>
        </w:tc>
        <w:tc>
          <w:tcPr>
            <w:tcW w:w="158" w:type="dxa"/>
            <w:tcBorders/>
            <w:shd w:fill="CCEEFF" w:val="clear"/>
            <w:vAlign w:val="bottom"/>
          </w:tcPr>
          <w:p>
            <w:pPr>
              <w:pStyle w:val="TableContents"/>
              <w:bidi w:val="0"/>
              <w:spacing w:before="0" w:after="283"/>
              <w:jc w:val="left"/>
              <w:rPr/>
            </w:pPr>
            <w:r>
              <w:rPr/>
              <w:t> </w:t>
            </w:r>
          </w:p>
        </w:tc>
      </w:tr>
      <w:tr>
        <w:trPr/>
        <w:tc>
          <w:tcPr>
            <w:tcW w:w="556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Other income (expense), net</w:t>
            </w:r>
          </w:p>
        </w:tc>
        <w:tc>
          <w:tcPr>
            <w:tcW w:w="34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(1,085</w:t>
            </w:r>
          </w:p>
        </w:tc>
        <w:tc>
          <w:tcPr>
            <w:tcW w:w="158" w:type="dxa"/>
            <w:tcBorders/>
            <w:vAlign w:val="bottom"/>
          </w:tcPr>
          <w:p>
            <w:pPr>
              <w:pStyle w:val="TableContents"/>
              <w:bidi w:val="0"/>
              <w:spacing w:before="0" w:after="283"/>
              <w:jc w:val="left"/>
              <w:rPr/>
            </w:pPr>
            <w:r>
              <w:rPr/>
              <w:t>) </w:t>
            </w:r>
          </w:p>
        </w:tc>
      </w:tr>
      <w:tr>
        <w:trPr/>
        <w:tc>
          <w:tcPr>
            <w:tcW w:w="5564"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2020</w:t>
            </w:r>
          </w:p>
        </w:tc>
        <w:tc>
          <w:tcPr>
            <w:tcW w:w="34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1,725</w:t>
            </w:r>
          </w:p>
        </w:tc>
        <w:tc>
          <w:tcPr>
            <w:tcW w:w="158" w:type="dxa"/>
            <w:tcBorders/>
            <w:shd w:fill="CCEEFF" w:val="clear"/>
            <w:vAlign w:val="bottom"/>
          </w:tcPr>
          <w:p>
            <w:pPr>
              <w:pStyle w:val="TableContents"/>
              <w:bidi w:val="0"/>
              <w:spacing w:before="0" w:after="283"/>
              <w:jc w:val="left"/>
              <w:rPr/>
            </w:pPr>
            <w:r>
              <w:rPr/>
              <w:t> </w:t>
            </w:r>
          </w:p>
        </w:tc>
      </w:tr>
      <w:tr>
        <w:trPr/>
        <w:tc>
          <w:tcPr>
            <w:tcW w:w="5564"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64" w:type="dxa"/>
            <w:tcBorders/>
          </w:tcPr>
          <w:p>
            <w:pPr>
              <w:pStyle w:val="TableContents"/>
              <w:bidi w:val="0"/>
              <w:spacing w:before="0" w:after="0"/>
              <w:jc w:val="left"/>
              <w:rPr>
                <w:rFonts w:ascii="Times New Roman" w:hAnsi="Times New Roman"/>
                <w:sz w:val="20"/>
              </w:rPr>
            </w:pPr>
            <w:r>
              <w:rPr>
                <w:rFonts w:ascii="Times New Roman" w:hAnsi="Times New Roman"/>
                <w:sz w:val="20"/>
              </w:rPr>
              <w:t>Series E-1 warrants issued in connection with SCI Second amendmentincluded in Loss on debt extinguishment</w:t>
            </w:r>
          </w:p>
        </w:tc>
        <w:tc>
          <w:tcPr>
            <w:tcW w:w="34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1,191</w:t>
            </w:r>
          </w:p>
        </w:tc>
        <w:tc>
          <w:tcPr>
            <w:tcW w:w="158" w:type="dxa"/>
            <w:tcBorders/>
            <w:vAlign w:val="bottom"/>
          </w:tcPr>
          <w:p>
            <w:pPr>
              <w:pStyle w:val="TableContents"/>
              <w:bidi w:val="0"/>
              <w:spacing w:before="0" w:after="283"/>
              <w:jc w:val="left"/>
              <w:rPr/>
            </w:pPr>
            <w:r>
              <w:rPr/>
              <w:t> </w:t>
            </w:r>
          </w:p>
        </w:tc>
      </w:tr>
      <w:tr>
        <w:trPr/>
        <w:tc>
          <w:tcPr>
            <w:tcW w:w="5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E-1 warrants issued in connection with 2018 Bridge notes amendmentincluded in Notes payable, net of discounts</w:t>
            </w:r>
          </w:p>
        </w:tc>
        <w:tc>
          <w:tcPr>
            <w:tcW w:w="34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731</w:t>
            </w:r>
          </w:p>
        </w:tc>
        <w:tc>
          <w:tcPr>
            <w:tcW w:w="158" w:type="dxa"/>
            <w:tcBorders/>
            <w:shd w:fill="CCEEFF" w:val="clear"/>
            <w:vAlign w:val="bottom"/>
          </w:tcPr>
          <w:p>
            <w:pPr>
              <w:pStyle w:val="TableContents"/>
              <w:bidi w:val="0"/>
              <w:spacing w:before="0" w:after="283"/>
              <w:jc w:val="left"/>
              <w:rPr/>
            </w:pPr>
            <w:r>
              <w:rPr/>
              <w:t> </w:t>
            </w:r>
          </w:p>
        </w:tc>
      </w:tr>
      <w:tr>
        <w:trPr/>
        <w:tc>
          <w:tcPr>
            <w:tcW w:w="5564" w:type="dxa"/>
            <w:tcBorders/>
          </w:tcPr>
          <w:p>
            <w:pPr>
              <w:pStyle w:val="TableContents"/>
              <w:bidi w:val="0"/>
              <w:spacing w:before="0" w:after="0"/>
              <w:jc w:val="left"/>
              <w:rPr>
                <w:rFonts w:ascii="Times New Roman" w:hAnsi="Times New Roman"/>
                <w:sz w:val="20"/>
              </w:rPr>
            </w:pPr>
            <w:r>
              <w:rPr>
                <w:rFonts w:ascii="Times New Roman" w:hAnsi="Times New Roman"/>
                <w:sz w:val="20"/>
              </w:rPr>
              <w:t>Exercise of warrant</w:t>
            </w:r>
          </w:p>
        </w:tc>
        <w:tc>
          <w:tcPr>
            <w:tcW w:w="34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(251</w:t>
            </w:r>
          </w:p>
        </w:tc>
        <w:tc>
          <w:tcPr>
            <w:tcW w:w="158" w:type="dxa"/>
            <w:tcBorders/>
            <w:vAlign w:val="bottom"/>
          </w:tcPr>
          <w:p>
            <w:pPr>
              <w:pStyle w:val="TableContents"/>
              <w:bidi w:val="0"/>
              <w:spacing w:before="0" w:after="283"/>
              <w:jc w:val="left"/>
              <w:rPr/>
            </w:pPr>
            <w:r>
              <w:rPr/>
              <w:t>) </w:t>
            </w:r>
          </w:p>
        </w:tc>
      </w:tr>
      <w:tr>
        <w:trPr/>
        <w:tc>
          <w:tcPr>
            <w:tcW w:w="5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Loss on debt extinguishment relating to SCI Third amendment</w:t>
            </w:r>
          </w:p>
        </w:tc>
        <w:tc>
          <w:tcPr>
            <w:tcW w:w="34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1,917</w:t>
            </w:r>
          </w:p>
        </w:tc>
        <w:tc>
          <w:tcPr>
            <w:tcW w:w="158" w:type="dxa"/>
            <w:tcBorders/>
            <w:shd w:fill="CCEEFF" w:val="clear"/>
            <w:vAlign w:val="bottom"/>
          </w:tcPr>
          <w:p>
            <w:pPr>
              <w:pStyle w:val="TableContents"/>
              <w:bidi w:val="0"/>
              <w:spacing w:before="0" w:after="283"/>
              <w:jc w:val="left"/>
              <w:rPr/>
            </w:pPr>
            <w:r>
              <w:rPr/>
              <w:t> </w:t>
            </w:r>
          </w:p>
        </w:tc>
      </w:tr>
      <w:tr>
        <w:trPr/>
        <w:tc>
          <w:tcPr>
            <w:tcW w:w="556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Other income (expense), net</w:t>
            </w:r>
          </w:p>
        </w:tc>
        <w:tc>
          <w:tcPr>
            <w:tcW w:w="34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(358</w:t>
            </w:r>
          </w:p>
        </w:tc>
        <w:tc>
          <w:tcPr>
            <w:tcW w:w="158" w:type="dxa"/>
            <w:tcBorders/>
            <w:vAlign w:val="bottom"/>
          </w:tcPr>
          <w:p>
            <w:pPr>
              <w:pStyle w:val="TableContents"/>
              <w:bidi w:val="0"/>
              <w:spacing w:before="0" w:after="283"/>
              <w:jc w:val="left"/>
              <w:rPr/>
            </w:pPr>
            <w:r>
              <w:rPr/>
              <w:t>) </w:t>
            </w:r>
          </w:p>
        </w:tc>
      </w:tr>
      <w:tr>
        <w:trPr/>
        <w:tc>
          <w:tcPr>
            <w:tcW w:w="5564"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2021</w:t>
            </w:r>
          </w:p>
        </w:tc>
        <w:tc>
          <w:tcPr>
            <w:tcW w:w="34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4,955</w:t>
            </w:r>
          </w:p>
        </w:tc>
        <w:tc>
          <w:tcPr>
            <w:tcW w:w="158" w:type="dxa"/>
            <w:tcBorders/>
            <w:shd w:fill="CCEEFF" w:val="clear"/>
            <w:vAlign w:val="bottom"/>
          </w:tcPr>
          <w:p>
            <w:pPr>
              <w:pStyle w:val="TableContents"/>
              <w:bidi w:val="0"/>
              <w:spacing w:before="0" w:after="283"/>
              <w:jc w:val="left"/>
              <w:rPr/>
            </w:pPr>
            <w:r>
              <w:rPr/>
              <w:t> </w:t>
            </w:r>
          </w:p>
        </w:tc>
      </w:tr>
      <w:tr>
        <w:trPr/>
        <w:tc>
          <w:tcPr>
            <w:tcW w:w="5564"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Fair Value Measurement </w:t>
      </w:r>
      <w:r>
        <w:rPr>
          <w:rFonts w:ascii="Times New Roman" w:hAnsi="Times New Roman"/>
          <w:i/>
          <w:sz w:val="20"/>
        </w:rPr>
        <w:t xml:space="preserve"> </w:t>
      </w:r>
      <w:r>
        <w:rPr>
          <w:rFonts w:ascii="Times New Roman" w:hAnsi="Times New Roman"/>
          <w:sz w:val="20"/>
        </w:rPr>
        <w:t xml:space="preserve">The Company follows ASC 820 which establishes disclosure requirements and a common definition of fair value to be applied when U.S. GAAP requires the use of fair value. The ASC 820 fair value hierarchy gives the highest priority to unadjusted quoted prices in active markets for identical assets or liabilities (Level 1 measurements) and the lowest priority to measurements involving significant unobservable inputs (Level 3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three levels of the fair value hierarchy are as follows: </w:t>
      </w:r>
    </w:p>
    <w:p>
      <w:pPr>
        <w:pStyle w:val="TextBody"/>
        <w:bidi w:val="0"/>
        <w:spacing w:before="120" w:after="0"/>
        <w:jc w:val="left"/>
        <w:rPr>
          <w:rFonts w:ascii="Times New Roman" w:hAnsi="Times New Roman"/>
          <w:sz w:val="20"/>
        </w:rPr>
      </w:pPr>
      <w:r>
        <w:rPr>
          <w:rFonts w:ascii="Times New Roman" w:hAnsi="Times New Roman"/>
          <w:b/>
          <w:i/>
          <w:sz w:val="20"/>
        </w:rPr>
        <w:t>Level 1</w:t>
      </w:r>
      <w:r>
        <w:rPr>
          <w:rFonts w:ascii="Times New Roman" w:hAnsi="Times New Roman"/>
          <w:sz w:val="20"/>
        </w:rPr>
        <w:t xml:space="preserve">Observable inputs that reflect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b/>
          <w:i/>
          <w:sz w:val="20"/>
        </w:rPr>
        <w:t>Level 2</w:t>
      </w:r>
      <w:r>
        <w:rPr>
          <w:rFonts w:ascii="Times New Roman" w:hAnsi="Times New Roman"/>
          <w:sz w:val="20"/>
        </w:rPr>
        <w:t xml:space="preserve">Observable inputs that reflect quoted prices for identical assets and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w:t>
      </w:r>
    </w:p>
    <w:p>
      <w:pPr>
        <w:pStyle w:val="TextBody"/>
        <w:bidi w:val="0"/>
        <w:spacing w:before="120" w:after="0"/>
        <w:jc w:val="left"/>
        <w:rPr>
          <w:rFonts w:ascii="Times New Roman" w:hAnsi="Times New Roman"/>
          <w:sz w:val="20"/>
        </w:rPr>
      </w:pPr>
      <w:r>
        <w:rPr>
          <w:rFonts w:ascii="Times New Roman" w:hAnsi="Times New Roman"/>
          <w:b/>
          <w:i/>
          <w:sz w:val="20"/>
        </w:rPr>
        <w:t>Level 3</w:t>
      </w:r>
      <w:r>
        <w:rPr>
          <w:rFonts w:ascii="Times New Roman" w:hAnsi="Times New Roman"/>
          <w:sz w:val="20"/>
        </w:rPr>
        <w:t xml:space="preserve">Inputs that are generally unobservable and are supported by little or no market activity, and typically reflect managements estimate of assumptions that market participants would use in pricing the asset or liability. </w:t>
      </w:r>
    </w:p>
    <w:p>
      <w:pPr>
        <w:pStyle w:val="TextBody"/>
        <w:bidi w:val="0"/>
        <w:spacing w:before="120" w:after="0"/>
        <w:jc w:val="left"/>
        <w:rPr>
          <w:rFonts w:ascii="Times New Roman" w:hAnsi="Times New Roman"/>
          <w:sz w:val="20"/>
        </w:rPr>
      </w:pPr>
      <w:r>
        <w:rPr>
          <w:rFonts w:ascii="Times New Roman" w:hAnsi="Times New Roman"/>
          <w:sz w:val="20"/>
        </w:rPr>
        <w:t xml:space="preserve">The level in the fair value hierarchy within which a fair value measurement in its entirety falls is based on the lowest-level input that is significant to the fair value measurement in its entirety.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as of and for the years ended December 31, 2021, and 2020, do not include any nonrecurring fair value measurements relating to assets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were no transfers between Level 1 or Level 2 of the fair value hierarchy during the years ended December 31, 2021 and 2020.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74"/>
        <w:gridCol w:w="265"/>
        <w:gridCol w:w="380"/>
        <w:gridCol w:w="381"/>
        <w:gridCol w:w="60"/>
        <w:gridCol w:w="265"/>
        <w:gridCol w:w="380"/>
        <w:gridCol w:w="381"/>
        <w:gridCol w:w="60"/>
        <w:gridCol w:w="265"/>
        <w:gridCol w:w="140"/>
        <w:gridCol w:w="751"/>
        <w:gridCol w:w="60"/>
        <w:gridCol w:w="264"/>
        <w:gridCol w:w="140"/>
        <w:gridCol w:w="751"/>
        <w:gridCol w:w="71"/>
      </w:tblGrid>
      <w:tr>
        <w:trPr/>
        <w:tc>
          <w:tcPr>
            <w:tcW w:w="4774"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47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42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2021</w:t>
            </w:r>
          </w:p>
        </w:tc>
        <w:tc>
          <w:tcPr>
            <w:tcW w:w="71"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1" w:type="dxa"/>
            <w:tcBorders/>
            <w:vAlign w:val="bottom"/>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w:t>
            </w:r>
          </w:p>
        </w:tc>
        <w:tc>
          <w:tcPr>
            <w:tcW w:w="26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Simple Agreement for Future Equity Note</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34,001</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34,001</w:t>
            </w:r>
          </w:p>
        </w:tc>
        <w:tc>
          <w:tcPr>
            <w:tcW w:w="71" w:type="dxa"/>
            <w:tcBorders/>
            <w:vAlign w:val="bottom"/>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warrants liability</w:t>
            </w:r>
          </w:p>
        </w:tc>
        <w:tc>
          <w:tcPr>
            <w:tcW w:w="26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4,955</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4,955</w:t>
            </w:r>
          </w:p>
        </w:tc>
        <w:tc>
          <w:tcPr>
            <w:tcW w:w="71"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financial liabilities</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38,956</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38,956</w:t>
            </w:r>
          </w:p>
        </w:tc>
        <w:tc>
          <w:tcPr>
            <w:tcW w:w="71"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rHeight w:val="240" w:hRule="atLeast"/>
        </w:trPr>
        <w:tc>
          <w:tcPr>
            <w:tcW w:w="4774" w:type="dxa"/>
            <w:tcBorders/>
            <w:vAlign w:val="center"/>
          </w:tcPr>
          <w:p>
            <w:pPr>
              <w:pStyle w:val="TableContents"/>
              <w:bidi w:val="0"/>
              <w:spacing w:before="0" w:after="283"/>
              <w:jc w:val="left"/>
              <w:rPr>
                <w:sz w:val="4"/>
                <w:szCs w:val="4"/>
              </w:rPr>
            </w:pPr>
            <w:r>
              <w:rPr>
                <w:sz w:val="4"/>
                <w:szCs w:val="4"/>
              </w:rPr>
            </w:r>
          </w:p>
        </w:tc>
        <w:tc>
          <w:tcPr>
            <w:tcW w:w="4614" w:type="dxa"/>
            <w:gridSpan w:val="16"/>
            <w:tcBorders/>
            <w:vAlign w:val="center"/>
          </w:tcPr>
          <w:p>
            <w:pPr>
              <w:pStyle w:val="TableContents"/>
              <w:bidi w:val="0"/>
              <w:spacing w:before="0" w:after="283"/>
              <w:jc w:val="left"/>
              <w:rPr>
                <w:sz w:val="4"/>
                <w:szCs w:val="4"/>
              </w:rPr>
            </w:pPr>
            <w:r>
              <w:rPr>
                <w:sz w:val="4"/>
                <w:szCs w:val="4"/>
              </w:rPr>
            </w:r>
          </w:p>
        </w:tc>
      </w:tr>
      <w:tr>
        <w:trPr/>
        <w:tc>
          <w:tcPr>
            <w:tcW w:w="47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42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2020</w:t>
            </w:r>
          </w:p>
        </w:tc>
        <w:tc>
          <w:tcPr>
            <w:tcW w:w="71"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1" w:type="dxa"/>
            <w:tcBorders/>
            <w:vAlign w:val="bottom"/>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w:t>
            </w:r>
          </w:p>
        </w:tc>
        <w:tc>
          <w:tcPr>
            <w:tcW w:w="26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SAFE Note</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2,000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2,000</w:t>
            </w:r>
          </w:p>
        </w:tc>
        <w:tc>
          <w:tcPr>
            <w:tcW w:w="71" w:type="dxa"/>
            <w:tcBorders/>
            <w:vAlign w:val="bottom"/>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warrants liability</w:t>
            </w:r>
          </w:p>
        </w:tc>
        <w:tc>
          <w:tcPr>
            <w:tcW w:w="26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1,725</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1,725</w:t>
            </w:r>
          </w:p>
        </w:tc>
        <w:tc>
          <w:tcPr>
            <w:tcW w:w="71"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financial liabilities</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3,725</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3,725</w:t>
            </w:r>
          </w:p>
        </w:tc>
        <w:tc>
          <w:tcPr>
            <w:tcW w:w="71"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fair values of SAFE notes as of December 31, 2021 and December 31, 2020, was determined to be same as face value.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the redeemable convertible preferred stock warrants were valued using the Black-Scholes option pricing model with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37"/>
        <w:gridCol w:w="233"/>
        <w:gridCol w:w="60"/>
        <w:gridCol w:w="1454"/>
        <w:gridCol w:w="60"/>
        <w:gridCol w:w="233"/>
        <w:gridCol w:w="60"/>
        <w:gridCol w:w="1454"/>
        <w:gridCol w:w="64"/>
      </w:tblGrid>
      <w:tr>
        <w:trPr/>
        <w:tc>
          <w:tcPr>
            <w:tcW w:w="4137"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37"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3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4" w:type="dxa"/>
            <w:tcBorders/>
            <w:vAlign w:val="bottom"/>
          </w:tcPr>
          <w:p>
            <w:pPr>
              <w:pStyle w:val="TableContents"/>
              <w:bidi w:val="0"/>
              <w:spacing w:before="0" w:after="283"/>
              <w:jc w:val="left"/>
              <w:rPr/>
            </w:pPr>
            <w:r>
              <w:rPr/>
              <w:t> </w:t>
            </w:r>
          </w:p>
        </w:tc>
      </w:tr>
      <w:tr>
        <w:trPr/>
        <w:tc>
          <w:tcPr>
            <w:tcW w:w="4137"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4" w:type="dxa"/>
            <w:tcBorders/>
            <w:vAlign w:val="bottom"/>
          </w:tcPr>
          <w:p>
            <w:pPr>
              <w:pStyle w:val="TableContents"/>
              <w:bidi w:val="0"/>
              <w:spacing w:before="0" w:after="283"/>
              <w:jc w:val="left"/>
              <w:rPr/>
            </w:pPr>
            <w:r>
              <w:rPr/>
              <w:t> </w:t>
            </w:r>
          </w:p>
        </w:tc>
      </w:tr>
      <w:tr>
        <w:trPr/>
        <w:tc>
          <w:tcPr>
            <w:tcW w:w="4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4" w:type="dxa"/>
            <w:tcBorders/>
            <w:shd w:fill="CCEEFF" w:val="clear"/>
            <w:vAlign w:val="bottom"/>
          </w:tcPr>
          <w:p>
            <w:pPr>
              <w:pStyle w:val="TableContents"/>
              <w:bidi w:val="0"/>
              <w:spacing w:before="0" w:after="283"/>
              <w:jc w:val="right"/>
              <w:rPr/>
            </w:pPr>
            <w:r>
              <w:rPr/>
              <w:t>5.98 -9.95</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4" w:type="dxa"/>
            <w:tcBorders/>
            <w:shd w:fill="CCEEFF" w:val="clear"/>
            <w:vAlign w:val="bottom"/>
          </w:tcPr>
          <w:p>
            <w:pPr>
              <w:pStyle w:val="TableContents"/>
              <w:bidi w:val="0"/>
              <w:spacing w:before="0" w:after="283"/>
              <w:jc w:val="right"/>
              <w:rPr/>
            </w:pPr>
            <w:r>
              <w:rPr/>
              <w:t>0.25 - 6.98</w:t>
            </w:r>
          </w:p>
        </w:tc>
        <w:tc>
          <w:tcPr>
            <w:tcW w:w="64" w:type="dxa"/>
            <w:tcBorders/>
            <w:shd w:fill="CCEEFF" w:val="clear"/>
            <w:vAlign w:val="bottom"/>
          </w:tcPr>
          <w:p>
            <w:pPr>
              <w:pStyle w:val="TableContents"/>
              <w:bidi w:val="0"/>
              <w:spacing w:before="0" w:after="283"/>
              <w:jc w:val="left"/>
              <w:rPr/>
            </w:pPr>
            <w:r>
              <w:rPr/>
              <w:t> </w:t>
            </w:r>
          </w:p>
        </w:tc>
      </w:tr>
      <w:tr>
        <w:trPr/>
        <w:tc>
          <w:tcPr>
            <w:tcW w:w="4137"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4" w:type="dxa"/>
            <w:tcBorders/>
            <w:vAlign w:val="bottom"/>
          </w:tcPr>
          <w:p>
            <w:pPr>
              <w:pStyle w:val="TableContents"/>
              <w:bidi w:val="0"/>
              <w:spacing w:before="0" w:after="283"/>
              <w:jc w:val="right"/>
              <w:rPr/>
            </w:pPr>
            <w:r>
              <w:rPr/>
              <w:t>54.0% - 57.7%</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4" w:type="dxa"/>
            <w:tcBorders/>
            <w:vAlign w:val="bottom"/>
          </w:tcPr>
          <w:p>
            <w:pPr>
              <w:pStyle w:val="TableContents"/>
              <w:bidi w:val="0"/>
              <w:spacing w:before="0" w:after="283"/>
              <w:jc w:val="right"/>
              <w:rPr/>
            </w:pPr>
            <w:r>
              <w:rPr/>
              <w:t>65.4% - 67.1%</w:t>
            </w:r>
          </w:p>
        </w:tc>
        <w:tc>
          <w:tcPr>
            <w:tcW w:w="64" w:type="dxa"/>
            <w:tcBorders/>
            <w:vAlign w:val="bottom"/>
          </w:tcPr>
          <w:p>
            <w:pPr>
              <w:pStyle w:val="TableContents"/>
              <w:bidi w:val="0"/>
              <w:spacing w:before="0" w:after="283"/>
              <w:jc w:val="left"/>
              <w:rPr/>
            </w:pPr>
            <w:r>
              <w:rPr/>
              <w:t> </w:t>
            </w:r>
          </w:p>
        </w:tc>
      </w:tr>
      <w:tr>
        <w:trPr/>
        <w:tc>
          <w:tcPr>
            <w:tcW w:w="4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4" w:type="dxa"/>
            <w:tcBorders/>
            <w:shd w:fill="CCEEFF" w:val="clear"/>
            <w:vAlign w:val="bottom"/>
          </w:tcPr>
          <w:p>
            <w:pPr>
              <w:pStyle w:val="TableContents"/>
              <w:bidi w:val="0"/>
              <w:spacing w:before="0" w:after="283"/>
              <w:jc w:val="right"/>
              <w:rPr/>
            </w:pPr>
            <w:r>
              <w:rPr/>
              <w:t>1.35% - 1.52%</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4" w:type="dxa"/>
            <w:tcBorders/>
            <w:shd w:fill="CCEEFF" w:val="clear"/>
            <w:vAlign w:val="bottom"/>
          </w:tcPr>
          <w:p>
            <w:pPr>
              <w:pStyle w:val="TableContents"/>
              <w:bidi w:val="0"/>
              <w:spacing w:before="0" w:after="283"/>
              <w:jc w:val="right"/>
              <w:rPr/>
            </w:pPr>
            <w:r>
              <w:rPr/>
              <w:t>0.09% - 0.65%</w:t>
            </w:r>
          </w:p>
        </w:tc>
        <w:tc>
          <w:tcPr>
            <w:tcW w:w="64" w:type="dxa"/>
            <w:tcBorders/>
            <w:shd w:fill="CCEEFF" w:val="clear"/>
            <w:vAlign w:val="bottom"/>
          </w:tcPr>
          <w:p>
            <w:pPr>
              <w:pStyle w:val="TableContents"/>
              <w:bidi w:val="0"/>
              <w:spacing w:before="0" w:after="283"/>
              <w:jc w:val="left"/>
              <w:rPr/>
            </w:pPr>
            <w:r>
              <w:rPr/>
              <w:t> </w:t>
            </w:r>
          </w:p>
        </w:tc>
      </w:tr>
      <w:tr>
        <w:trPr/>
        <w:tc>
          <w:tcPr>
            <w:tcW w:w="4137"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4" w:type="dxa"/>
            <w:tcBorders/>
            <w:vAlign w:val="bottom"/>
          </w:tcPr>
          <w:p>
            <w:pPr>
              <w:pStyle w:val="TableContents"/>
              <w:bidi w:val="0"/>
              <w:spacing w:before="0" w:after="283"/>
              <w:jc w:val="right"/>
              <w:rPr/>
            </w:pPr>
            <w:r>
              <w:rPr/>
              <w:t>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2021, the Company is authorized to issue 13,500,285 shares of redeemable convertible preferred stock with a par value of $0.001 per share (collectively, Preferred Stock). Redeemable convertible preferred stock as of December 31, 2021 and 2020, consisted of the following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3"/>
        <w:gridCol w:w="213"/>
        <w:gridCol w:w="60"/>
        <w:gridCol w:w="1127"/>
        <w:gridCol w:w="60"/>
        <w:gridCol w:w="213"/>
        <w:gridCol w:w="66"/>
        <w:gridCol w:w="1251"/>
        <w:gridCol w:w="60"/>
        <w:gridCol w:w="213"/>
        <w:gridCol w:w="243"/>
        <w:gridCol w:w="1193"/>
        <w:gridCol w:w="60"/>
        <w:gridCol w:w="213"/>
        <w:gridCol w:w="289"/>
        <w:gridCol w:w="904"/>
        <w:gridCol w:w="60"/>
        <w:gridCol w:w="213"/>
        <w:gridCol w:w="208"/>
        <w:gridCol w:w="1036"/>
        <w:gridCol w:w="70"/>
      </w:tblGrid>
      <w:tr>
        <w:trPr/>
        <w:tc>
          <w:tcPr>
            <w:tcW w:w="2453"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45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46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 December 31, 2021</w:t>
            </w:r>
          </w:p>
        </w:tc>
        <w:tc>
          <w:tcPr>
            <w:tcW w:w="70" w:type="dxa"/>
            <w:tcBorders/>
            <w:vAlign w:val="bottom"/>
          </w:tcPr>
          <w:p>
            <w:pPr>
              <w:pStyle w:val="TableContents"/>
              <w:bidi w:val="0"/>
              <w:spacing w:before="0" w:after="283"/>
              <w:jc w:val="left"/>
              <w:rPr/>
            </w:pPr>
            <w:r>
              <w:rPr/>
              <w:t> </w:t>
            </w:r>
          </w:p>
        </w:tc>
      </w:tr>
      <w:tr>
        <w:trPr/>
        <w:tc>
          <w:tcPr>
            <w:tcW w:w="245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Issued and</w:t>
              <w:br/>
              <w:t>Outstanding</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Value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bottom"/>
          </w:tcPr>
          <w:p>
            <w:pPr>
              <w:pStyle w:val="TableContents"/>
              <w:bidi w:val="0"/>
              <w:spacing w:before="0" w:after="283"/>
              <w:jc w:val="center"/>
              <w:rPr/>
            </w:pPr>
            <w:r>
              <w:rPr>
                <w:b/>
              </w:rPr>
              <w:t>Conversion</w:t>
            </w:r>
            <w:r>
              <w:rPr/>
              <w:br/>
            </w:r>
            <w:r>
              <w:rPr>
                <w:b/>
              </w:rPr>
              <w:t>Price Per</w:t>
              <w:br/>
              <w:t>Share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Liquidation</w:t>
              <w:br/>
              <w:t>Preference</w:t>
            </w:r>
          </w:p>
        </w:tc>
        <w:tc>
          <w:tcPr>
            <w:tcW w:w="70" w:type="dxa"/>
            <w:tcBorders/>
            <w:vAlign w:val="bottom"/>
          </w:tcPr>
          <w:p>
            <w:pPr>
              <w:pStyle w:val="TableContents"/>
              <w:bidi w:val="0"/>
              <w:spacing w:before="0" w:after="283"/>
              <w:jc w:val="left"/>
              <w:rPr/>
            </w:pPr>
            <w:r>
              <w:rPr/>
              <w:t> </w:t>
            </w:r>
          </w:p>
        </w:tc>
      </w:tr>
      <w:tr>
        <w:trPr/>
        <w:tc>
          <w:tcPr>
            <w:tcW w:w="2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E-1</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7,324,607</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5,348,050</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193" w:type="dxa"/>
            <w:tcBorders/>
            <w:shd w:fill="CCEEFF" w:val="clear"/>
            <w:vAlign w:val="bottom"/>
          </w:tcPr>
          <w:p>
            <w:pPr>
              <w:pStyle w:val="TableContents"/>
              <w:bidi w:val="0"/>
              <w:spacing w:before="0" w:after="283"/>
              <w:jc w:val="right"/>
              <w:rPr/>
            </w:pPr>
            <w:r>
              <w:rPr/>
              <w:t>49,186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9.17</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49,042</w:t>
            </w:r>
          </w:p>
        </w:tc>
        <w:tc>
          <w:tcPr>
            <w:tcW w:w="70" w:type="dxa"/>
            <w:tcBorders/>
            <w:shd w:fill="CCEEFF" w:val="clear"/>
            <w:vAlign w:val="bottom"/>
          </w:tcPr>
          <w:p>
            <w:pPr>
              <w:pStyle w:val="TableContents"/>
              <w:bidi w:val="0"/>
              <w:spacing w:before="0" w:after="283"/>
              <w:jc w:val="left"/>
              <w:rPr/>
            </w:pPr>
            <w:r>
              <w:rPr/>
              <w:t> </w:t>
            </w:r>
          </w:p>
        </w:tc>
      </w:tr>
      <w:tr>
        <w:trPr/>
        <w:tc>
          <w:tcPr>
            <w:tcW w:w="2453" w:type="dxa"/>
            <w:tcBorders/>
          </w:tcPr>
          <w:p>
            <w:pPr>
              <w:pStyle w:val="TableContents"/>
              <w:bidi w:val="0"/>
              <w:spacing w:before="0" w:after="0"/>
              <w:jc w:val="left"/>
              <w:rPr>
                <w:rFonts w:ascii="Times New Roman" w:hAnsi="Times New Roman"/>
                <w:sz w:val="20"/>
              </w:rPr>
            </w:pPr>
            <w:r>
              <w:rPr>
                <w:rFonts w:ascii="Times New Roman" w:hAnsi="Times New Roman"/>
                <w:sz w:val="20"/>
              </w:rPr>
              <w:t>Series D-1</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375,801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C-1</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1,509,508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1,509,508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13,060</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8.66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13,072</w:t>
            </w:r>
          </w:p>
        </w:tc>
        <w:tc>
          <w:tcPr>
            <w:tcW w:w="70" w:type="dxa"/>
            <w:tcBorders/>
            <w:shd w:fill="CCEEFF" w:val="clear"/>
            <w:vAlign w:val="bottom"/>
          </w:tcPr>
          <w:p>
            <w:pPr>
              <w:pStyle w:val="TableContents"/>
              <w:bidi w:val="0"/>
              <w:spacing w:before="0" w:after="283"/>
              <w:jc w:val="left"/>
              <w:rPr/>
            </w:pPr>
            <w:r>
              <w:rPr/>
              <w:t> </w:t>
            </w:r>
          </w:p>
        </w:tc>
      </w:tr>
      <w:tr>
        <w:trPr/>
        <w:tc>
          <w:tcPr>
            <w:tcW w:w="2453" w:type="dxa"/>
            <w:tcBorders/>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785,471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785,471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4,237</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5.40</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4,242</w:t>
            </w:r>
          </w:p>
        </w:tc>
        <w:tc>
          <w:tcPr>
            <w:tcW w:w="70" w:type="dxa"/>
            <w:tcBorders/>
            <w:vAlign w:val="bottom"/>
          </w:tcPr>
          <w:p>
            <w:pPr>
              <w:pStyle w:val="TableContents"/>
              <w:bidi w:val="0"/>
              <w:spacing w:before="0" w:after="283"/>
              <w:jc w:val="left"/>
              <w:rPr/>
            </w:pPr>
            <w:r>
              <w:rPr/>
              <w:t> </w:t>
            </w:r>
          </w:p>
        </w:tc>
      </w:tr>
      <w:tr>
        <w:trPr/>
        <w:tc>
          <w:tcPr>
            <w:tcW w:w="2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3,504,898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3,504,898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5,578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1.52</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5,327</w:t>
            </w:r>
          </w:p>
        </w:tc>
        <w:tc>
          <w:tcPr>
            <w:tcW w:w="70" w:type="dxa"/>
            <w:tcBorders/>
            <w:shd w:fill="CCEEFF" w:val="clear"/>
            <w:vAlign w:val="bottom"/>
          </w:tcPr>
          <w:p>
            <w:pPr>
              <w:pStyle w:val="TableContents"/>
              <w:bidi w:val="0"/>
              <w:spacing w:before="0" w:after="283"/>
              <w:jc w:val="left"/>
              <w:rPr/>
            </w:pPr>
            <w:r>
              <w:rPr/>
              <w:t> </w:t>
            </w:r>
          </w:p>
        </w:tc>
      </w:tr>
      <w:tr>
        <w:trPr/>
        <w:tc>
          <w:tcPr>
            <w:tcW w:w="245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53"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13,500,285</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11,147,927</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72,061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036" w:type="dxa"/>
            <w:tcBorders/>
            <w:vAlign w:val="bottom"/>
          </w:tcPr>
          <w:p>
            <w:pPr>
              <w:pStyle w:val="TableContents"/>
              <w:bidi w:val="0"/>
              <w:spacing w:before="0" w:after="283"/>
              <w:jc w:val="right"/>
              <w:rPr/>
            </w:pPr>
            <w:r>
              <w:rPr/>
              <w:t>71,683</w:t>
            </w:r>
          </w:p>
        </w:tc>
        <w:tc>
          <w:tcPr>
            <w:tcW w:w="70" w:type="dxa"/>
            <w:tcBorders/>
            <w:vAlign w:val="bottom"/>
          </w:tcPr>
          <w:p>
            <w:pPr>
              <w:pStyle w:val="TableContents"/>
              <w:bidi w:val="0"/>
              <w:spacing w:before="0" w:after="283"/>
              <w:jc w:val="left"/>
              <w:rPr/>
            </w:pPr>
            <w:r>
              <w:rPr/>
              <w:t> </w:t>
            </w:r>
          </w:p>
        </w:tc>
      </w:tr>
      <w:tr>
        <w:trPr/>
        <w:tc>
          <w:tcPr>
            <w:tcW w:w="245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1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53"/>
        <w:gridCol w:w="213"/>
        <w:gridCol w:w="60"/>
        <w:gridCol w:w="1127"/>
        <w:gridCol w:w="60"/>
        <w:gridCol w:w="213"/>
        <w:gridCol w:w="66"/>
        <w:gridCol w:w="1251"/>
        <w:gridCol w:w="60"/>
        <w:gridCol w:w="213"/>
        <w:gridCol w:w="243"/>
        <w:gridCol w:w="1193"/>
        <w:gridCol w:w="60"/>
        <w:gridCol w:w="213"/>
        <w:gridCol w:w="289"/>
        <w:gridCol w:w="904"/>
        <w:gridCol w:w="60"/>
        <w:gridCol w:w="213"/>
        <w:gridCol w:w="208"/>
        <w:gridCol w:w="1036"/>
        <w:gridCol w:w="70"/>
      </w:tblGrid>
      <w:tr>
        <w:trPr/>
        <w:tc>
          <w:tcPr>
            <w:tcW w:w="2453"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45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46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 December 31, 2020</w:t>
            </w:r>
          </w:p>
        </w:tc>
        <w:tc>
          <w:tcPr>
            <w:tcW w:w="70" w:type="dxa"/>
            <w:tcBorders/>
            <w:vAlign w:val="bottom"/>
          </w:tcPr>
          <w:p>
            <w:pPr>
              <w:pStyle w:val="TableContents"/>
              <w:bidi w:val="0"/>
              <w:spacing w:before="0" w:after="283"/>
              <w:jc w:val="left"/>
              <w:rPr/>
            </w:pPr>
            <w:r>
              <w:rPr/>
              <w:t> </w:t>
            </w:r>
          </w:p>
        </w:tc>
      </w:tr>
      <w:tr>
        <w:trPr/>
        <w:tc>
          <w:tcPr>
            <w:tcW w:w="245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Value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 Per</w:t>
              <w:br/>
              <w:t>Share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Liquidation</w:t>
              <w:br/>
              <w:t>Preference</w:t>
            </w:r>
          </w:p>
        </w:tc>
        <w:tc>
          <w:tcPr>
            <w:tcW w:w="70" w:type="dxa"/>
            <w:tcBorders/>
            <w:vAlign w:val="bottom"/>
          </w:tcPr>
          <w:p>
            <w:pPr>
              <w:pStyle w:val="TableContents"/>
              <w:bidi w:val="0"/>
              <w:spacing w:before="0" w:after="283"/>
              <w:jc w:val="left"/>
              <w:rPr/>
            </w:pPr>
            <w:r>
              <w:rPr/>
              <w:t> </w:t>
            </w:r>
          </w:p>
        </w:tc>
      </w:tr>
      <w:tr>
        <w:trPr/>
        <w:tc>
          <w:tcPr>
            <w:tcW w:w="2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E-1</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7,324,607</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5,367,134</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193" w:type="dxa"/>
            <w:tcBorders/>
            <w:shd w:fill="CCEEFF" w:val="clear"/>
            <w:vAlign w:val="bottom"/>
          </w:tcPr>
          <w:p>
            <w:pPr>
              <w:pStyle w:val="TableContents"/>
              <w:bidi w:val="0"/>
              <w:spacing w:before="0" w:after="283"/>
              <w:jc w:val="right"/>
              <w:rPr/>
            </w:pPr>
            <w:r>
              <w:rPr/>
              <w:t>49,054</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9.17</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49,217</w:t>
            </w:r>
          </w:p>
        </w:tc>
        <w:tc>
          <w:tcPr>
            <w:tcW w:w="70" w:type="dxa"/>
            <w:tcBorders/>
            <w:shd w:fill="CCEEFF" w:val="clear"/>
            <w:vAlign w:val="bottom"/>
          </w:tcPr>
          <w:p>
            <w:pPr>
              <w:pStyle w:val="TableContents"/>
              <w:bidi w:val="0"/>
              <w:spacing w:before="0" w:after="283"/>
              <w:jc w:val="left"/>
              <w:rPr/>
            </w:pPr>
            <w:r>
              <w:rPr/>
              <w:t> </w:t>
            </w:r>
          </w:p>
        </w:tc>
      </w:tr>
      <w:tr>
        <w:trPr/>
        <w:tc>
          <w:tcPr>
            <w:tcW w:w="2453" w:type="dxa"/>
            <w:tcBorders/>
          </w:tcPr>
          <w:p>
            <w:pPr>
              <w:pStyle w:val="TableContents"/>
              <w:bidi w:val="0"/>
              <w:spacing w:before="0" w:after="0"/>
              <w:jc w:val="left"/>
              <w:rPr>
                <w:rFonts w:ascii="Times New Roman" w:hAnsi="Times New Roman"/>
                <w:sz w:val="20"/>
              </w:rPr>
            </w:pPr>
            <w:r>
              <w:rPr>
                <w:rFonts w:ascii="Times New Roman" w:hAnsi="Times New Roman"/>
                <w:sz w:val="20"/>
              </w:rPr>
              <w:t>Series D-1</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375,801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C-1</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1,509,508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1,509,508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13,055</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8.66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13,072</w:t>
            </w:r>
          </w:p>
        </w:tc>
        <w:tc>
          <w:tcPr>
            <w:tcW w:w="70" w:type="dxa"/>
            <w:tcBorders/>
            <w:shd w:fill="CCEEFF" w:val="clear"/>
            <w:vAlign w:val="bottom"/>
          </w:tcPr>
          <w:p>
            <w:pPr>
              <w:pStyle w:val="TableContents"/>
              <w:bidi w:val="0"/>
              <w:spacing w:before="0" w:after="283"/>
              <w:jc w:val="left"/>
              <w:rPr/>
            </w:pPr>
            <w:r>
              <w:rPr/>
              <w:t> </w:t>
            </w:r>
          </w:p>
        </w:tc>
      </w:tr>
      <w:tr>
        <w:trPr/>
        <w:tc>
          <w:tcPr>
            <w:tcW w:w="2453" w:type="dxa"/>
            <w:tcBorders/>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785,471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750,177</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4,037</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5.40</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4,051</w:t>
            </w:r>
          </w:p>
        </w:tc>
        <w:tc>
          <w:tcPr>
            <w:tcW w:w="70" w:type="dxa"/>
            <w:tcBorders/>
            <w:vAlign w:val="bottom"/>
          </w:tcPr>
          <w:p>
            <w:pPr>
              <w:pStyle w:val="TableContents"/>
              <w:bidi w:val="0"/>
              <w:spacing w:before="0" w:after="283"/>
              <w:jc w:val="left"/>
              <w:rPr/>
            </w:pPr>
            <w:r>
              <w:rPr/>
              <w:t> </w:t>
            </w:r>
          </w:p>
        </w:tc>
      </w:tr>
      <w:tr>
        <w:trPr/>
        <w:tc>
          <w:tcPr>
            <w:tcW w:w="2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3,504,898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3,293,628</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5,006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1.52</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5,006</w:t>
            </w:r>
          </w:p>
        </w:tc>
        <w:tc>
          <w:tcPr>
            <w:tcW w:w="70" w:type="dxa"/>
            <w:tcBorders/>
            <w:shd w:fill="CCEEFF" w:val="clear"/>
            <w:vAlign w:val="bottom"/>
          </w:tcPr>
          <w:p>
            <w:pPr>
              <w:pStyle w:val="TableContents"/>
              <w:bidi w:val="0"/>
              <w:spacing w:before="0" w:after="283"/>
              <w:jc w:val="left"/>
              <w:rPr/>
            </w:pPr>
            <w:r>
              <w:rPr/>
              <w:t> </w:t>
            </w:r>
          </w:p>
        </w:tc>
      </w:tr>
      <w:tr>
        <w:trPr/>
        <w:tc>
          <w:tcPr>
            <w:tcW w:w="245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53"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13,500,285</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10,920,447</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71,152</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036" w:type="dxa"/>
            <w:tcBorders/>
            <w:vAlign w:val="bottom"/>
          </w:tcPr>
          <w:p>
            <w:pPr>
              <w:pStyle w:val="TableContents"/>
              <w:bidi w:val="0"/>
              <w:spacing w:before="0" w:after="283"/>
              <w:jc w:val="right"/>
              <w:rPr/>
            </w:pPr>
            <w:r>
              <w:rPr/>
              <w:t>71,346</w:t>
            </w:r>
          </w:p>
        </w:tc>
        <w:tc>
          <w:tcPr>
            <w:tcW w:w="70" w:type="dxa"/>
            <w:tcBorders/>
            <w:vAlign w:val="bottom"/>
          </w:tcPr>
          <w:p>
            <w:pPr>
              <w:pStyle w:val="TableContents"/>
              <w:bidi w:val="0"/>
              <w:spacing w:before="0" w:after="283"/>
              <w:jc w:val="left"/>
              <w:rPr/>
            </w:pPr>
            <w:r>
              <w:rPr/>
              <w:t> </w:t>
            </w:r>
          </w:p>
        </w:tc>
      </w:tr>
      <w:tr>
        <w:trPr/>
        <w:tc>
          <w:tcPr>
            <w:tcW w:w="245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1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March 2021, the Company issued 211,270 Series A-1 preferred stock and 35,294 Series B-1 preferred stock in connection with the exercise of warrants discussed in Note 8 above. Additionally, the Company entered into an agreement with an employee to reduce Series E-1 preferred stock by 19,084. </w:t>
      </w:r>
    </w:p>
    <w:p>
      <w:pPr>
        <w:pStyle w:val="TextBody"/>
        <w:bidi w:val="0"/>
        <w:spacing w:before="120" w:after="0"/>
        <w:jc w:val="left"/>
        <w:rPr>
          <w:rFonts w:ascii="Times New Roman" w:hAnsi="Times New Roman"/>
          <w:sz w:val="20"/>
        </w:rPr>
      </w:pPr>
      <w:r>
        <w:rPr>
          <w:rFonts w:ascii="Times New Roman" w:hAnsi="Times New Roman"/>
          <w:sz w:val="20"/>
        </w:rPr>
        <w:t xml:space="preserve">During March and April 2020, the Company issued 768,809 Series E-1 preferred stock at an issuance price of $9.17 per share for $6.7 million. Of the 768,809 shares, 32,715 shares were issued to a Board member as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Preferred Stock have the following rights, preferences, privileges and restrictions: </w:t>
      </w:r>
    </w:p>
    <w:p>
      <w:pPr>
        <w:pStyle w:val="TextBody"/>
        <w:bidi w:val="0"/>
        <w:spacing w:before="120" w:after="0"/>
        <w:jc w:val="left"/>
        <w:rPr>
          <w:rFonts w:ascii="Times New Roman" w:hAnsi="Times New Roman"/>
          <w:sz w:val="20"/>
        </w:rPr>
      </w:pPr>
      <w:r>
        <w:rPr>
          <w:rFonts w:ascii="Times New Roman" w:hAnsi="Times New Roman"/>
          <w:b/>
          <w:sz w:val="20"/>
        </w:rPr>
        <w:t>Dividends</w:t>
      </w:r>
      <w:r>
        <w:rPr>
          <w:rFonts w:ascii="Times New Roman" w:hAnsi="Times New Roman"/>
          <w:sz w:val="20"/>
        </w:rPr>
        <w:t xml:space="preserve"> </w:t>
      </w:r>
      <w:r>
        <w:rPr>
          <w:rFonts w:ascii="Times New Roman" w:hAnsi="Times New Roman"/>
          <w:i/>
          <w:sz w:val="20"/>
        </w:rPr>
        <w:t xml:space="preserve"> </w:t>
      </w:r>
      <w:r>
        <w:rPr>
          <w:rFonts w:ascii="Times New Roman" w:hAnsi="Times New Roman"/>
          <w:sz w:val="20"/>
        </w:rPr>
        <w:t xml:space="preserve">The holders of the outstanding shares of Preferred Stock are entitled to receive, when and if declared by the Board of Directors, noncumulative dividends at the annual rate of 8% per share of Preferred Stock. Dividends on Preferred Stock are payable in preference to any dividends on common stock or Class B common stock. In any year, after payment of dividends on Preferred Stock, any additional dividends declared by the Board of Directors will be paid among the holders of Preferred Stock, common stock, and Class B common stock pro rata on an if-converted basis. No dividends have been declared or paid for the years ended December 31, 2021 and 2020. </w:t>
      </w:r>
    </w:p>
    <w:p>
      <w:pPr>
        <w:pStyle w:val="TextBody"/>
        <w:bidi w:val="0"/>
        <w:spacing w:before="240" w:after="0"/>
        <w:jc w:val="left"/>
        <w:rPr>
          <w:rFonts w:ascii="Times New Roman" w:hAnsi="Times New Roman"/>
          <w:sz w:val="20"/>
        </w:rPr>
      </w:pPr>
      <w:r>
        <w:rPr>
          <w:rFonts w:ascii="Times New Roman" w:hAnsi="Times New Roman"/>
          <w:b/>
          <w:sz w:val="20"/>
        </w:rPr>
        <w:t>Liquidation</w:t>
      </w:r>
      <w:r>
        <w:rPr>
          <w:rFonts w:ascii="Times New Roman" w:hAnsi="Times New Roman"/>
          <w:sz w:val="20"/>
        </w:rPr>
        <w:t xml:space="preserve"> </w:t>
      </w:r>
      <w:r>
        <w:rPr>
          <w:rFonts w:ascii="Times New Roman" w:hAnsi="Times New Roman"/>
          <w:i/>
          <w:sz w:val="20"/>
        </w:rPr>
        <w:t xml:space="preserve"> </w:t>
      </w:r>
      <w:r>
        <w:rPr>
          <w:rFonts w:ascii="Times New Roman" w:hAnsi="Times New Roman"/>
          <w:sz w:val="20"/>
        </w:rPr>
        <w:t xml:space="preserve">Upon liquidation, dissolution, or winding up of the Company, including a change of control of the Company, holders of Preferred Stock will be entitled to receive, on a pro rata basis, prior and in preference to any distribution to holders of any series of common stock, an amount equal to $9.17 per share of Series E-1, $8.66 per share of Series D-1, $8.66 per share of Series C-1, $5.40 per share of Series B-1 and $1.52 per share of Series A-1, plus any declared but unpaid dividends on such shares. If the assets and funds thus available for distribution among holders of Preferred Stock are insufficient to provide such holders their full aforesaid preferential amount, then the entire amount of the assets and funds of the Company legally available for distribution will be distributed ratably among all holders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After the distribution to the holders of Preferred Stock, any remaining assets of the Company legally available for distribution will be distributed pro rata, on an if-converted basis, to all holders of common stock and Class B common stock. </w:t>
      </w:r>
    </w:p>
    <w:p>
      <w:pPr>
        <w:pStyle w:val="TextBody"/>
        <w:bidi w:val="0"/>
        <w:spacing w:before="240" w:after="0"/>
        <w:jc w:val="left"/>
        <w:rPr>
          <w:rFonts w:ascii="Times New Roman" w:hAnsi="Times New Roman"/>
          <w:sz w:val="20"/>
        </w:rPr>
      </w:pPr>
      <w:r>
        <w:rPr>
          <w:rFonts w:ascii="Times New Roman" w:hAnsi="Times New Roman"/>
          <w:b/>
          <w:sz w:val="20"/>
        </w:rPr>
        <w:t>Conversion</w:t>
      </w:r>
      <w:r>
        <w:rPr>
          <w:rFonts w:ascii="Times New Roman" w:hAnsi="Times New Roman"/>
          <w:sz w:val="20"/>
        </w:rPr>
        <w:t xml:space="preserve"> </w:t>
      </w:r>
      <w:r>
        <w:rPr>
          <w:rFonts w:ascii="Times New Roman" w:hAnsi="Times New Roman"/>
          <w:i/>
          <w:sz w:val="20"/>
        </w:rPr>
        <w:t xml:space="preserve"> </w:t>
      </w:r>
      <w:r>
        <w:rPr>
          <w:rFonts w:ascii="Times New Roman" w:hAnsi="Times New Roman"/>
          <w:sz w:val="20"/>
        </w:rPr>
        <w:t xml:space="preserve">Each share of Preferred Stock is convertible at the option of the holder into that number of common shares that is equal to the original issuance price of the Preferred Stock divided by the conversion price, as defined in the Companys Certificate of Incorporation, subject to adjustment for events of dilution. Holders of Preferred Stock may elect to convert their shares into common stock at any time.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Preferred Stock will automatically convert into shares of common stock at the then effective conversion rate for each such share (i) immediately prior to the closing of a qualified public offering of the Companys common stock in which gross proceeds exceed $15.0 million or (ii) upon the receipt by the Company of a written request for such conversion from the holders of a majority of the then outstanding Preferred Stock. </w:t>
      </w:r>
    </w:p>
    <w:p>
      <w:pPr>
        <w:pStyle w:val="TextBody"/>
        <w:bidi w:val="0"/>
        <w:spacing w:before="240" w:after="0"/>
        <w:jc w:val="left"/>
        <w:rPr>
          <w:rFonts w:ascii="Times New Roman" w:hAnsi="Times New Roman"/>
          <w:sz w:val="20"/>
        </w:rPr>
      </w:pPr>
      <w:r>
        <w:rPr>
          <w:rFonts w:ascii="Times New Roman" w:hAnsi="Times New Roman"/>
          <w:b/>
          <w:sz w:val="20"/>
        </w:rPr>
        <w:t>Voting</w:t>
      </w:r>
      <w:r>
        <w:rPr>
          <w:rFonts w:ascii="Times New Roman" w:hAnsi="Times New Roman"/>
          <w:sz w:val="20"/>
        </w:rPr>
        <w:t xml:space="preserve"> </w:t>
      </w:r>
      <w:r>
        <w:rPr>
          <w:rFonts w:ascii="Times New Roman" w:hAnsi="Times New Roman"/>
          <w:i/>
          <w:sz w:val="20"/>
        </w:rPr>
        <w:t xml:space="preserve"> </w:t>
      </w:r>
      <w:r>
        <w:rPr>
          <w:rFonts w:ascii="Times New Roman" w:hAnsi="Times New Roman"/>
          <w:sz w:val="20"/>
        </w:rPr>
        <w:t xml:space="preserve">Each share of Preferred Stock has voting rights equivalent to the number of shares of common stock into which it is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Protective Provisions</w:t>
      </w:r>
      <w:r>
        <w:rPr>
          <w:rFonts w:ascii="Times New Roman" w:hAnsi="Times New Roman"/>
          <w:i/>
          <w:sz w:val="20"/>
        </w:rPr>
        <w:t xml:space="preserve"> </w:t>
      </w:r>
      <w:r>
        <w:rPr>
          <w:rFonts w:ascii="Times New Roman" w:hAnsi="Times New Roman"/>
          <w:sz w:val="20"/>
        </w:rPr>
        <w:t xml:space="preserve">As long as 250,000 shares of Preferred Stock remain outstanding, the majority vote of the holders of the then outstanding shares of Preferred Stock is necessary for consummation of certain transactions, including but not limited to: increasing or decreasing the authorized capital stock; creating any senior or </w:t>
      </w:r>
      <w:r>
        <w:rPr>
          <w:rFonts w:ascii="Times New Roman" w:hAnsi="Times New Roman"/>
          <w:i/>
          <w:sz w:val="20"/>
        </w:rPr>
        <w:t>pari passu</w:t>
      </w:r>
      <w:r>
        <w:rPr>
          <w:rFonts w:ascii="Times New Roman" w:hAnsi="Times New Roman"/>
          <w:sz w:val="20"/>
        </w:rPr>
        <w:t xml:space="preserve"> security, privileges, preferences or voting rights senior to or on parity with those granted to the Preferred Stock; altering or changing the preferred series rights; redeeming or repurchasing the Companys equity securities; and entering into any transaction deemed to be a liquidation or dissolution of the Company. </w:t>
      </w:r>
    </w:p>
    <w:p>
      <w:pPr>
        <w:pStyle w:val="TextBody"/>
        <w:bidi w:val="0"/>
        <w:spacing w:before="240" w:after="0"/>
        <w:jc w:val="left"/>
        <w:rPr>
          <w:rFonts w:ascii="Times New Roman" w:hAnsi="Times New Roman"/>
          <w:sz w:val="20"/>
        </w:rPr>
      </w:pPr>
      <w:r>
        <w:rPr>
          <w:rFonts w:ascii="Times New Roman" w:hAnsi="Times New Roman"/>
          <w:b/>
          <w:sz w:val="20"/>
        </w:rPr>
        <w:t>Redemption</w:t>
      </w:r>
      <w:r>
        <w:rPr>
          <w:rFonts w:ascii="Times New Roman" w:hAnsi="Times New Roman"/>
          <w:i/>
          <w:sz w:val="20"/>
        </w:rPr>
        <w:t xml:space="preserve"> </w:t>
      </w:r>
      <w:r>
        <w:rPr>
          <w:rFonts w:ascii="Times New Roman" w:hAnsi="Times New Roman"/>
          <w:sz w:val="20"/>
        </w:rPr>
        <w:t xml:space="preserve">At any time after 7 years from the issuance of respective series of Preferred Shares, the holders of a majority of the outstanding voting Preferred Stock Series may vote to require the Company to redeem all outstanding shares of Preferred Stock Series in three equal annual installments by paying in cash an amount per share equal to the original issuance price of the Preferred Stock Series, plus any accrued but unpaid dividends. If the Company does not have sufficient funds legally available to redeem all shares of Preferred Stock, then the Company will redeem the maximum possible number of shares ratably among the holders of such shares and will redeem the remaining shares as soon as sufficient funds are legally available. After 7 years from the issuance of respective series of Preferred Shares, the Preferred shares are then currently redeemable at the option of the holder and have been classified in the mezzanine section of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Preferred Shares are also contingently redeemable upon liquidation and certain deemed liquidation events such as acquisition, merger, consolidation or the sale, lease transfer, exclusive license or other disposition by the Company of all or substantially all of the assets of the Company. These events are outside the control of the Company and therefore the Preferred Stock have been classified in the mezzanine section of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its redeemable convertible preferred stock at the amount of cash proceeds received on the date of issuance, net of issuance costs. Since the preferred stock is probable of becoming redeemable at the option of the holder at a future date, accretion of the preferred stock will be recognized over the period of time from the date of issuance to the earliest redemption date. The accretion is recorded as additional paid-in capital. Accretion of preferred stock was $0.02 million and $0.04 million for the years ended December 31, 2021 and 2020,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2021 and 2020, the Company is authorized to issue two classes of common stock, designated as common stock and Class B common stock. The two classes of common stock have similar rights, except holders of common stock are entitled to one vote per share while holders of Class B common stock have no voting rights. Each share of Class B common stock will automatically convert into one share of common stock immediately prior to a qualified initial public offering of the Companys common stock or upon the consummation of a liquidation event (as defined in the Certificate of Incorporation). As of December 31, 2021 and 2020, the Company is authorized to issue 27,000,000 shares of common stock with a par value of $0.001 per share and 815 shares are designated as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April 2021, 25,000 warrants to purchase common stock were exercised. In March 2021, 12,674 warrants to purchase common stock expired unexercised.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defines related parties as directors, executive officers, nominees for director, stockholders that have significant influence over the Company, or are a greater than 5% beneficial owner of the Companys capital and their affiliates or immediate family members. As of and for the years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December 31, 2021 and 2020, there were no significant related party transactions or balances other than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As discussed in Note 7, in December 2018, the Company issued the 2018 Notes totaling approximately $3.4 million in exchange for cash. Three of the notes with aggregate principal of $0.2 million were issued to related parties including two officers and a trust affiliated with a Board member. The aggregate liability, inclusive of interest and principal accretion, totaled $0.4 million and $0.3 million as of December 31, 2021 and 2020, respectively. These amounts are included in the Consolidated Balance Sheets as Notes Payable, Net. </w:t>
      </w:r>
    </w:p>
    <w:p>
      <w:pPr>
        <w:pStyle w:val="TextBody"/>
        <w:bidi w:val="0"/>
        <w:spacing w:before="240" w:after="0"/>
        <w:jc w:val="left"/>
        <w:rPr>
          <w:rFonts w:ascii="Times New Roman" w:hAnsi="Times New Roman"/>
          <w:sz w:val="20"/>
        </w:rPr>
      </w:pPr>
      <w:r>
        <w:rPr>
          <w:rFonts w:ascii="Times New Roman" w:hAnsi="Times New Roman"/>
          <w:sz w:val="20"/>
        </w:rPr>
        <w:t xml:space="preserve">As discussed in Note 9, during March and April 2020, the Company issued 32,715 shares of Series E-1 preferred stock, at an issuance price of $9.17 per share, to a Board Member, as compensation for serving as President of the Company on an interim basis. Further as discussed in Note 9, in March 2021, the Company and the individual agreed to reduce the number of shares issued by 19,084.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before provision for income taxes for the year ended December 31, 2021 and 2020, was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6"/>
        <w:gridCol w:w="323"/>
        <w:gridCol w:w="202"/>
        <w:gridCol w:w="1099"/>
        <w:gridCol w:w="224"/>
        <w:gridCol w:w="319"/>
        <w:gridCol w:w="202"/>
        <w:gridCol w:w="1101"/>
        <w:gridCol w:w="159"/>
      </w:tblGrid>
      <w:tr>
        <w:trPr/>
        <w:tc>
          <w:tcPr>
            <w:tcW w:w="4126"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147"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Years Ended December 31,    </w:t>
            </w:r>
          </w:p>
        </w:tc>
        <w:tc>
          <w:tcPr>
            <w:tcW w:w="159" w:type="dxa"/>
            <w:tcBorders/>
            <w:vAlign w:val="bottom"/>
          </w:tcPr>
          <w:p>
            <w:pPr>
              <w:pStyle w:val="TableContents"/>
              <w:bidi w:val="0"/>
              <w:spacing w:before="0" w:after="283"/>
              <w:jc w:val="left"/>
              <w:rPr/>
            </w:pPr>
            <w:r>
              <w:rPr/>
              <w:t> </w:t>
            </w:r>
          </w:p>
        </w:tc>
      </w:tr>
      <w:tr>
        <w:trPr/>
        <w:tc>
          <w:tcPr>
            <w:tcW w:w="4126"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224"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2020    </w:t>
            </w:r>
          </w:p>
        </w:tc>
        <w:tc>
          <w:tcPr>
            <w:tcW w:w="159" w:type="dxa"/>
            <w:tcBorders/>
            <w:vAlign w:val="bottom"/>
          </w:tcPr>
          <w:p>
            <w:pPr>
              <w:pStyle w:val="TableContents"/>
              <w:bidi w:val="0"/>
              <w:spacing w:before="0" w:after="283"/>
              <w:jc w:val="left"/>
              <w:rPr/>
            </w:pPr>
            <w:r>
              <w:rPr/>
              <w:t> </w:t>
            </w:r>
          </w:p>
        </w:tc>
      </w:tr>
      <w:tr>
        <w:trPr/>
        <w:tc>
          <w:tcPr>
            <w:tcW w:w="4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32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(53,282</w:t>
            </w:r>
          </w:p>
        </w:tc>
        <w:tc>
          <w:tcPr>
            <w:tcW w:w="224"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(23,452</w:t>
            </w:r>
          </w:p>
        </w:tc>
        <w:tc>
          <w:tcPr>
            <w:tcW w:w="159" w:type="dxa"/>
            <w:tcBorders/>
            <w:shd w:fill="CCEEFF" w:val="clear"/>
            <w:vAlign w:val="bottom"/>
          </w:tcPr>
          <w:p>
            <w:pPr>
              <w:pStyle w:val="TableContents"/>
              <w:bidi w:val="0"/>
              <w:spacing w:before="0" w:after="283"/>
              <w:jc w:val="left"/>
              <w:rPr/>
            </w:pPr>
            <w:r>
              <w:rPr/>
              <w:t>) </w:t>
            </w:r>
          </w:p>
        </w:tc>
      </w:tr>
      <w:tr>
        <w:trPr/>
        <w:tc>
          <w:tcPr>
            <w:tcW w:w="4126"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2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(1,155</w:t>
            </w:r>
          </w:p>
        </w:tc>
        <w:tc>
          <w:tcPr>
            <w:tcW w:w="224"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(323</w:t>
            </w:r>
          </w:p>
        </w:tc>
        <w:tc>
          <w:tcPr>
            <w:tcW w:w="159" w:type="dxa"/>
            <w:tcBorders/>
            <w:vAlign w:val="bottom"/>
          </w:tcPr>
          <w:p>
            <w:pPr>
              <w:pStyle w:val="TableContents"/>
              <w:bidi w:val="0"/>
              <w:spacing w:before="0" w:after="283"/>
              <w:jc w:val="left"/>
              <w:rPr/>
            </w:pPr>
            <w:r>
              <w:rPr/>
              <w:t>) </w:t>
            </w:r>
          </w:p>
        </w:tc>
      </w:tr>
      <w:tr>
        <w:trPr/>
        <w:tc>
          <w:tcPr>
            <w:tcW w:w="4126"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(54,437</w:t>
            </w:r>
          </w:p>
        </w:tc>
        <w:tc>
          <w:tcPr>
            <w:tcW w:w="224"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(23,775</w:t>
            </w:r>
          </w:p>
        </w:tc>
        <w:tc>
          <w:tcPr>
            <w:tcW w:w="159" w:type="dxa"/>
            <w:tcBorders/>
            <w:shd w:fill="CCEEFF" w:val="clear"/>
            <w:vAlign w:val="bottom"/>
          </w:tcPr>
          <w:p>
            <w:pPr>
              <w:pStyle w:val="TableContents"/>
              <w:bidi w:val="0"/>
              <w:spacing w:before="0" w:after="283"/>
              <w:jc w:val="left"/>
              <w:rPr/>
            </w:pPr>
            <w:r>
              <w:rPr/>
              <w:t>) </w:t>
            </w:r>
          </w:p>
        </w:tc>
      </w:tr>
      <w:tr>
        <w:trPr/>
        <w:tc>
          <w:tcPr>
            <w:tcW w:w="4126"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099" w:type="dxa"/>
            <w:tcBorders/>
            <w:vAlign w:val="bottom"/>
          </w:tcPr>
          <w:p>
            <w:pPr>
              <w:pStyle w:val="TableContents"/>
              <w:pBdr>
                <w:top w:val="double" w:sz="6"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did not record a provision for income taxes for the year ended December 31, 2021. For the year ended December 31, 2020 the provision for income taxes was $0.1 million related to foreign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The reconciliation of federal statutory income tax rate to our effective income tax rate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4"/>
        <w:gridCol w:w="420"/>
        <w:gridCol w:w="120"/>
        <w:gridCol w:w="1043"/>
        <w:gridCol w:w="554"/>
        <w:gridCol w:w="386"/>
        <w:gridCol w:w="120"/>
        <w:gridCol w:w="1048"/>
        <w:gridCol w:w="280"/>
      </w:tblGrid>
      <w:tr>
        <w:trPr/>
        <w:tc>
          <w:tcPr>
            <w:tcW w:w="3784"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784"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3271"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Years Ended December 31,    </w:t>
            </w:r>
          </w:p>
        </w:tc>
        <w:tc>
          <w:tcPr>
            <w:tcW w:w="280"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55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280"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at statutory rate</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21.0</w:t>
            </w:r>
          </w:p>
        </w:tc>
        <w:tc>
          <w:tcPr>
            <w:tcW w:w="55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21.0</w:t>
            </w:r>
          </w:p>
        </w:tc>
        <w:tc>
          <w:tcPr>
            <w:tcW w:w="280"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5.0</w:t>
            </w:r>
          </w:p>
        </w:tc>
        <w:tc>
          <w:tcPr>
            <w:tcW w:w="55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3.2</w:t>
            </w:r>
          </w:p>
        </w:tc>
        <w:tc>
          <w:tcPr>
            <w:tcW w:w="280"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expenses and other</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-0.4</w:t>
            </w:r>
          </w:p>
        </w:tc>
        <w:tc>
          <w:tcPr>
            <w:tcW w:w="55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-0.2</w:t>
            </w:r>
          </w:p>
        </w:tc>
        <w:tc>
          <w:tcPr>
            <w:tcW w:w="280"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Non-deductible warrant expense</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0.2</w:t>
            </w:r>
          </w:p>
        </w:tc>
        <w:tc>
          <w:tcPr>
            <w:tcW w:w="55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1.0</w:t>
            </w:r>
          </w:p>
        </w:tc>
        <w:tc>
          <w:tcPr>
            <w:tcW w:w="280"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-0.8</w:t>
            </w:r>
          </w:p>
        </w:tc>
        <w:tc>
          <w:tcPr>
            <w:tcW w:w="55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-1.3</w:t>
            </w:r>
          </w:p>
        </w:tc>
        <w:tc>
          <w:tcPr>
            <w:tcW w:w="280"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 net</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-24.5</w:t>
            </w:r>
          </w:p>
        </w:tc>
        <w:tc>
          <w:tcPr>
            <w:tcW w:w="55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-23.3</w:t>
            </w:r>
          </w:p>
        </w:tc>
        <w:tc>
          <w:tcPr>
            <w:tcW w:w="280"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credits</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0.1</w:t>
            </w:r>
          </w:p>
        </w:tc>
        <w:tc>
          <w:tcPr>
            <w:tcW w:w="55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0.1</w:t>
            </w:r>
          </w:p>
        </w:tc>
        <w:tc>
          <w:tcPr>
            <w:tcW w:w="280"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Foreign rate differential</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-0.4</w:t>
            </w:r>
          </w:p>
        </w:tc>
        <w:tc>
          <w:tcPr>
            <w:tcW w:w="55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-0.4</w:t>
            </w:r>
          </w:p>
        </w:tc>
        <w:tc>
          <w:tcPr>
            <w:tcW w:w="280"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Forgiveness PPP loan</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0.6</w:t>
            </w:r>
          </w:p>
        </w:tc>
        <w:tc>
          <w:tcPr>
            <w:tcW w:w="55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0.0</w:t>
            </w:r>
          </w:p>
        </w:tc>
        <w:tc>
          <w:tcPr>
            <w:tcW w:w="280"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Expired loss carry forward</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-0.6</w:t>
            </w:r>
          </w:p>
        </w:tc>
        <w:tc>
          <w:tcPr>
            <w:tcW w:w="55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-0.5</w:t>
            </w:r>
          </w:p>
        </w:tc>
        <w:tc>
          <w:tcPr>
            <w:tcW w:w="280"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554"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0.0</w:t>
            </w:r>
          </w:p>
        </w:tc>
        <w:tc>
          <w:tcPr>
            <w:tcW w:w="55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-0.3</w:t>
            </w:r>
          </w:p>
        </w:tc>
        <w:tc>
          <w:tcPr>
            <w:tcW w:w="280" w:type="dxa"/>
            <w:tcBorders/>
            <w:shd w:fill="CCEEFF" w:val="clear"/>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554"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effective tax rate could also fluctuate due to changes in the valuation of its deferred tax assets or liabilities, or by changes in tax laws, regulations, and accounting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Significant components of the Companys deferred taxes as of December 31, 2021 and 2020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83"/>
        <w:gridCol w:w="297"/>
        <w:gridCol w:w="140"/>
        <w:gridCol w:w="768"/>
        <w:gridCol w:w="156"/>
        <w:gridCol w:w="242"/>
        <w:gridCol w:w="140"/>
        <w:gridCol w:w="768"/>
        <w:gridCol w:w="161"/>
      </w:tblGrid>
      <w:tr>
        <w:trPr/>
        <w:tc>
          <w:tcPr>
            <w:tcW w:w="5083"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3"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2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1" w:type="dxa"/>
            <w:tcBorders/>
            <w:vAlign w:val="bottom"/>
          </w:tcPr>
          <w:p>
            <w:pPr>
              <w:pStyle w:val="TableContents"/>
              <w:bidi w:val="0"/>
              <w:spacing w:before="0" w:after="283"/>
              <w:jc w:val="left"/>
              <w:rPr/>
            </w:pPr>
            <w:r>
              <w:rPr/>
              <w:t> </w:t>
            </w:r>
          </w:p>
        </w:tc>
      </w:tr>
      <w:tr>
        <w:trPr/>
        <w:tc>
          <w:tcPr>
            <w:tcW w:w="5083"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1"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72,714</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61,488</w:t>
            </w:r>
          </w:p>
        </w:tc>
        <w:tc>
          <w:tcPr>
            <w:tcW w:w="161"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508</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647</w:t>
            </w:r>
          </w:p>
        </w:tc>
        <w:tc>
          <w:tcPr>
            <w:tcW w:w="161"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430</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 carryforward</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672</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597</w:t>
            </w:r>
          </w:p>
        </w:tc>
        <w:tc>
          <w:tcPr>
            <w:tcW w:w="161"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Inventory reserve</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1,499</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1,506</w:t>
            </w:r>
          </w:p>
        </w:tc>
        <w:tc>
          <w:tcPr>
            <w:tcW w:w="161"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reserves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2,652</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1,325</w:t>
            </w:r>
          </w:p>
        </w:tc>
        <w:tc>
          <w:tcPr>
            <w:tcW w:w="161"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2,086</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1,876</w:t>
            </w:r>
          </w:p>
        </w:tc>
        <w:tc>
          <w:tcPr>
            <w:tcW w:w="161" w:type="dxa"/>
            <w:tcBorders/>
            <w:vAlign w:val="bottom"/>
          </w:tcPr>
          <w:p>
            <w:pPr>
              <w:pStyle w:val="TableContents"/>
              <w:bidi w:val="0"/>
              <w:spacing w:before="0" w:after="283"/>
              <w:jc w:val="left"/>
              <w:rPr/>
            </w:pPr>
            <w:r>
              <w:rPr/>
              <w:t> </w:t>
            </w:r>
          </w:p>
        </w:tc>
      </w:tr>
      <w:tr>
        <w:trPr/>
        <w:tc>
          <w:tcPr>
            <w:tcW w:w="5083"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80,561</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67,439</w:t>
            </w:r>
          </w:p>
        </w:tc>
        <w:tc>
          <w:tcPr>
            <w:tcW w:w="161"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85</w:t>
            </w:r>
          </w:p>
        </w:tc>
        <w:tc>
          <w:tcPr>
            <w:tcW w:w="161"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426</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552</w:t>
            </w:r>
          </w:p>
        </w:tc>
        <w:tc>
          <w:tcPr>
            <w:tcW w:w="161" w:type="dxa"/>
            <w:tcBorders/>
            <w:vAlign w:val="bottom"/>
          </w:tcPr>
          <w:p>
            <w:pPr>
              <w:pStyle w:val="TableContents"/>
              <w:bidi w:val="0"/>
              <w:spacing w:before="0" w:after="283"/>
              <w:jc w:val="left"/>
              <w:rPr/>
            </w:pPr>
            <w:r>
              <w:rPr/>
              <w:t> </w:t>
            </w:r>
          </w:p>
        </w:tc>
      </w:tr>
      <w:tr>
        <w:trPr/>
        <w:tc>
          <w:tcPr>
            <w:tcW w:w="5083"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426</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637</w:t>
            </w:r>
          </w:p>
        </w:tc>
        <w:tc>
          <w:tcPr>
            <w:tcW w:w="161"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Gross deferred tax assets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80,135</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66,802</w:t>
            </w:r>
          </w:p>
        </w:tc>
        <w:tc>
          <w:tcPr>
            <w:tcW w:w="161"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(80,135</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(66,802</w:t>
            </w:r>
          </w:p>
        </w:tc>
        <w:tc>
          <w:tcPr>
            <w:tcW w:w="161" w:type="dxa"/>
            <w:tcBorders/>
            <w:shd w:fill="CCEEFF" w:val="clear"/>
            <w:vAlign w:val="bottom"/>
          </w:tcPr>
          <w:p>
            <w:pPr>
              <w:pStyle w:val="TableContents"/>
              <w:bidi w:val="0"/>
              <w:spacing w:before="0" w:after="283"/>
              <w:jc w:val="left"/>
              <w:rPr/>
            </w:pPr>
            <w:r>
              <w:rPr/>
              <w:t>) </w:t>
            </w:r>
          </w:p>
        </w:tc>
      </w:tr>
      <w:tr>
        <w:trPr/>
        <w:tc>
          <w:tcPr>
            <w:tcW w:w="5083"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083"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established a valuation allowance to offset the gross deferred tax assets as of December 31, 2021 and 2020, due to the uncertainty of realizing future tax benefits from its net operating loss carryforwards and other deferred tax assets. The valuation allowance balance was $80.1 million and $66.8 million for the years ended December 31, 2021 and 2020,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assessing the realizability of deferred income tax assets, the Company considered whether it is more likely than not that some portion or all of its deferred income tax assets will be realized. The ultimate realization of deferred income tax assets is dependent upon the generation of future taxable income during the periods in which those temporary differences become deductible. Due to the uncertainty surrounding the Companys ability to realize such deferred income tax assets, a full valuation allowance has been established. The valuation allowance increased by $13.3 million during year ended December 31, 2021 and $5.5 million during year ended December 31, 2020.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the Company had federal net operating loss carryforward (NOL) of approximately $269.5 million which will begin to expire in 2023, a California net NOL of approximately $232.3 million which will start to expire, if not used, in 2028.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the Company had federal research and development credit carryforward (R&amp;D carryforward) of approximately $1.8 million which will expire, if not used, in 2026, and a California R&amp;D carryforward of approximately $1.6 million which can carry forward indefinitely.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2020, the Company had federal a R&amp;D carryforward of approximately $1.8 million which will expire, if not used, in 2026, and a California R&amp;D carryforward of approximately $1.5 million which can carry forward indefinitely. </w:t>
      </w:r>
    </w:p>
    <w:p>
      <w:pPr>
        <w:pStyle w:val="TextBody"/>
        <w:bidi w:val="0"/>
        <w:spacing w:before="240" w:after="0"/>
        <w:jc w:val="left"/>
        <w:rPr>
          <w:rFonts w:ascii="Times New Roman" w:hAnsi="Times New Roman"/>
          <w:sz w:val="20"/>
        </w:rPr>
      </w:pPr>
      <w:r>
        <w:rPr>
          <w:rFonts w:ascii="Times New Roman" w:hAnsi="Times New Roman"/>
          <w:sz w:val="20"/>
        </w:rPr>
        <w:t xml:space="preserve">The utilization of the Companys NOLs and R&amp;D carryforwards may be subject to limitation due to the change in ownership provisions under Section 382 of the Internal Revenue Code and similar foreign provisions. Such limitations may result in the expiration of these carryforwards before their utilization.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is subject to income taxes in the U.S. federal jurisdiction, and various foreign jurisdictions. Tax regulations within each jurisdiction are subject to the interpretation of the related tax laws and regulations and require significant judgment to apply. The Companys tax years remain open for examination by all tax authorities since inception. The Company is not currently under examination in any tax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unrecognized tax benefits of $1.3 million for federal and $1.3 million for state related to R&amp;D credits generated as of December 31, 2021. As of December 31, 2020, the total amount of unrecognized tax benefits for federal and state was $1.3 million and $1.3 million, respectively. The reversal of the uncertain tax benefits would not affect the Companys effective tax rate to the extent that it continues to maintain a full valuation allowance against its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 The taxing authorities may challenge such positions, and the resolution of such matters could result in recognition of income tax expense in the Companys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tabular reconciliation of the total amounts of unrecognized tax benefits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59"/>
        <w:gridCol w:w="385"/>
        <w:gridCol w:w="264"/>
        <w:gridCol w:w="1061"/>
        <w:gridCol w:w="113"/>
        <w:gridCol w:w="480"/>
        <w:gridCol w:w="264"/>
        <w:gridCol w:w="1065"/>
        <w:gridCol w:w="64"/>
      </w:tblGrid>
      <w:tr>
        <w:trPr/>
        <w:tc>
          <w:tcPr>
            <w:tcW w:w="4059"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5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3247"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Years Ended December 31,    </w:t>
            </w:r>
          </w:p>
        </w:tc>
        <w:tc>
          <w:tcPr>
            <w:tcW w:w="64" w:type="dxa"/>
            <w:tcBorders/>
            <w:vAlign w:val="bottom"/>
          </w:tcPr>
          <w:p>
            <w:pPr>
              <w:pStyle w:val="TableContents"/>
              <w:bidi w:val="0"/>
              <w:spacing w:before="0" w:after="283"/>
              <w:jc w:val="left"/>
              <w:rPr/>
            </w:pPr>
            <w:r>
              <w:rPr/>
              <w:t> </w:t>
            </w:r>
          </w:p>
        </w:tc>
      </w:tr>
      <w:tr>
        <w:trPr/>
        <w:tc>
          <w:tcPr>
            <w:tcW w:w="405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13"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4" w:type="dxa"/>
            <w:tcBorders/>
            <w:vAlign w:val="bottom"/>
          </w:tcPr>
          <w:p>
            <w:pPr>
              <w:pStyle w:val="TableContents"/>
              <w:bidi w:val="0"/>
              <w:spacing w:before="0" w:after="283"/>
              <w:jc w:val="left"/>
              <w:rPr/>
            </w:pPr>
            <w:r>
              <w:rPr/>
              <w:t> </w:t>
            </w:r>
          </w:p>
        </w:tc>
      </w:tr>
      <w:tr>
        <w:trPr/>
        <w:tc>
          <w:tcPr>
            <w:tcW w:w="4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Unrecognized tax benefits as of beginning of year</w:t>
            </w:r>
          </w:p>
        </w:tc>
        <w:tc>
          <w:tcPr>
            <w:tcW w:w="38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2,649</w:t>
            </w:r>
          </w:p>
        </w:tc>
        <w:tc>
          <w:tcPr>
            <w:tcW w:w="113"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2,635</w:t>
            </w:r>
          </w:p>
        </w:tc>
        <w:tc>
          <w:tcPr>
            <w:tcW w:w="64" w:type="dxa"/>
            <w:tcBorders/>
            <w:shd w:fill="CCEEFF" w:val="clear"/>
            <w:vAlign w:val="bottom"/>
          </w:tcPr>
          <w:p>
            <w:pPr>
              <w:pStyle w:val="TableContents"/>
              <w:bidi w:val="0"/>
              <w:spacing w:before="0" w:after="283"/>
              <w:jc w:val="left"/>
              <w:rPr/>
            </w:pPr>
            <w:r>
              <w:rPr/>
              <w:t> </w:t>
            </w:r>
          </w:p>
        </w:tc>
      </w:tr>
      <w:tr>
        <w:trPr/>
        <w:tc>
          <w:tcPr>
            <w:tcW w:w="4059" w:type="dxa"/>
            <w:tcBorders/>
          </w:tcPr>
          <w:p>
            <w:pPr>
              <w:pStyle w:val="TableContents"/>
              <w:bidi w:val="0"/>
              <w:spacing w:before="0" w:after="0"/>
              <w:jc w:val="left"/>
              <w:rPr>
                <w:rFonts w:ascii="Times New Roman" w:hAnsi="Times New Roman"/>
                <w:sz w:val="20"/>
              </w:rPr>
            </w:pPr>
            <w:r>
              <w:rPr>
                <w:rFonts w:ascii="Times New Roman" w:hAnsi="Times New Roman"/>
                <w:sz w:val="20"/>
              </w:rPr>
              <w:t>Increases related to current year tax positions</w:t>
            </w:r>
          </w:p>
        </w:tc>
        <w:tc>
          <w:tcPr>
            <w:tcW w:w="38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20</w:t>
            </w:r>
          </w:p>
        </w:tc>
        <w:tc>
          <w:tcPr>
            <w:tcW w:w="113"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4059"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13"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59" w:type="dxa"/>
            <w:tcBorders/>
            <w:shd w:fill="CCEEFF" w:val="clear"/>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2,669</w:t>
            </w:r>
          </w:p>
        </w:tc>
        <w:tc>
          <w:tcPr>
            <w:tcW w:w="113"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2,649</w:t>
            </w:r>
          </w:p>
        </w:tc>
        <w:tc>
          <w:tcPr>
            <w:tcW w:w="64" w:type="dxa"/>
            <w:tcBorders/>
            <w:shd w:fill="CCEEFF" w:val="clear"/>
            <w:vAlign w:val="bottom"/>
          </w:tcPr>
          <w:p>
            <w:pPr>
              <w:pStyle w:val="TableContents"/>
              <w:bidi w:val="0"/>
              <w:spacing w:before="0" w:after="283"/>
              <w:jc w:val="left"/>
              <w:rPr/>
            </w:pPr>
            <w:r>
              <w:rPr/>
              <w:t> </w:t>
            </w:r>
          </w:p>
        </w:tc>
      </w:tr>
      <w:tr>
        <w:trPr/>
        <w:tc>
          <w:tcPr>
            <w:tcW w:w="4059"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13"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and penalties related to unrecognized tax benefits within the income tax expense line in the statements of operations. Accrued interest and penalties are included as part of income tax payable in the consolidated balance sheets. No accrued interest or penalties have been recorded for year ended December 31, 2021 or December 31, 2020.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provided U.S. income or foreign withholding taxes on the undistributed earnings of its foreign subsidiary as of December 31, 2022 and December 31, 2021 because it intends to permanently reinvest such earnings outside of the United States. If these foreign earnings were to be repatriated in the future, the related U.S. tax liability will be immaterial, due to the participation exemption put in place under the 2017 Tax Cuts and Jobs Act. </w:t>
      </w:r>
    </w:p>
    <w:p>
      <w:pPr>
        <w:pStyle w:val="TextBody"/>
        <w:bidi w:val="0"/>
        <w:spacing w:before="240" w:after="0"/>
        <w:jc w:val="left"/>
        <w:rPr>
          <w:rFonts w:ascii="Times New Roman" w:hAnsi="Times New Roman"/>
          <w:sz w:val="20"/>
        </w:rPr>
      </w:pPr>
      <w:r>
        <w:rPr>
          <w:rFonts w:ascii="Times New Roman" w:hAnsi="Times New Roman"/>
          <w:sz w:val="20"/>
        </w:rPr>
        <w:t xml:space="preserve">On March 18, 2020, the Families First Coronavirus Response Act (FFCR Act) and, on March 27, 2020,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analyzed the provisions of the Act and determined there was no significant impact to its 2020 or 2021 tax provision. </w:t>
      </w:r>
    </w:p>
    <w:p>
      <w:pPr>
        <w:pStyle w:val="TextBody"/>
        <w:bidi w:val="0"/>
        <w:spacing w:before="240" w:after="0"/>
        <w:jc w:val="left"/>
        <w:rPr>
          <w:rFonts w:ascii="Times New Roman" w:hAnsi="Times New Roman"/>
          <w:sz w:val="20"/>
        </w:rPr>
      </w:pPr>
      <w:r>
        <w:rPr>
          <w:rFonts w:ascii="Times New Roman" w:hAnsi="Times New Roman"/>
          <w:sz w:val="20"/>
        </w:rPr>
        <w:t xml:space="preserve">On June 29, 2020, the California Governor signed Assembly Bill 85 (A.B. 85) which includes several tax measures, provides for a three-year suspension of the use of net operating losses for medium and large businesses and a three-year cap on the use of business incentive tax credits to offset no more than $5 million of tax per year. Generally, A.B. 85 suspends the use of net operating losses for taxable years 2020, 2021, and 2022 for taxpayers with taxable income of $1.0 million or more. The Company analyzed the provisions of the A.B. 85 and determined there was no significant impact to its 2021 or 2020 tax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December 27, 2020, the Consolidated Appropriations Act, 2021 (the CAA) was signed into law. The CAA includes provisions meant to clarify and modify certain items put forth in CARES Act, while providing aid to businesses affected by the pandemic. The CAA allows deductions for expenses paid for by Paycheck Protection Program (PPP) and Economic Injury Disaster Loan (EIDL) Program, clarifies forgiveness of EIDL advances, and other business provisions. The Company analyzed the provisions of the CAA and determined there was no significant impact to its 2021 and 2020 tax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two stock option plans: the 2006 Stock Option Plan and the 2016 Stock Option Plan (collectively, the Plans). Options granted under the Plans may be either incentive stock options (ISOs) or nonqualified stock options (NSOs). ISOs may be granted only to Company employees (including officers and directors who are also employees). NSOs may be granted to Company employees, directors and consultants. Options under the Plans may be granted with contractual terms of up to ten years (five years if granted to holders of more than 10% of the Companys vesting stock). All options issued through December 31, 2021 have a ten-year contractual term. The exercise price of an ISO and NSO will not be less than 100% and 85% of the estimated fair value of the shares on the date of grant, respectively, as determined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of an ISO and NSO granted to a 10% stockholder will not be less than 110% of the estimated fair value of the shares on the date of grant, as determined by the Board of Directors. Options generally vest over four to five years at a rate of 20% to 25% upon the first anniversary of the commencement date and monthly thereafter.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and 2020, there were 335,538 and 577,568 shares of common stock available to be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estimated the fair values of each option awarded on the date of grant using the Black-Scholes-Merton option pricing model utilizing the assumptions noted below. The expected term of the options is based on the average period the stock options are expected to remain outstanding calculated as the midpoint of the options vesting term, and contractual expiration period, as the Company did not have sufficient historical information to develop reasonable expectations about future exercise patterns and post vesting employment termination behavior. The expected stock price volatility for the Companys stock was determined by examining the historical volatilities of its industry peers as the Company did not have any trading history of its common stock. The risk-free interest rate was calculated using the average of the published interest rates for U.S. Treasury zero-coupon issues with maturities that approximate the expected term. The dividend yield assumption is zero as the Company has no history of, nor plans of, dividend payments. The estimated forfeiture rates are based on the Companys historical forfeiture activity of unvested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used under the Black-Scholes-Merton option pricing model and the weighted average calculated fair value of the options granted to employees for the years ended December 31, 2021 and 2020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98"/>
        <w:gridCol w:w="459"/>
        <w:gridCol w:w="280"/>
        <w:gridCol w:w="885"/>
        <w:gridCol w:w="568"/>
        <w:gridCol w:w="421"/>
        <w:gridCol w:w="280"/>
        <w:gridCol w:w="885"/>
        <w:gridCol w:w="279"/>
      </w:tblGrid>
      <w:tr>
        <w:trPr/>
        <w:tc>
          <w:tcPr>
            <w:tcW w:w="3698"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98"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3319"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Years Ended December 31,    </w:t>
            </w:r>
          </w:p>
        </w:tc>
        <w:tc>
          <w:tcPr>
            <w:tcW w:w="279" w:type="dxa"/>
            <w:tcBorders/>
            <w:vAlign w:val="bottom"/>
          </w:tcPr>
          <w:p>
            <w:pPr>
              <w:pStyle w:val="TableContents"/>
              <w:bidi w:val="0"/>
              <w:spacing w:before="0" w:after="283"/>
              <w:jc w:val="left"/>
              <w:rPr/>
            </w:pPr>
            <w:r>
              <w:rPr/>
              <w:t> </w:t>
            </w:r>
          </w:p>
        </w:tc>
      </w:tr>
      <w:tr>
        <w:trPr/>
        <w:tc>
          <w:tcPr>
            <w:tcW w:w="3698"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568"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279"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 date fair value</w:t>
            </w:r>
          </w:p>
        </w:tc>
        <w:tc>
          <w:tcPr>
            <w:tcW w:w="459"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1.00</w:t>
            </w:r>
          </w:p>
        </w:tc>
        <w:tc>
          <w:tcPr>
            <w:tcW w:w="568"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1.56</w:t>
            </w:r>
          </w:p>
        </w:tc>
        <w:tc>
          <w:tcPr>
            <w:tcW w:w="279"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45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6.04</w:t>
            </w:r>
          </w:p>
        </w:tc>
        <w:tc>
          <w:tcPr>
            <w:tcW w:w="568"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5.97</w:t>
            </w:r>
          </w:p>
        </w:tc>
        <w:tc>
          <w:tcPr>
            <w:tcW w:w="279"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59"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60</w:t>
            </w:r>
          </w:p>
        </w:tc>
        <w:tc>
          <w:tcPr>
            <w:tcW w:w="568"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56</w:t>
            </w:r>
          </w:p>
        </w:tc>
        <w:tc>
          <w:tcPr>
            <w:tcW w:w="279"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5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1.19</w:t>
            </w:r>
          </w:p>
        </w:tc>
        <w:tc>
          <w:tcPr>
            <w:tcW w:w="568"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0.85</w:t>
            </w:r>
          </w:p>
        </w:tc>
        <w:tc>
          <w:tcPr>
            <w:tcW w:w="279"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459"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w:t>
            </w:r>
          </w:p>
        </w:tc>
        <w:tc>
          <w:tcPr>
            <w:tcW w:w="568"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summary of the Companys stock option and restricted stock unit activity and related information for the years ended December 31, 2021 and 2020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86"/>
        <w:gridCol w:w="134"/>
        <w:gridCol w:w="60"/>
        <w:gridCol w:w="1067"/>
        <w:gridCol w:w="155"/>
        <w:gridCol w:w="75"/>
        <w:gridCol w:w="403"/>
        <w:gridCol w:w="1283"/>
        <w:gridCol w:w="60"/>
        <w:gridCol w:w="75"/>
        <w:gridCol w:w="141"/>
        <w:gridCol w:w="1046"/>
        <w:gridCol w:w="60"/>
        <w:gridCol w:w="75"/>
        <w:gridCol w:w="214"/>
        <w:gridCol w:w="863"/>
        <w:gridCol w:w="60"/>
        <w:gridCol w:w="74"/>
        <w:gridCol w:w="85"/>
        <w:gridCol w:w="1145"/>
        <w:gridCol w:w="60"/>
        <w:gridCol w:w="75"/>
        <w:gridCol w:w="346"/>
        <w:gridCol w:w="1096"/>
        <w:gridCol w:w="67"/>
      </w:tblGrid>
      <w:tr>
        <w:trPr/>
        <w:tc>
          <w:tcPr>
            <w:tcW w:w="1486"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57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Options outstanding</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8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Restricted stock units</w:t>
            </w:r>
          </w:p>
        </w:tc>
        <w:tc>
          <w:tcPr>
            <w:tcW w:w="67" w:type="dxa"/>
            <w:tcBorders/>
            <w:vAlign w:val="bottom"/>
          </w:tcPr>
          <w:p>
            <w:pPr>
              <w:pStyle w:val="TableContents"/>
              <w:bidi w:val="0"/>
              <w:spacing w:before="0" w:after="283"/>
              <w:jc w:val="left"/>
              <w:rPr/>
            </w:pPr>
            <w:r>
              <w:rPr/>
              <w:t> </w:t>
            </w:r>
          </w:p>
        </w:tc>
      </w:tr>
      <w:tr>
        <w:trPr/>
        <w:tc>
          <w:tcPr>
            <w:tcW w:w="148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exercise</w:t>
              <w:br/>
              <w:t>price</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values</w:t>
              <w:br/>
              <w:t>($000s)</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plan shares</w:t>
              <w:br/>
              <w:t>outstanding</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 grant</w:t>
            </w:r>
            <w:r>
              <w:rPr/>
              <w:br/>
            </w:r>
            <w:r>
              <w:rPr>
                <w:b/>
              </w:rPr>
              <w:t>date fair value</w:t>
              <w:br/>
              <w:t>per share</w:t>
            </w:r>
          </w:p>
        </w:tc>
        <w:tc>
          <w:tcPr>
            <w:tcW w:w="67" w:type="dxa"/>
            <w:tcBorders/>
            <w:vAlign w:val="bottom"/>
          </w:tcPr>
          <w:p>
            <w:pPr>
              <w:pStyle w:val="TableContents"/>
              <w:bidi w:val="0"/>
              <w:spacing w:before="0" w:after="283"/>
              <w:jc w:val="left"/>
              <w:rPr/>
            </w:pPr>
            <w:r>
              <w:rPr/>
              <w:t> </w:t>
            </w:r>
          </w:p>
        </w:tc>
      </w:tr>
      <w:tr>
        <w:trPr/>
        <w:tc>
          <w:tcPr>
            <w:tcW w:w="14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Balances, December 29, 2019</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4,397,782</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w:t>
            </w:r>
          </w:p>
        </w:tc>
        <w:tc>
          <w:tcPr>
            <w:tcW w:w="1283" w:type="dxa"/>
            <w:tcBorders/>
            <w:shd w:fill="CCEEFF" w:val="clear"/>
            <w:vAlign w:val="bottom"/>
          </w:tcPr>
          <w:p>
            <w:pPr>
              <w:pStyle w:val="TableContents"/>
              <w:bidi w:val="0"/>
              <w:spacing w:before="0" w:after="283"/>
              <w:jc w:val="right"/>
              <w:rPr/>
            </w:pPr>
            <w:r>
              <w:rPr/>
              <w:t>3.60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8.46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3,802</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w:t>
            </w:r>
          </w:p>
        </w:tc>
        <w:tc>
          <w:tcPr>
            <w:tcW w:w="109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486" w:type="dxa"/>
            <w:tcBorders/>
          </w:tcPr>
          <w:p>
            <w:pPr>
              <w:pStyle w:val="TableContents"/>
              <w:bidi w:val="0"/>
              <w:spacing w:before="0" w:after="0"/>
              <w:jc w:val="left"/>
              <w:rPr>
                <w:rFonts w:ascii="Times New Roman" w:hAnsi="Times New Roman"/>
                <w:sz w:val="20"/>
              </w:rPr>
            </w:pPr>
            <w:r>
              <w:rPr>
                <w:rFonts w:ascii="Times New Roman" w:hAnsi="Times New Roman"/>
                <w:sz w:val="20"/>
              </w:rPr>
              <w:t>Options granted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3,042,592</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3.01</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120,000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3.91</w:t>
            </w:r>
          </w:p>
        </w:tc>
        <w:tc>
          <w:tcPr>
            <w:tcW w:w="67" w:type="dxa"/>
            <w:tcBorders/>
            <w:vAlign w:val="bottom"/>
          </w:tcPr>
          <w:p>
            <w:pPr>
              <w:pStyle w:val="TableContents"/>
              <w:bidi w:val="0"/>
              <w:spacing w:before="0" w:after="283"/>
              <w:jc w:val="left"/>
              <w:rPr/>
            </w:pPr>
            <w:r>
              <w:rPr/>
              <w:t> </w:t>
            </w:r>
          </w:p>
        </w:tc>
      </w:tr>
      <w:tr>
        <w:trPr/>
        <w:tc>
          <w:tcPr>
            <w:tcW w:w="1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(25,000</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0.40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486" w:type="dxa"/>
            <w:tcBorders/>
          </w:tcPr>
          <w:p>
            <w:pPr>
              <w:pStyle w:val="TableContents"/>
              <w:bidi w:val="0"/>
              <w:spacing w:before="0" w:after="0"/>
              <w:jc w:val="left"/>
              <w:rPr>
                <w:rFonts w:ascii="Times New Roman" w:hAnsi="Times New Roman"/>
                <w:sz w:val="20"/>
              </w:rPr>
            </w:pPr>
            <w:r>
              <w:rPr>
                <w:rFonts w:ascii="Times New Roman" w:hAnsi="Times New Roman"/>
                <w:sz w:val="20"/>
              </w:rPr>
              <w:t>Options forfeited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(1,290,613</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4.42</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86"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Balances, December 31, 2020</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6,124,761</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3.15</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8.30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942</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120,000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3.91</w:t>
            </w:r>
          </w:p>
        </w:tc>
        <w:tc>
          <w:tcPr>
            <w:tcW w:w="67" w:type="dxa"/>
            <w:tcBorders/>
            <w:shd w:fill="CCEEFF" w:val="clear"/>
            <w:vAlign w:val="bottom"/>
          </w:tcPr>
          <w:p>
            <w:pPr>
              <w:pStyle w:val="TableContents"/>
              <w:bidi w:val="0"/>
              <w:spacing w:before="0" w:after="283"/>
              <w:jc w:val="left"/>
              <w:rPr/>
            </w:pPr>
            <w:r>
              <w:rPr/>
              <w:t> </w:t>
            </w:r>
          </w:p>
        </w:tc>
      </w:tr>
      <w:tr>
        <w:trPr/>
        <w:tc>
          <w:tcPr>
            <w:tcW w:w="1486" w:type="dxa"/>
            <w:tcBorders/>
          </w:tcPr>
          <w:p>
            <w:pPr>
              <w:pStyle w:val="TableContents"/>
              <w:bidi w:val="0"/>
              <w:spacing w:before="0" w:after="0"/>
              <w:jc w:val="left"/>
              <w:rPr>
                <w:rFonts w:ascii="Times New Roman" w:hAnsi="Times New Roman"/>
                <w:sz w:val="20"/>
              </w:rPr>
            </w:pPr>
            <w:r>
              <w:rPr>
                <w:rFonts w:ascii="Times New Roman" w:hAnsi="Times New Roman"/>
                <w:sz w:val="20"/>
              </w:rPr>
              <w:t>Options granted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2,700,752</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1.78</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(159,583</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2.31</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486" w:type="dxa"/>
            <w:tcBorders/>
          </w:tcPr>
          <w:p>
            <w:pPr>
              <w:pStyle w:val="TableContents"/>
              <w:bidi w:val="0"/>
              <w:spacing w:before="0" w:after="0"/>
              <w:jc w:val="left"/>
              <w:rPr>
                <w:rFonts w:ascii="Times New Roman" w:hAnsi="Times New Roman"/>
                <w:sz w:val="20"/>
              </w:rPr>
            </w:pPr>
            <w:r>
              <w:rPr>
                <w:rFonts w:ascii="Times New Roman" w:hAnsi="Times New Roman"/>
                <w:sz w:val="20"/>
              </w:rPr>
              <w:t>Options forfeited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(1,781,017</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3.20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86"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Balances, December 31, 2021</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6,884,913</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2.62</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8.01</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288</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120,000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3.91</w:t>
            </w:r>
          </w:p>
        </w:tc>
        <w:tc>
          <w:tcPr>
            <w:tcW w:w="67" w:type="dxa"/>
            <w:tcBorders/>
            <w:shd w:fill="CCEEFF" w:val="clear"/>
            <w:vAlign w:val="bottom"/>
          </w:tcPr>
          <w:p>
            <w:pPr>
              <w:pStyle w:val="TableContents"/>
              <w:bidi w:val="0"/>
              <w:spacing w:before="0" w:after="283"/>
              <w:jc w:val="left"/>
              <w:rPr/>
            </w:pPr>
            <w:r>
              <w:rPr/>
              <w:t> </w:t>
            </w:r>
          </w:p>
        </w:tc>
      </w:tr>
      <w:tr>
        <w:trPr/>
        <w:tc>
          <w:tcPr>
            <w:tcW w:w="1486"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86" w:type="dxa"/>
            <w:tcBorders/>
          </w:tcPr>
          <w:p>
            <w:pPr>
              <w:pStyle w:val="TableContents"/>
              <w:bidi w:val="0"/>
              <w:spacing w:before="0" w:after="0"/>
              <w:jc w:val="left"/>
              <w:rPr>
                <w:rFonts w:ascii="Times New Roman" w:hAnsi="Times New Roman"/>
                <w:sz w:val="18"/>
              </w:rPr>
            </w:pPr>
            <w:r>
              <w:rPr>
                <w:rFonts w:ascii="Times New Roman" w:hAnsi="Times New Roman"/>
                <w:sz w:val="18"/>
              </w:rPr>
              <w:t>Options vested and exercisable  December 31, 2020</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2,633,335</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3.19</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7.25</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942</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Options vested and exercisable  December 31, 2021</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3,727,228</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2.85</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7.31</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288</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Stock-based compensation is allocated on a departmental basis, based on the classification of the option holder or grant recipient. No income tax benefits have been recognized in the statements of operations for stock-based compensation arrangements and no stock-based compensation costs are capitalized as part of inventory or property and equipment as of December 31, 2021 and 2020. </w:t>
      </w:r>
    </w:p>
    <w:p>
      <w:pPr>
        <w:pStyle w:val="TextBody"/>
        <w:bidi w:val="0"/>
        <w:spacing w:before="240" w:after="0"/>
        <w:jc w:val="left"/>
        <w:rPr>
          <w:rFonts w:ascii="Times New Roman" w:hAnsi="Times New Roman"/>
          <w:sz w:val="20"/>
        </w:rPr>
      </w:pPr>
      <w:r>
        <w:rPr>
          <w:rFonts w:ascii="Times New Roman" w:hAnsi="Times New Roman"/>
          <w:sz w:val="20"/>
        </w:rPr>
        <w:t xml:space="preserve">Stock-based compensation expense is as follows for the years ended December 31, 2021 and 2020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83"/>
        <w:gridCol w:w="422"/>
        <w:gridCol w:w="264"/>
        <w:gridCol w:w="1062"/>
        <w:gridCol w:w="113"/>
        <w:gridCol w:w="518"/>
        <w:gridCol w:w="264"/>
        <w:gridCol w:w="1065"/>
        <w:gridCol w:w="64"/>
      </w:tblGrid>
      <w:tr>
        <w:trPr/>
        <w:tc>
          <w:tcPr>
            <w:tcW w:w="3983"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83"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3286"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Years Ended December 31,    </w:t>
            </w:r>
          </w:p>
        </w:tc>
        <w:tc>
          <w:tcPr>
            <w:tcW w:w="64"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13"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2020    </w:t>
            </w:r>
          </w:p>
        </w:tc>
        <w:tc>
          <w:tcPr>
            <w:tcW w:w="64" w:type="dxa"/>
            <w:tcBorders/>
            <w:vAlign w:val="bottom"/>
          </w:tcPr>
          <w:p>
            <w:pPr>
              <w:pStyle w:val="TableContents"/>
              <w:bidi w:val="0"/>
              <w:spacing w:before="0" w:after="283"/>
              <w:jc w:val="left"/>
              <w:rPr/>
            </w:pPr>
            <w:r>
              <w:rPr/>
              <w:t> </w:t>
            </w:r>
          </w:p>
        </w:tc>
      </w:tr>
      <w:tr>
        <w:trPr/>
        <w:tc>
          <w:tcPr>
            <w:tcW w:w="3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42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119</w:t>
            </w:r>
          </w:p>
        </w:tc>
        <w:tc>
          <w:tcPr>
            <w:tcW w:w="113"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147</w:t>
            </w:r>
          </w:p>
        </w:tc>
        <w:tc>
          <w:tcPr>
            <w:tcW w:w="64" w:type="dxa"/>
            <w:tcBorders/>
            <w:shd w:fill="CCEEFF" w:val="clear"/>
            <w:vAlign w:val="bottom"/>
          </w:tcPr>
          <w:p>
            <w:pPr>
              <w:pStyle w:val="TableContents"/>
              <w:bidi w:val="0"/>
              <w:spacing w:before="0" w:after="283"/>
              <w:jc w:val="left"/>
              <w:rPr/>
            </w:pPr>
            <w:r>
              <w:rPr/>
              <w:t> </w:t>
            </w:r>
          </w:p>
        </w:tc>
      </w:tr>
      <w:tr>
        <w:trPr/>
        <w:tc>
          <w:tcPr>
            <w:tcW w:w="398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2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456</w:t>
            </w:r>
          </w:p>
        </w:tc>
        <w:tc>
          <w:tcPr>
            <w:tcW w:w="113"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539</w:t>
            </w:r>
          </w:p>
        </w:tc>
        <w:tc>
          <w:tcPr>
            <w:tcW w:w="64" w:type="dxa"/>
            <w:tcBorders/>
            <w:vAlign w:val="bottom"/>
          </w:tcPr>
          <w:p>
            <w:pPr>
              <w:pStyle w:val="TableContents"/>
              <w:bidi w:val="0"/>
              <w:spacing w:before="0" w:after="283"/>
              <w:jc w:val="left"/>
              <w:rPr/>
            </w:pPr>
            <w:r>
              <w:rPr/>
              <w:t> </w:t>
            </w:r>
          </w:p>
        </w:tc>
      </w:tr>
      <w:tr>
        <w:trPr/>
        <w:tc>
          <w:tcPr>
            <w:tcW w:w="3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42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638</w:t>
            </w:r>
          </w:p>
        </w:tc>
        <w:tc>
          <w:tcPr>
            <w:tcW w:w="113"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684</w:t>
            </w:r>
          </w:p>
        </w:tc>
        <w:tc>
          <w:tcPr>
            <w:tcW w:w="64" w:type="dxa"/>
            <w:tcBorders/>
            <w:shd w:fill="CCEEFF" w:val="clear"/>
            <w:vAlign w:val="bottom"/>
          </w:tcPr>
          <w:p>
            <w:pPr>
              <w:pStyle w:val="TableContents"/>
              <w:bidi w:val="0"/>
              <w:spacing w:before="0" w:after="283"/>
              <w:jc w:val="left"/>
              <w:rPr/>
            </w:pPr>
            <w:r>
              <w:rPr/>
              <w:t> </w:t>
            </w:r>
          </w:p>
        </w:tc>
      </w:tr>
      <w:tr>
        <w:trPr/>
        <w:tc>
          <w:tcPr>
            <w:tcW w:w="398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2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1,586</w:t>
            </w:r>
          </w:p>
        </w:tc>
        <w:tc>
          <w:tcPr>
            <w:tcW w:w="113"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1,647</w:t>
            </w:r>
          </w:p>
        </w:tc>
        <w:tc>
          <w:tcPr>
            <w:tcW w:w="64"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13" w:type="dxa"/>
            <w:tcBorders/>
            <w:vAlign w:val="center"/>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42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2,799</w:t>
            </w:r>
          </w:p>
        </w:tc>
        <w:tc>
          <w:tcPr>
            <w:tcW w:w="113"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3,017</w:t>
            </w:r>
          </w:p>
        </w:tc>
        <w:tc>
          <w:tcPr>
            <w:tcW w:w="64" w:type="dxa"/>
            <w:tcBorders/>
            <w:shd w:fill="CCEEFF" w:val="clear"/>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113" w:type="dxa"/>
            <w:tcBorders/>
            <w:vAlign w:val="center"/>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Future stock-based compensation for unvested options granted and outstanding as of December 31, 2021 is $3.4 million to be recognized over the weighted-average remaining requisite service period of 2.83 years. The aggregate intrinsic value of options exercised was zero and $0.1 million for the years ended December 31, 2021 and 2020,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more fully discussed in Note 3, Solar Park has asserted damages of $30.0 million against the Company in response to the Companys arbitration claim seeking approximately $47.0 million in damages against Solar Park. The Company believes that the allegations lack merit and intends to vigorously defend all claims asserted. No liability has been recorded in the Companys consolidated financial statements 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likelihood of a loss is not probable at this time; and the Company does not believe a reasonably possible loss would be material to, nor does it expect the ultimate resolution of these cases will have a material adverse effect on, the Companys financial condition,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the Company was contesting a $1.8 million liability to a vendor for the purchase of factory equipment which was intended to be used in Solar Park. The $1.8 million liability was included in the December 31, 2021 Consolidated Balance Sheet as Accrued Expenses and Other Current Liabilities of $1.7 million and Other Liabilities, noncurrent of $0.1 million. As of December 31, 2020 the liability was $1.6 million and was included in the Consolidated Balance Sheet as Accrued Expenses and Other Liabilities of $1.3 million and Other Liabilities, noncurrent of $0.3 million. On January 10, 2023, the Company reached an agreement with the vendor which reduced the liability from $1.8 million to $0.9 million. </w:t>
      </w:r>
    </w:p>
    <w:p>
      <w:pPr>
        <w:pStyle w:val="TextBody"/>
        <w:bidi w:val="0"/>
        <w:spacing w:before="240" w:after="0"/>
        <w:jc w:val="left"/>
        <w:rPr>
          <w:rFonts w:ascii="Times New Roman" w:hAnsi="Times New Roman"/>
          <w:sz w:val="20"/>
        </w:rPr>
      </w:pPr>
      <w:r>
        <w:rPr>
          <w:rFonts w:ascii="Times New Roman" w:hAnsi="Times New Roman"/>
          <w:sz w:val="20"/>
        </w:rPr>
        <w:t xml:space="preserve">In July 2020, the Company became aware that it might be subject to Antidumping and Countervailing Duties (ADCVD) on certain components manufactured in China and used in the solar panel production process in Korea. The Company applied for a definitive ruling from the U.S. Department of Commerce (DoC) while in parallel shifting its component supply from China. The DoC issued its ruling in April 2021. Because of the specificity of the DoC ruling in the Solaria case and prior case law under similar circumstances, the Company concluded that such ADCVD was not probable to be incurred for purchases in periods prior to the DoC ruling and immediately started paying appropriate ADCVD deposits on all entries after April 2021. No liability has been recorded in the Companys consolidated financial statements as the likelihood of a loss is not probable at this time.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involved in other lawsuits and claims which arise in the normal course of business. These claims individually and in the aggregate are not expected to result in a material effect on the Companys financial condition,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$4.5 million of outstanding letters of credit related to normal business transactions as of December 31, 2021. These agreements require the Company to maintain specified amounts of cash as collateral in segregated accounts to support the letters of credit issued thereunder. As discussed in Note 2, the cash collateral in these restricted cash accounts was $4.8 million and $3.7 million as of December 31, 2021 and 2020,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a 401(k) plan to provide defined contribution retirement benefits for all employees. Participants may contribute a portion of their compensation to the plan, subject to limitations under the Code. The Companys contributions to the plan are at the discretion of the Board of Directors. The Company has not made any contributions to the plan since inception.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GEOGRAPHIC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 revenues by geographic area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34"/>
        <w:gridCol w:w="240"/>
        <w:gridCol w:w="146"/>
        <w:gridCol w:w="738"/>
        <w:gridCol w:w="60"/>
        <w:gridCol w:w="240"/>
        <w:gridCol w:w="77"/>
        <w:gridCol w:w="745"/>
        <w:gridCol w:w="276"/>
        <w:gridCol w:w="143"/>
        <w:gridCol w:w="146"/>
        <w:gridCol w:w="738"/>
        <w:gridCol w:w="60"/>
        <w:gridCol w:w="240"/>
        <w:gridCol w:w="77"/>
        <w:gridCol w:w="745"/>
        <w:gridCol w:w="283"/>
      </w:tblGrid>
      <w:tr>
        <w:trPr/>
        <w:tc>
          <w:tcPr>
            <w:tcW w:w="4434"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43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43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283" w:type="dxa"/>
            <w:tcBorders/>
            <w:vAlign w:val="bottom"/>
          </w:tcPr>
          <w:p>
            <w:pPr>
              <w:pStyle w:val="TableContents"/>
              <w:bidi w:val="0"/>
              <w:spacing w:before="0" w:after="283"/>
              <w:jc w:val="left"/>
              <w:rPr/>
            </w:pPr>
            <w:r>
              <w:rPr/>
              <w:t> </w:t>
            </w:r>
          </w:p>
        </w:tc>
      </w:tr>
      <w:tr>
        <w:trPr/>
        <w:tc>
          <w:tcPr>
            <w:tcW w:w="443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0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283" w:type="dxa"/>
            <w:tcBorders/>
            <w:vAlign w:val="bottom"/>
          </w:tcPr>
          <w:p>
            <w:pPr>
              <w:pStyle w:val="TableContents"/>
              <w:bidi w:val="0"/>
              <w:spacing w:before="0" w:after="283"/>
              <w:jc w:val="left"/>
              <w:rPr/>
            </w:pPr>
            <w:r>
              <w:rPr/>
              <w:t> </w:t>
            </w:r>
          </w:p>
        </w:tc>
      </w:tr>
      <w:tr>
        <w:trPr/>
        <w:tc>
          <w:tcPr>
            <w:tcW w:w="443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3" w:type="dxa"/>
            <w:tcBorders/>
            <w:vAlign w:val="bottom"/>
          </w:tcPr>
          <w:p>
            <w:pPr>
              <w:pStyle w:val="TableContents"/>
              <w:bidi w:val="0"/>
              <w:spacing w:before="0" w:after="283"/>
              <w:jc w:val="left"/>
              <w:rPr/>
            </w:pPr>
            <w:r>
              <w:rPr/>
              <w:t> </w:t>
            </w:r>
          </w:p>
        </w:tc>
      </w:tr>
      <w:tr>
        <w:trPr/>
        <w:tc>
          <w:tcPr>
            <w:tcW w:w="44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Total revenue, net</w:t>
            </w:r>
          </w:p>
        </w:tc>
        <w:tc>
          <w:tcPr>
            <w:tcW w:w="240"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2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22" w:type="dxa"/>
            <w:gridSpan w:val="2"/>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r>
      <w:tr>
        <w:trPr/>
        <w:tc>
          <w:tcPr>
            <w:tcW w:w="4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56,577</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94.7</w:t>
            </w:r>
          </w:p>
        </w:tc>
        <w:tc>
          <w:tcPr>
            <w:tcW w:w="27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46,158</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95.5</w:t>
            </w:r>
          </w:p>
        </w:tc>
        <w:tc>
          <w:tcPr>
            <w:tcW w:w="283" w:type="dxa"/>
            <w:tcBorders/>
            <w:shd w:fill="CCEEFF" w:val="clear"/>
            <w:vAlign w:val="bottom"/>
          </w:tcPr>
          <w:p>
            <w:pPr>
              <w:pStyle w:val="TableContents"/>
              <w:bidi w:val="0"/>
              <w:spacing w:before="0" w:after="283"/>
              <w:jc w:val="left"/>
              <w:rPr/>
            </w:pPr>
            <w:r>
              <w:rPr/>
              <w:t>% </w:t>
            </w:r>
          </w:p>
        </w:tc>
      </w:tr>
      <w:tr>
        <w:trPr/>
        <w:tc>
          <w:tcPr>
            <w:tcW w:w="4434"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2,888</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4.8</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1,262</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2.6</w:t>
            </w:r>
          </w:p>
        </w:tc>
        <w:tc>
          <w:tcPr>
            <w:tcW w:w="283" w:type="dxa"/>
            <w:tcBorders/>
            <w:vAlign w:val="bottom"/>
          </w:tcPr>
          <w:p>
            <w:pPr>
              <w:pStyle w:val="TableContents"/>
              <w:bidi w:val="0"/>
              <w:spacing w:before="0" w:after="283"/>
              <w:jc w:val="left"/>
              <w:rPr/>
            </w:pPr>
            <w:r>
              <w:rPr/>
              <w:t>% </w:t>
            </w:r>
          </w:p>
        </w:tc>
      </w:tr>
      <w:tr>
        <w:trPr/>
        <w:tc>
          <w:tcPr>
            <w:tcW w:w="4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Australia</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298</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0.5</w:t>
            </w:r>
          </w:p>
        </w:tc>
        <w:tc>
          <w:tcPr>
            <w:tcW w:w="27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908</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1.9</w:t>
            </w:r>
          </w:p>
        </w:tc>
        <w:tc>
          <w:tcPr>
            <w:tcW w:w="283" w:type="dxa"/>
            <w:tcBorders/>
            <w:shd w:fill="CCEEFF" w:val="clear"/>
            <w:vAlign w:val="bottom"/>
          </w:tcPr>
          <w:p>
            <w:pPr>
              <w:pStyle w:val="TableContents"/>
              <w:bidi w:val="0"/>
              <w:spacing w:before="0" w:after="283"/>
              <w:jc w:val="left"/>
              <w:rPr/>
            </w:pPr>
            <w:r>
              <w:rPr/>
              <w:t>% </w:t>
            </w:r>
          </w:p>
        </w:tc>
      </w:tr>
      <w:tr>
        <w:trPr/>
        <w:tc>
          <w:tcPr>
            <w:tcW w:w="443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443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59,763</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100.0</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48,328</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100.0</w:t>
            </w:r>
          </w:p>
        </w:tc>
        <w:tc>
          <w:tcPr>
            <w:tcW w:w="283" w:type="dxa"/>
            <w:tcBorders/>
            <w:vAlign w:val="bottom"/>
          </w:tcPr>
          <w:p>
            <w:pPr>
              <w:pStyle w:val="TableContents"/>
              <w:bidi w:val="0"/>
              <w:spacing w:before="0" w:after="283"/>
              <w:jc w:val="left"/>
              <w:rPr/>
            </w:pPr>
            <w:r>
              <w:rPr/>
              <w:t>% </w:t>
            </w:r>
          </w:p>
        </w:tc>
      </w:tr>
      <w:tr>
        <w:trPr/>
        <w:tc>
          <w:tcPr>
            <w:tcW w:w="443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subsequent events through February 9, 2023, the date of issuance of these financial statements and has determined that there are no subsequent events outside the ordinary scope of business that require adjustment to, or disclosure in, the financial statements other than those described below. </w:t>
      </w:r>
    </w:p>
    <w:p>
      <w:pPr>
        <w:pStyle w:val="TextBody"/>
        <w:bidi w:val="0"/>
        <w:spacing w:before="120" w:after="0"/>
        <w:jc w:val="left"/>
        <w:rPr>
          <w:rFonts w:ascii="Times New Roman" w:hAnsi="Times New Roman"/>
          <w:sz w:val="20"/>
        </w:rPr>
      </w:pPr>
      <w:r>
        <w:rPr>
          <w:rFonts w:ascii="Times New Roman" w:hAnsi="Times New Roman"/>
          <w:sz w:val="20"/>
        </w:rPr>
        <w:t xml:space="preserve">In January 2022, the PPP Loan principal and accrued interest was forgiven in full. </w:t>
      </w:r>
    </w:p>
    <w:p>
      <w:pPr>
        <w:pStyle w:val="TextBody"/>
        <w:bidi w:val="0"/>
        <w:spacing w:before="120" w:after="0"/>
        <w:jc w:val="left"/>
        <w:rPr>
          <w:rFonts w:ascii="Times New Roman" w:hAnsi="Times New Roman"/>
          <w:sz w:val="20"/>
        </w:rPr>
      </w:pPr>
      <w:r>
        <w:rPr>
          <w:rFonts w:ascii="Times New Roman" w:hAnsi="Times New Roman"/>
          <w:sz w:val="20"/>
        </w:rPr>
        <w:t xml:space="preserve">Effective March 23, 2022, the Companys board of directors approved an offer, to certain eligible employees, to exchange existing stock options, with an exercise price above $1.36, for new replacement stock options. The exercise price of the replacement stock options is $1.36 per share, which was the estimated fair market value on the exchange date, as determined with assistance from third-party valuation specialists. Eligible employees elected to exchange an aggregate of 991,195 outstanding stock options, with exercise prices ranging from $1.64 to $3.91 per share, for new replacement stock options. The replacement stock options have a grant date of March 23, 2022 and a contractual term of 10 years. The exchange offer applied to both vested and unvested shares. Previously vested shares were exchanged for vested replacement stock options. Unvested shares were exchanged for shares which vest in accordance with the board-approved grant approval schedule with the service period ranging from 1.0 to 4.3 years. The repricing was accounted for as a modification and resulted in incremental stock-based compensation expense of $0.4 million. </w:t>
      </w:r>
    </w:p>
    <w:p>
      <w:pPr>
        <w:pStyle w:val="TextBody"/>
        <w:bidi w:val="0"/>
        <w:spacing w:before="120" w:after="0"/>
        <w:jc w:val="left"/>
        <w:rPr>
          <w:rFonts w:ascii="Times New Roman" w:hAnsi="Times New Roman"/>
          <w:sz w:val="20"/>
        </w:rPr>
      </w:pPr>
      <w:r>
        <w:rPr>
          <w:rFonts w:ascii="Times New Roman" w:hAnsi="Times New Roman"/>
          <w:sz w:val="20"/>
        </w:rPr>
        <w:t xml:space="preserve">In April 2022, the Company entered into an amendment to the Original Agreement (Fourth Amendment) as a forbearance agreement for SCI to forbear from exercising any rights and remedies available to it as a result of the Company not meeting certain Financial Covenants required by the Original Agreement. As a result of this amendment, changes were made to the financial covenants. The Company paid $0.15 million in amendment fee related to the Fourth Amendment. </w:t>
      </w:r>
    </w:p>
    <w:p>
      <w:pPr>
        <w:pStyle w:val="TextBody"/>
        <w:bidi w:val="0"/>
        <w:spacing w:before="120" w:after="0"/>
        <w:jc w:val="left"/>
        <w:rPr>
          <w:rFonts w:ascii="Times New Roman" w:hAnsi="Times New Roman"/>
          <w:sz w:val="20"/>
        </w:rPr>
      </w:pPr>
      <w:r>
        <w:rPr>
          <w:rFonts w:ascii="Times New Roman" w:hAnsi="Times New Roman"/>
          <w:sz w:val="20"/>
        </w:rPr>
        <w:t xml:space="preserve">In June 2022, the Company entered into an amendment to the Original Agreement (Fifth Amendment) related to SCI which resulted in certain changes to financial covenants including updates to quarterly revenue requirements and contribution margin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May 2022, the Company issued a secured promissory note to a trust affiliated with Thurman J. (T.J.) Rodgers, a director of Solaria amounting to $6.5 million in exchange for cash. The secured promissory note accrues paid-in-kind interest at a rate of 7.5% per annum and the note had an original maturity date of July 11, 2022. In conjunction with the Agreement and Plan of Merger with Complete Solar discussed below, both the parties agreed to extend the note term beyond its original maturity date. The secured promissory note with the original principal value of $6.5 million and paid-in-kind interest of $0.2 million was finally terminated in October 2022, in exchange for the issuance of a new convertible note by Complete Solar. </w:t>
      </w:r>
    </w:p>
    <w:p>
      <w:pPr>
        <w:pStyle w:val="TextBody"/>
        <w:bidi w:val="0"/>
        <w:spacing w:before="120" w:after="0"/>
        <w:jc w:val="left"/>
        <w:rPr>
          <w:rFonts w:ascii="Times New Roman" w:hAnsi="Times New Roman"/>
          <w:sz w:val="20"/>
        </w:rPr>
      </w:pPr>
      <w:r>
        <w:rPr>
          <w:rFonts w:ascii="Times New Roman" w:hAnsi="Times New Roman"/>
          <w:sz w:val="20"/>
        </w:rPr>
        <w:t xml:space="preserve">In June 2022, as discussed in Notes 3 and 15, the Company filed a notice of arbitration with the Singapore International Arbitration Centre (SIAC) seeking approximately $47.0 million in damages against Solar Park in connection with the write-downs described in Note 3 and other costs related to the loss of Solar Parks production and transition to a new provider. Solar Park filed a response with SIAC in June 2022 asserting damages of approximately $30.0 million against the Company. The parties stayed the arbitration to attend a mediation in early 2023, which was not successful. The arbitration is scheduled for February 2024.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2022, the Company paid off the total outstanding principal and interest of the Term Loan related to the Loan Agreement with SCI in the amount of $2.8 million.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the Company entered into an Agreement and Plan of Merger (the Merger Agreement) with Complete Solar and formed Complete Solaria. As a result, the Company became a wholly-owned indirect subsidiary of Complete Solaria effective on the date of consummation of the merger in November 2022.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the Company entered into an amendment to the Original Agreement (Sixth Amendment) related to SCI, which resulted in removal of certain financial covenants related to revenue and contribution margin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November 2022 Complete Solaria entered into a definitive business combination agreement with Freedom Acquisition I Corp. (NYSE: FACT) (Freedom), a Special Purpose Acquisition Company (SPAC). Upon closing of the business combination, which is expected in the first half of 2023, the combined Company is expected to be listed on the New York Stock Exchange under the new ticker CSLR.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2022, the Company entered into an amendment to the 2018 Notes extending the maturity date from December 13, 2022 to December 13, 2023. In connection with the amendment, the terms of the notes will continue to bear interest at 8% per annum and are entitled to a repayment premium of 120% of the principal and accrued interest due. Additionally, in connection with the amendment and cancellation of 196,462 shares of Series E-1 warrants of Solaria, Complete Solaria, issued warrants to purchase 304,234 shares of Series D-7 preferred stock at $3.84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SOLARIA CORPORATION AND SUBSIDIARIES </w:t>
      </w:r>
    </w:p>
    <w:p>
      <w:pPr>
        <w:pStyle w:val="TextBody"/>
        <w:bidi w:val="0"/>
        <w:spacing w:before="0" w:after="0"/>
        <w:jc w:val="left"/>
        <w:rPr>
          <w:rFonts w:ascii="Times New Roman" w:hAnsi="Times New Roman"/>
          <w:b/>
          <w:sz w:val="20"/>
        </w:rPr>
      </w:pPr>
      <w:bookmarkStart w:id="19" w:name="txa508460_18"/>
      <w:bookmarkEnd w:id="19"/>
      <w:r>
        <w:rPr>
          <w:rFonts w:ascii="Times New Roman" w:hAnsi="Times New Roman"/>
          <w:b/>
          <w:sz w:val="20"/>
        </w:rPr>
        <w:t xml:space="preserve">UNAUDITED CONDENSED CONSOLIDATED BALANCE SHEETS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except par value and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34"/>
        <w:gridCol w:w="347"/>
        <w:gridCol w:w="203"/>
        <w:gridCol w:w="1281"/>
        <w:gridCol w:w="155"/>
        <w:gridCol w:w="296"/>
        <w:gridCol w:w="195"/>
        <w:gridCol w:w="1236"/>
        <w:gridCol w:w="158"/>
      </w:tblGrid>
      <w:tr>
        <w:trPr/>
        <w:tc>
          <w:tcPr>
            <w:tcW w:w="6334"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4"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2021</w:t>
            </w:r>
          </w:p>
        </w:tc>
        <w:tc>
          <w:tcPr>
            <w:tcW w:w="158" w:type="dxa"/>
            <w:tcBorders/>
            <w:vAlign w:val="bottom"/>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2,107</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9,113</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Accounts receivable, net</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3,885</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6,288</w:t>
            </w:r>
          </w:p>
        </w:tc>
        <w:tc>
          <w:tcPr>
            <w:tcW w:w="158" w:type="dxa"/>
            <w:tcBorders/>
            <w:vAlign w:val="bottom"/>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Inventory, net</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4,010</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16.928</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10,442</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2,053</w:t>
            </w:r>
          </w:p>
        </w:tc>
        <w:tc>
          <w:tcPr>
            <w:tcW w:w="158" w:type="dxa"/>
            <w:tcBorders/>
            <w:vAlign w:val="bottom"/>
          </w:tcPr>
          <w:p>
            <w:pPr>
              <w:pStyle w:val="TableContents"/>
              <w:bidi w:val="0"/>
              <w:spacing w:before="0" w:after="283"/>
              <w:jc w:val="left"/>
              <w:rPr/>
            </w:pPr>
            <w:r>
              <w:rPr/>
              <w:t> </w:t>
            </w:r>
          </w:p>
        </w:tc>
      </w:tr>
      <w:tr>
        <w:trPr/>
        <w:tc>
          <w:tcPr>
            <w:tcW w:w="6334"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20,444</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34,382</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3,742</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4,802</w:t>
            </w:r>
          </w:p>
        </w:tc>
        <w:tc>
          <w:tcPr>
            <w:tcW w:w="158" w:type="dxa"/>
            <w:tcBorders/>
            <w:vAlign w:val="bottom"/>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 net and other noncurrent assets</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1,571</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1,755</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836</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999</w:t>
            </w:r>
          </w:p>
        </w:tc>
        <w:tc>
          <w:tcPr>
            <w:tcW w:w="158" w:type="dxa"/>
            <w:tcBorders/>
            <w:vAlign w:val="bottom"/>
          </w:tcPr>
          <w:p>
            <w:pPr>
              <w:pStyle w:val="TableContents"/>
              <w:bidi w:val="0"/>
              <w:spacing w:before="0" w:after="283"/>
              <w:jc w:val="left"/>
              <w:rPr/>
            </w:pPr>
            <w:r>
              <w:rPr/>
              <w:t> </w:t>
            </w:r>
          </w:p>
        </w:tc>
      </w:tr>
      <w:tr>
        <w:trPr/>
        <w:tc>
          <w:tcPr>
            <w:tcW w:w="6334"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26,593</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41,938</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b/>
                <w:sz w:val="18"/>
              </w:rPr>
            </w:pPr>
            <w:r>
              <w:rPr>
                <w:rFonts w:ascii="Times New Roman" w:hAnsi="Times New Roman"/>
                <w:b/>
                <w:sz w:val="18"/>
              </w:rPr>
              <w:t>LIABILITIES, MEZZANINE EQUITY AND STOCKHOLDERS DEFICIT</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2,386</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5,489</w:t>
            </w:r>
          </w:p>
        </w:tc>
        <w:tc>
          <w:tcPr>
            <w:tcW w:w="158" w:type="dxa"/>
            <w:tcBorders/>
            <w:vAlign w:val="bottom"/>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11,383</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11,713</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Deferred revenue</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75</w:t>
            </w:r>
          </w:p>
        </w:tc>
        <w:tc>
          <w:tcPr>
            <w:tcW w:w="158" w:type="dxa"/>
            <w:tcBorders/>
            <w:vAlign w:val="bottom"/>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Notes payable, net</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15,760</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10,912</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Operating lease liability</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324</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283</w:t>
            </w:r>
          </w:p>
        </w:tc>
        <w:tc>
          <w:tcPr>
            <w:tcW w:w="158" w:type="dxa"/>
            <w:tcBorders/>
            <w:vAlign w:val="bottom"/>
          </w:tcPr>
          <w:p>
            <w:pPr>
              <w:pStyle w:val="TableContents"/>
              <w:bidi w:val="0"/>
              <w:spacing w:before="0" w:after="283"/>
              <w:jc w:val="left"/>
              <w:rPr/>
            </w:pPr>
            <w:r>
              <w:rPr/>
              <w:t> </w:t>
            </w:r>
          </w:p>
        </w:tc>
      </w:tr>
      <w:tr>
        <w:trPr/>
        <w:tc>
          <w:tcPr>
            <w:tcW w:w="6334"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29,926</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28,472</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NONCURRENT LIABILITIES:</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Redeemable convertible preferred stock warrants liability</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4,180</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4,955</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Operating lease liability, net of current portion</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1,427</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1,674</w:t>
            </w:r>
          </w:p>
        </w:tc>
        <w:tc>
          <w:tcPr>
            <w:tcW w:w="158" w:type="dxa"/>
            <w:tcBorders/>
            <w:vAlign w:val="bottom"/>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liabilities, noncurrent</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3,374</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2,341</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Notes payable, net of current portion</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55,187</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41,197</w:t>
            </w:r>
          </w:p>
        </w:tc>
        <w:tc>
          <w:tcPr>
            <w:tcW w:w="158" w:type="dxa"/>
            <w:tcBorders/>
            <w:vAlign w:val="bottom"/>
          </w:tcPr>
          <w:p>
            <w:pPr>
              <w:pStyle w:val="TableContents"/>
              <w:bidi w:val="0"/>
              <w:spacing w:before="0" w:after="283"/>
              <w:jc w:val="left"/>
              <w:rPr/>
            </w:pPr>
            <w:r>
              <w:rPr/>
              <w:t> </w:t>
            </w:r>
          </w:p>
        </w:tc>
      </w:tr>
      <w:tr>
        <w:trPr/>
        <w:tc>
          <w:tcPr>
            <w:tcW w:w="6334"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94,094</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78,639</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COMMITMENTS AND CONTINGENCIES (NOTE 13)</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MEZZANINE REDEEMABLE CONVERTIBLE PREFERRED STOCK</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Redeemable convertible preferred stock: par value of $0.001 per share; 13,500,285 shares authorized as of September 30, 2022 and December 31, 2021; 11,147,927 issued and outstanding as of September 30, 2022 and December 31, 2021; aggregate liquidation value of $71.7 million as of September 30, 2022 and December 31, 2021</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72,070</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72,061</w:t>
            </w:r>
          </w:p>
        </w:tc>
        <w:tc>
          <w:tcPr>
            <w:tcW w:w="158" w:type="dxa"/>
            <w:tcBorders/>
            <w:vAlign w:val="bottom"/>
          </w:tcPr>
          <w:p>
            <w:pPr>
              <w:pStyle w:val="TableContents"/>
              <w:bidi w:val="0"/>
              <w:spacing w:before="0" w:after="283"/>
              <w:jc w:val="left"/>
              <w:rPr/>
            </w:pPr>
            <w:r>
              <w:rPr/>
              <w:t> </w:t>
            </w:r>
          </w:p>
        </w:tc>
      </w:tr>
      <w:tr>
        <w:trPr/>
        <w:tc>
          <w:tcPr>
            <w:tcW w:w="6334"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STOCKHOLDERS DEFICIT</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Common stock; par value $0.001 per share; 27,000,000 shares authorized as of September 30, 2022 and December 31, 2021; 3,412,907 and 2,001,357 shares issued and outstanding as of September 30, 2022 and December 31, 2021, respectively</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523</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521</w:t>
            </w:r>
          </w:p>
        </w:tc>
        <w:tc>
          <w:tcPr>
            <w:tcW w:w="158" w:type="dxa"/>
            <w:tcBorders/>
            <w:vAlign w:val="bottom"/>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Class B common stock; par value $0.001 per share; 815 shares authorized as of September 30, 2022 and December 31, 2021; 815 shares issued and outstanding as of September 30, 2022 and December 31, 2021</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179,388</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178,309</w:t>
            </w:r>
          </w:p>
        </w:tc>
        <w:tc>
          <w:tcPr>
            <w:tcW w:w="158" w:type="dxa"/>
            <w:tcBorders/>
            <w:vAlign w:val="bottom"/>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(55</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(319,554</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(287,538</w:t>
            </w:r>
          </w:p>
        </w:tc>
        <w:tc>
          <w:tcPr>
            <w:tcW w:w="158" w:type="dxa"/>
            <w:tcBorders/>
            <w:vAlign w:val="bottom"/>
          </w:tcPr>
          <w:p>
            <w:pPr>
              <w:pStyle w:val="TableContents"/>
              <w:bidi w:val="0"/>
              <w:spacing w:before="0" w:after="283"/>
              <w:jc w:val="left"/>
              <w:rPr/>
            </w:pPr>
            <w:r>
              <w:rPr/>
              <w:t>) </w:t>
            </w:r>
          </w:p>
        </w:tc>
      </w:tr>
      <w:tr>
        <w:trPr/>
        <w:tc>
          <w:tcPr>
            <w:tcW w:w="6334"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stockholders deficit</w:t>
            </w:r>
          </w:p>
        </w:tc>
        <w:tc>
          <w:tcPr>
            <w:tcW w:w="3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(139,571</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(108,762</w:t>
            </w:r>
          </w:p>
        </w:tc>
        <w:tc>
          <w:tcPr>
            <w:tcW w:w="158" w:type="dxa"/>
            <w:tcBorders/>
            <w:shd w:fill="CCEEFF" w:val="clear"/>
            <w:vAlign w:val="bottom"/>
          </w:tcPr>
          <w:p>
            <w:pPr>
              <w:pStyle w:val="TableContents"/>
              <w:bidi w:val="0"/>
              <w:spacing w:before="0" w:after="283"/>
              <w:jc w:val="left"/>
              <w:rPr/>
            </w:pPr>
            <w:r>
              <w:rPr/>
              <w:t>) </w:t>
            </w:r>
          </w:p>
        </w:tc>
      </w:tr>
      <w:tr>
        <w:trPr/>
        <w:tc>
          <w:tcPr>
            <w:tcW w:w="6334"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34" w:type="dxa"/>
            <w:tcBorders/>
          </w:tcPr>
          <w:p>
            <w:pPr>
              <w:pStyle w:val="TableContents"/>
              <w:bidi w:val="0"/>
              <w:spacing w:before="0" w:after="0"/>
              <w:jc w:val="left"/>
              <w:rPr>
                <w:rFonts w:ascii="Times New Roman" w:hAnsi="Times New Roman"/>
                <w:sz w:val="18"/>
              </w:rPr>
            </w:pPr>
            <w:r>
              <w:rPr>
                <w:rFonts w:ascii="Times New Roman" w:hAnsi="Times New Roman"/>
                <w:sz w:val="18"/>
              </w:rPr>
              <w:t>TOTAL LIABILITIES, MEZZANINE EQUITY AND STOCKHOLDERS DEFICIT</w:t>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26,593</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41,938</w:t>
            </w:r>
          </w:p>
        </w:tc>
        <w:tc>
          <w:tcPr>
            <w:tcW w:w="158" w:type="dxa"/>
            <w:tcBorders/>
            <w:vAlign w:val="bottom"/>
          </w:tcPr>
          <w:p>
            <w:pPr>
              <w:pStyle w:val="TableContents"/>
              <w:bidi w:val="0"/>
              <w:spacing w:before="0" w:after="283"/>
              <w:jc w:val="left"/>
              <w:rPr/>
            </w:pPr>
            <w:r>
              <w:rPr/>
              <w:t> </w:t>
            </w:r>
          </w:p>
        </w:tc>
      </w:tr>
      <w:tr>
        <w:trPr/>
        <w:tc>
          <w:tcPr>
            <w:tcW w:w="6334"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SOLARIA CORPORATION AND SUBSIDIARIES </w:t>
      </w:r>
    </w:p>
    <w:p>
      <w:pPr>
        <w:pStyle w:val="TextBody"/>
        <w:bidi w:val="0"/>
        <w:spacing w:before="0" w:after="0"/>
        <w:jc w:val="left"/>
        <w:rPr>
          <w:rFonts w:ascii="Times New Roman" w:hAnsi="Times New Roman"/>
          <w:b/>
          <w:sz w:val="20"/>
        </w:rPr>
      </w:pPr>
      <w:bookmarkStart w:id="20" w:name="txa508460_19"/>
      <w:bookmarkEnd w:id="20"/>
      <w:r>
        <w:rPr>
          <w:rFonts w:ascii="Times New Roman" w:hAnsi="Times New Roman"/>
          <w:b/>
          <w:sz w:val="20"/>
        </w:rPr>
        <w:t xml:space="preserve">UNAUDITED CONDENSED CONSOLIDATED STATEMENTS OF OPERATIONS AND COMPREHENSIVE LOSS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40"/>
        <w:gridCol w:w="151"/>
        <w:gridCol w:w="144"/>
        <w:gridCol w:w="795"/>
        <w:gridCol w:w="160"/>
        <w:gridCol w:w="115"/>
        <w:gridCol w:w="144"/>
        <w:gridCol w:w="797"/>
        <w:gridCol w:w="159"/>
      </w:tblGrid>
      <w:tr>
        <w:trPr/>
        <w:tc>
          <w:tcPr>
            <w:tcW w:w="774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4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1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774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 net</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30,826</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97" w:type="dxa"/>
            <w:tcBorders/>
            <w:shd w:fill="CCEEFF" w:val="clear"/>
            <w:vAlign w:val="bottom"/>
          </w:tcPr>
          <w:p>
            <w:pPr>
              <w:pStyle w:val="TableContents"/>
              <w:bidi w:val="0"/>
              <w:spacing w:before="0" w:after="283"/>
              <w:jc w:val="right"/>
              <w:rPr/>
            </w:pPr>
            <w:r>
              <w:rPr/>
              <w:t>47,961</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31,504</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48,664</w:t>
            </w:r>
          </w:p>
        </w:tc>
        <w:tc>
          <w:tcPr>
            <w:tcW w:w="159" w:type="dxa"/>
            <w:tcBorders/>
            <w:vAlign w:val="bottom"/>
          </w:tcPr>
          <w:p>
            <w:pPr>
              <w:pStyle w:val="TableContents"/>
              <w:bidi w:val="0"/>
              <w:spacing w:before="0" w:after="283"/>
              <w:jc w:val="left"/>
              <w:rPr/>
            </w:pPr>
            <w:r>
              <w:rPr/>
              <w:t> </w:t>
            </w:r>
          </w:p>
        </w:tc>
      </w:tr>
      <w:tr>
        <w:trPr/>
        <w:tc>
          <w:tcPr>
            <w:tcW w:w="774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loss</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(678</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(703</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9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engineering</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3,180</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3,332</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4,517</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5,571</w:t>
            </w:r>
          </w:p>
        </w:tc>
        <w:tc>
          <w:tcPr>
            <w:tcW w:w="159" w:type="dxa"/>
            <w:tcBorders/>
            <w:vAlign w:val="bottom"/>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7,284</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6,695</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Litigation-related costs</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451</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5,395</w:t>
            </w:r>
          </w:p>
        </w:tc>
        <w:tc>
          <w:tcPr>
            <w:tcW w:w="159" w:type="dxa"/>
            <w:tcBorders/>
            <w:vAlign w:val="bottom"/>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1,893</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17,325</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20,993</w:t>
            </w:r>
          </w:p>
        </w:tc>
        <w:tc>
          <w:tcPr>
            <w:tcW w:w="159" w:type="dxa"/>
            <w:tcBorders/>
            <w:vAlign w:val="bottom"/>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(18,003</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(21,696</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(2,941</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(3,735</w:t>
            </w:r>
          </w:p>
        </w:tc>
        <w:tc>
          <w:tcPr>
            <w:tcW w:w="159" w:type="dxa"/>
            <w:tcBorders/>
            <w:vAlign w:val="bottom"/>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10</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4</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Simple Agreement for Future Equity (SAFE) Notes</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(14,229</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 (Note 6)</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(2,967</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2,096</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1,725</w:t>
            </w:r>
          </w:p>
        </w:tc>
        <w:tc>
          <w:tcPr>
            <w:tcW w:w="159" w:type="dxa"/>
            <w:tcBorders/>
            <w:vAlign w:val="bottom"/>
          </w:tcPr>
          <w:p>
            <w:pPr>
              <w:pStyle w:val="TableContents"/>
              <w:bidi w:val="0"/>
              <w:spacing w:before="0" w:after="283"/>
              <w:jc w:val="left"/>
              <w:rPr/>
            </w:pPr>
            <w:r>
              <w:rPr/>
              <w:t> </w:t>
            </w:r>
          </w:p>
        </w:tc>
      </w:tr>
      <w:tr>
        <w:trPr/>
        <w:tc>
          <w:tcPr>
            <w:tcW w:w="774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net</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(15,064</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(4,973</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(33,067</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(26,669</w:t>
            </w:r>
          </w:p>
        </w:tc>
        <w:tc>
          <w:tcPr>
            <w:tcW w:w="159" w:type="dxa"/>
            <w:tcBorders/>
            <w:vAlign w:val="bottom"/>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(33,067</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(26,669</w:t>
            </w:r>
          </w:p>
        </w:tc>
        <w:tc>
          <w:tcPr>
            <w:tcW w:w="159" w:type="dxa"/>
            <w:tcBorders/>
            <w:vAlign w:val="bottom"/>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79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 adjustment, net of tax effect of $0, for the nine months ended September 30, 2022 and 2021</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126</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(42</w:t>
            </w:r>
          </w:p>
        </w:tc>
        <w:tc>
          <w:tcPr>
            <w:tcW w:w="159" w:type="dxa"/>
            <w:tcBorders/>
            <w:vAlign w:val="bottom"/>
          </w:tcPr>
          <w:p>
            <w:pPr>
              <w:pStyle w:val="TableContents"/>
              <w:bidi w:val="0"/>
              <w:spacing w:before="0" w:after="283"/>
              <w:jc w:val="left"/>
              <w:rPr/>
            </w:pPr>
            <w:r>
              <w:rPr/>
              <w:t>) </w:t>
            </w:r>
          </w:p>
        </w:tc>
      </w:tr>
      <w:tr>
        <w:trPr/>
        <w:tc>
          <w:tcPr>
            <w:tcW w:w="774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(32,941</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(26,711</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accretion</w:t>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(9</w:t>
            </w:r>
          </w:p>
        </w:tc>
        <w:tc>
          <w:tcPr>
            <w:tcW w:w="1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(16</w:t>
            </w:r>
          </w:p>
        </w:tc>
        <w:tc>
          <w:tcPr>
            <w:tcW w:w="159" w:type="dxa"/>
            <w:tcBorders/>
            <w:vAlign w:val="bottom"/>
          </w:tcPr>
          <w:p>
            <w:pPr>
              <w:pStyle w:val="TableContents"/>
              <w:bidi w:val="0"/>
              <w:spacing w:before="0" w:after="283"/>
              <w:jc w:val="left"/>
              <w:rPr/>
            </w:pPr>
            <w:r>
              <w:rPr/>
              <w:t>) </w:t>
            </w:r>
          </w:p>
        </w:tc>
      </w:tr>
      <w:tr>
        <w:trPr/>
        <w:tc>
          <w:tcPr>
            <w:tcW w:w="774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to common stockholders</w:t>
            </w:r>
          </w:p>
        </w:tc>
        <w:tc>
          <w:tcPr>
            <w:tcW w:w="1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(32,950</w:t>
            </w:r>
          </w:p>
        </w:tc>
        <w:tc>
          <w:tcPr>
            <w:tcW w:w="1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97" w:type="dxa"/>
            <w:tcBorders/>
            <w:shd w:fill="CCEEFF" w:val="clear"/>
            <w:vAlign w:val="bottom"/>
          </w:tcPr>
          <w:p>
            <w:pPr>
              <w:pStyle w:val="TableContents"/>
              <w:bidi w:val="0"/>
              <w:spacing w:before="0" w:after="283"/>
              <w:jc w:val="right"/>
              <w:rPr/>
            </w:pPr>
            <w:r>
              <w:rPr/>
              <w:t>(26,727</w:t>
            </w:r>
          </w:p>
        </w:tc>
        <w:tc>
          <w:tcPr>
            <w:tcW w:w="159" w:type="dxa"/>
            <w:tcBorders/>
            <w:shd w:fill="CCEEFF" w:val="clear"/>
            <w:vAlign w:val="bottom"/>
          </w:tcPr>
          <w:p>
            <w:pPr>
              <w:pStyle w:val="TableContents"/>
              <w:bidi w:val="0"/>
              <w:spacing w:before="0" w:after="283"/>
              <w:jc w:val="left"/>
              <w:rPr/>
            </w:pPr>
            <w:r>
              <w:rPr/>
              <w:t>) </w:t>
            </w:r>
          </w:p>
        </w:tc>
      </w:tr>
      <w:tr>
        <w:trPr/>
        <w:tc>
          <w:tcPr>
            <w:tcW w:w="774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9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16"/>
        </w:rPr>
      </w:pPr>
      <w:r>
        <w:rPr>
          <w:rFonts w:ascii="Times New Roman" w:hAnsi="Times New Roman"/>
          <w:b/>
          <w:sz w:val="16"/>
        </w:rPr>
        <w:t xml:space="preserve">THE SOLARIA CORPORATION. AND SUBSIDIARIES </w:t>
      </w:r>
    </w:p>
    <w:p>
      <w:pPr>
        <w:pStyle w:val="TextBody"/>
        <w:bidi w:val="0"/>
        <w:spacing w:before="0" w:after="0"/>
        <w:jc w:val="left"/>
        <w:rPr>
          <w:rFonts w:ascii="Times New Roman" w:hAnsi="Times New Roman"/>
          <w:b/>
          <w:sz w:val="16"/>
        </w:rPr>
      </w:pPr>
      <w:bookmarkStart w:id="21" w:name="txa508460_20"/>
      <w:bookmarkEnd w:id="21"/>
      <w:r>
        <w:rPr>
          <w:rFonts w:ascii="Times New Roman" w:hAnsi="Times New Roman"/>
          <w:b/>
          <w:sz w:val="16"/>
        </w:rPr>
        <w:t xml:space="preserve">UNAUDITED CONDENSED CONSOLIDATED STATEMENTS OF REDEEMABLE CONVERTIBLE PREFERRED STOCK AND STOCKHOLDERS DEFICIT </w:t>
      </w:r>
    </w:p>
    <w:p>
      <w:pPr>
        <w:pStyle w:val="TextBody"/>
        <w:bidi w:val="0"/>
        <w:spacing w:before="0" w:after="0"/>
        <w:jc w:val="left"/>
        <w:rPr>
          <w:rFonts w:ascii="Times New Roman" w:hAnsi="Times New Roman"/>
          <w:b/>
          <w:sz w:val="16"/>
        </w:rPr>
      </w:pPr>
      <w:r>
        <w:rPr>
          <w:rFonts w:ascii="Times New Roman" w:hAnsi="Times New Roman"/>
          <w:b/>
          <w:sz w:val="16"/>
        </w:rPr>
        <w:t xml:space="preserve">FOR THE NINE MONTHS ENDED SEPTEMBER 30, 2022 AND 2021 </w:t>
      </w:r>
    </w:p>
    <w:p>
      <w:pPr>
        <w:pStyle w:val="TextBody"/>
        <w:bidi w:val="0"/>
        <w:spacing w:before="0" w:after="0"/>
        <w:jc w:val="left"/>
        <w:rPr>
          <w:rFonts w:ascii="Times New Roman" w:hAnsi="Times New Roman"/>
          <w:b/>
          <w:sz w:val="16"/>
        </w:rPr>
      </w:pPr>
      <w:r>
        <w:rPr>
          <w:rFonts w:ascii="Times New Roman" w:hAnsi="Times New Roman"/>
          <w:b/>
          <w:sz w:val="16"/>
        </w:rPr>
        <w:t xml:space="preserve">(In thousands, except number of shares) </w:t>
      </w:r>
    </w:p>
    <w:p>
      <w:pPr>
        <w:pStyle w:val="TextBody"/>
        <w:bidi w:val="0"/>
        <w:spacing w:before="0" w:after="0"/>
        <w:jc w:val="left"/>
        <w:rPr/>
      </w:pPr>
      <w:r>
        <w:rPr/>
        <w:t> </w:t>
      </w:r>
    </w:p>
    <w:tbl>
      <w:tblPr>
        <w:tblW w:w="15251" w:type="dxa"/>
        <w:jc w:val="center"/>
        <w:tblInd w:w="0" w:type="dxa"/>
        <w:tblLayout w:type="fixed"/>
        <w:tblCellMar>
          <w:top w:w="0" w:type="dxa"/>
          <w:left w:w="0" w:type="dxa"/>
          <w:bottom w:w="0" w:type="dxa"/>
          <w:right w:w="0" w:type="dxa"/>
        </w:tblCellMar>
      </w:tblPr>
      <w:tblGrid>
        <w:gridCol w:w="1640"/>
        <w:gridCol w:w="120"/>
        <w:gridCol w:w="67"/>
        <w:gridCol w:w="1231"/>
        <w:gridCol w:w="173"/>
        <w:gridCol w:w="67"/>
        <w:gridCol w:w="156"/>
        <w:gridCol w:w="831"/>
        <w:gridCol w:w="60"/>
        <w:gridCol w:w="120"/>
        <w:gridCol w:w="60"/>
        <w:gridCol w:w="980"/>
        <w:gridCol w:w="155"/>
        <w:gridCol w:w="60"/>
        <w:gridCol w:w="231"/>
        <w:gridCol w:w="629"/>
        <w:gridCol w:w="60"/>
        <w:gridCol w:w="120"/>
        <w:gridCol w:w="119"/>
        <w:gridCol w:w="755"/>
        <w:gridCol w:w="119"/>
        <w:gridCol w:w="238"/>
        <w:gridCol w:w="427"/>
        <w:gridCol w:w="433"/>
        <w:gridCol w:w="60"/>
        <w:gridCol w:w="120"/>
        <w:gridCol w:w="154"/>
        <w:gridCol w:w="946"/>
        <w:gridCol w:w="155"/>
        <w:gridCol w:w="60"/>
        <w:gridCol w:w="378"/>
        <w:gridCol w:w="1232"/>
        <w:gridCol w:w="155"/>
        <w:gridCol w:w="60"/>
        <w:gridCol w:w="166"/>
        <w:gridCol w:w="1204"/>
        <w:gridCol w:w="155"/>
        <w:gridCol w:w="60"/>
        <w:gridCol w:w="184"/>
        <w:gridCol w:w="1156"/>
        <w:gridCol w:w="15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Redeemable 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w:t>
              <w:b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w:t>
              <w:br/>
              <w:t>in 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7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1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2020</w:t>
            </w:r>
          </w:p>
        </w:tc>
        <w:tc>
          <w:tcPr>
            <w:tcW w:w="1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10,920,447</w:t>
            </w:r>
          </w:p>
        </w:tc>
        <w:tc>
          <w:tcPr>
            <w:tcW w:w="17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71,152</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1,841,452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521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815</w:t>
            </w:r>
          </w:p>
        </w:tc>
        <w:tc>
          <w:tcPr>
            <w:tcW w:w="11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175,285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(233,101)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(57,362</w:t>
            </w:r>
          </w:p>
        </w:tc>
        <w:tc>
          <w:tcPr>
            <w:tcW w:w="155" w:type="dxa"/>
            <w:tcBorders/>
            <w:shd w:fill="CCEEFF" w:val="clear"/>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Exercise of warrants</w:t>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246,564</w:t>
            </w:r>
          </w:p>
        </w:tc>
        <w:tc>
          <w:tcPr>
            <w:tcW w:w="17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762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of options</w:t>
            </w:r>
          </w:p>
        </w:tc>
        <w:tc>
          <w:tcPr>
            <w:tcW w:w="1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89,583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Repurchase of common stock</w:t>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(24,678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Rescission of Series E-1 redeemable convertible preferred stock</w:t>
            </w:r>
          </w:p>
        </w:tc>
        <w:tc>
          <w:tcPr>
            <w:tcW w:w="1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(19,084</w:t>
            </w:r>
          </w:p>
        </w:tc>
        <w:tc>
          <w:tcPr>
            <w:tcW w:w="17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1,947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1,947</w:t>
            </w:r>
          </w:p>
        </w:tc>
        <w:tc>
          <w:tcPr>
            <w:tcW w:w="155"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w:t>
            </w:r>
          </w:p>
        </w:tc>
        <w:tc>
          <w:tcPr>
            <w:tcW w:w="1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accretion</w:t>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16</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(26,669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(26,669</w:t>
            </w:r>
          </w:p>
        </w:tc>
        <w:tc>
          <w:tcPr>
            <w:tcW w:w="155"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2021</w:t>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11,147,927</w:t>
            </w:r>
          </w:p>
        </w:tc>
        <w:tc>
          <w:tcPr>
            <w:tcW w:w="17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 </w:t>
            </w:r>
            <w:r>
              <w:rPr/>
              <w:t>71,930</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1,931,357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521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815</w:t>
            </w:r>
          </w:p>
        </w:tc>
        <w:tc>
          <w:tcPr>
            <w:tcW w:w="11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w:t>
            </w:r>
          </w:p>
        </w:tc>
        <w:tc>
          <w:tcPr>
            <w:tcW w:w="433"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946" w:type="dxa"/>
            <w:tcBorders/>
            <w:vAlign w:val="bottom"/>
          </w:tcPr>
          <w:p>
            <w:pPr>
              <w:pStyle w:val="TableContents"/>
              <w:bidi w:val="0"/>
              <w:spacing w:before="0" w:after="283"/>
              <w:jc w:val="right"/>
              <w:rPr/>
            </w:pPr>
            <w:r>
              <w:rPr/>
              <w:t> </w:t>
            </w:r>
            <w:r>
              <w:rPr/>
              <w:t>177,473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232"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 </w:t>
            </w:r>
            <w:r>
              <w:rPr/>
              <w:t>(259,770)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(81,885</w:t>
            </w:r>
          </w:p>
        </w:tc>
        <w:tc>
          <w:tcPr>
            <w:tcW w:w="155"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2021</w:t>
            </w:r>
          </w:p>
        </w:tc>
        <w:tc>
          <w:tcPr>
            <w:tcW w:w="1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11,147,927</w:t>
            </w:r>
          </w:p>
        </w:tc>
        <w:tc>
          <w:tcPr>
            <w:tcW w:w="17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72,061</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2,001,357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521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815</w:t>
            </w:r>
          </w:p>
        </w:tc>
        <w:tc>
          <w:tcPr>
            <w:tcW w:w="11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178,309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(287,538)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(108,762</w:t>
            </w:r>
          </w:p>
        </w:tc>
        <w:tc>
          <w:tcPr>
            <w:tcW w:w="155" w:type="dxa"/>
            <w:tcBorders/>
            <w:shd w:fill="CCEEFF" w:val="clear"/>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Adoption of ASU 2020-06</w:t>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(1,051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1,051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of warrants</w:t>
            </w:r>
          </w:p>
        </w:tc>
        <w:tc>
          <w:tcPr>
            <w:tcW w:w="1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1,311,651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Repurchase of common stock</w:t>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1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2,011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2,011</w:t>
            </w:r>
          </w:p>
        </w:tc>
        <w:tc>
          <w:tcPr>
            <w:tcW w:w="155" w:type="dxa"/>
            <w:tcBorders/>
            <w:shd w:fill="CCEEFF" w:val="clear"/>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 adjustment</w:t>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accretion</w:t>
            </w:r>
          </w:p>
        </w:tc>
        <w:tc>
          <w:tcPr>
            <w:tcW w:w="1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(33,067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(33,067</w:t>
            </w:r>
          </w:p>
        </w:tc>
        <w:tc>
          <w:tcPr>
            <w:tcW w:w="155"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September 30, 2022</w:t>
            </w:r>
          </w:p>
        </w:tc>
        <w:tc>
          <w:tcPr>
            <w:tcW w:w="1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11,147,927</w:t>
            </w:r>
          </w:p>
        </w:tc>
        <w:tc>
          <w:tcPr>
            <w:tcW w:w="17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72,070</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3,412,907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523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815</w:t>
            </w:r>
          </w:p>
        </w:tc>
        <w:tc>
          <w:tcPr>
            <w:tcW w:w="11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179,388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(319,554)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(139,571</w:t>
            </w:r>
          </w:p>
        </w:tc>
        <w:tc>
          <w:tcPr>
            <w:tcW w:w="155"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40" w:after="0"/>
        <w:jc w:val="left"/>
        <w:rPr>
          <w:rFonts w:ascii="Times New Roman" w:hAnsi="Times New Roman"/>
          <w:sz w:val="16"/>
        </w:rPr>
      </w:pPr>
      <w:r>
        <w:rPr>
          <w:rFonts w:ascii="Times New Roman" w:hAnsi="Times New Roman"/>
          <w:sz w:val="16"/>
        </w:rPr>
        <w:t xml:space="preserve">See accompanying notes to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SOLARIA CORPORATION AND SUBSIDIARIES </w:t>
      </w:r>
    </w:p>
    <w:p>
      <w:pPr>
        <w:pStyle w:val="TextBody"/>
        <w:bidi w:val="0"/>
        <w:spacing w:before="0" w:after="0"/>
        <w:jc w:val="left"/>
        <w:rPr>
          <w:rFonts w:ascii="Times New Roman" w:hAnsi="Times New Roman"/>
          <w:b/>
          <w:sz w:val="20"/>
        </w:rPr>
      </w:pPr>
      <w:bookmarkStart w:id="22" w:name="txa508460_21"/>
      <w:bookmarkEnd w:id="22"/>
      <w:r>
        <w:rPr>
          <w:rFonts w:ascii="Times New Roman" w:hAnsi="Times New Roman"/>
          <w:b/>
          <w:sz w:val="20"/>
        </w:rPr>
        <w:t xml:space="preserve">UNAUDITED CONDENSED CONSOLIDATED STATEMENTS OF CASH FLOWS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43"/>
        <w:gridCol w:w="152"/>
        <w:gridCol w:w="144"/>
        <w:gridCol w:w="792"/>
        <w:gridCol w:w="160"/>
        <w:gridCol w:w="118"/>
        <w:gridCol w:w="144"/>
        <w:gridCol w:w="794"/>
        <w:gridCol w:w="158"/>
      </w:tblGrid>
      <w:tr>
        <w:trPr/>
        <w:tc>
          <w:tcPr>
            <w:tcW w:w="7743"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4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8"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92" w:type="dxa"/>
            <w:tcBorders/>
            <w:vAlign w:val="bottom"/>
          </w:tcPr>
          <w:p>
            <w:pPr>
              <w:pStyle w:val="TableContents"/>
              <w:bidi w:val="0"/>
              <w:spacing w:before="0" w:after="283"/>
              <w:jc w:val="right"/>
              <w:rPr/>
            </w:pPr>
            <w:r>
              <w:rPr/>
              <w:t>(33,067</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(26,669</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Debt amortization and non- cash interest expense</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2,337</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2,742</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2,967</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2,011</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1,947</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redeemable convertible preferred stock warrant liability</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(775</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(339</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Bad debt expense</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472</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219</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918</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SAFE Notes</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14,229</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Forgiveness of Paycheck Protection Plan Loan</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(1,414</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(1,433</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Noncash operating lease expense</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184</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261</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44</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23</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1,930</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1,121</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12,918</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(10,759</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(8,388</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3,923</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(3,103</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(162</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(572</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1,714</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(1,995</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(207</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(286</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 noncurrent</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1,035</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401</w:t>
            </w:r>
          </w:p>
        </w:tc>
        <w:tc>
          <w:tcPr>
            <w:tcW w:w="158"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(12,148</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(25,626</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(207</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(1,436</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151</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248</w:t>
            </w:r>
          </w:p>
        </w:tc>
        <w:tc>
          <w:tcPr>
            <w:tcW w:w="158"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(56</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(1,188</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notes payable, net</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8,500</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33,415</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notes payable, net</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(4,618</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redeemable convertible preferred stock warrants</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515</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130</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255</w:t>
            </w:r>
          </w:p>
        </w:tc>
        <w:tc>
          <w:tcPr>
            <w:tcW w:w="158"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4,012</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34,185</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126</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(42</w:t>
            </w:r>
          </w:p>
        </w:tc>
        <w:tc>
          <w:tcPr>
            <w:tcW w:w="158" w:type="dxa"/>
            <w:tcBorders/>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(8,066</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7,329</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year</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13,915</w:t>
            </w:r>
          </w:p>
        </w:tc>
        <w:tc>
          <w:tcPr>
            <w:tcW w:w="1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13,549</w:t>
            </w:r>
          </w:p>
        </w:tc>
        <w:tc>
          <w:tcPr>
            <w:tcW w:w="158"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year</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5,849</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94" w:type="dxa"/>
            <w:tcBorders/>
            <w:shd w:fill="CCEEFF" w:val="clear"/>
            <w:vAlign w:val="bottom"/>
          </w:tcPr>
          <w:p>
            <w:pPr>
              <w:pStyle w:val="TableContents"/>
              <w:bidi w:val="0"/>
              <w:spacing w:before="0" w:after="283"/>
              <w:jc w:val="right"/>
              <w:rPr/>
            </w:pPr>
            <w:r>
              <w:rPr/>
              <w:t>20,878</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Non- Cash Investing and Financing Activities</w:t>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Forgiveness of Paycheck Protection Plan Loan</w:t>
            </w:r>
          </w:p>
        </w:tc>
        <w:tc>
          <w:tcPr>
            <w:tcW w:w="15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(1,414</w:t>
            </w:r>
          </w:p>
        </w:tc>
        <w:tc>
          <w:tcPr>
            <w:tcW w:w="1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94" w:type="dxa"/>
            <w:tcBorders/>
            <w:shd w:fill="CCEEFF" w:val="clear"/>
            <w:vAlign w:val="bottom"/>
          </w:tcPr>
          <w:p>
            <w:pPr>
              <w:pStyle w:val="TableContents"/>
              <w:bidi w:val="0"/>
              <w:spacing w:before="0" w:after="283"/>
              <w:jc w:val="right"/>
              <w:rPr/>
            </w:pPr>
            <w:r>
              <w:rPr/>
              <w:t>(1,433</w:t>
            </w:r>
          </w:p>
        </w:tc>
        <w:tc>
          <w:tcPr>
            <w:tcW w:w="158"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SOLARIA CORPORATION AND SUBSIDIARIES </w:t>
      </w:r>
    </w:p>
    <w:p>
      <w:pPr>
        <w:pStyle w:val="TextBody"/>
        <w:bidi w:val="0"/>
        <w:spacing w:before="0" w:after="0"/>
        <w:jc w:val="left"/>
        <w:rPr>
          <w:rFonts w:ascii="Times New Roman" w:hAnsi="Times New Roman"/>
          <w:b/>
          <w:sz w:val="20"/>
        </w:rPr>
      </w:pPr>
      <w:bookmarkStart w:id="23" w:name="txa508460_22"/>
      <w:bookmarkEnd w:id="23"/>
      <w:r>
        <w:rPr>
          <w:rFonts w:ascii="Times New Roman" w:hAnsi="Times New Roman"/>
          <w:b/>
          <w:sz w:val="20"/>
        </w:rPr>
        <w:t xml:space="preserve">NOTES TO UNAUDITED CONDENSED CONSOLIDATED FINANCIAL STATEMENTS </w:t>
      </w:r>
    </w:p>
    <w:p>
      <w:pPr>
        <w:pStyle w:val="TextBody"/>
        <w:bidi w:val="0"/>
        <w:spacing w:before="0" w:after="0"/>
        <w:jc w:val="left"/>
        <w:rPr>
          <w:rFonts w:ascii="Times New Roman" w:hAnsi="Times New Roman"/>
          <w:b/>
          <w:sz w:val="20"/>
        </w:rPr>
      </w:pPr>
      <w:r>
        <w:rPr>
          <w:rFonts w:ascii="Times New Roman" w:hAnsi="Times New Roman"/>
          <w:b/>
          <w:sz w:val="20"/>
        </w:rPr>
        <w:t xml:space="preserve">AS OF SEPTEMBER 30, 2022 AND DECEMBER 31, 2021 AND </w:t>
      </w:r>
    </w:p>
    <w:p>
      <w:pPr>
        <w:pStyle w:val="TextBody"/>
        <w:bidi w:val="0"/>
        <w:spacing w:before="0" w:after="0"/>
        <w:jc w:val="left"/>
        <w:rPr>
          <w:rFonts w:ascii="Times New Roman" w:hAnsi="Times New Roman"/>
          <w:b/>
          <w:sz w:val="20"/>
        </w:rPr>
      </w:pPr>
      <w:r>
        <w:rPr>
          <w:rFonts w:ascii="Times New Roman" w:hAnsi="Times New Roman"/>
          <w:b/>
          <w:sz w:val="20"/>
        </w:rPr>
        <w:t xml:space="preserve">FOR THE NINE MONTHS ENDED SEPTEMBER 30, 2022 AND 2021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ORGANIZATION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Description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Solaria Corporation was incorporated as a Delaware corporation on May 5, 2006. The Solaria Corporation (together with its subsidiaries, the Company or Solaria) designs, develops, manufactures, and generates revenue from the sale of silicon photovoltaic solar panels and licensing of its technology to third parties. The Company operates from its headquarters in Fremont, California. </w:t>
      </w:r>
    </w:p>
    <w:p>
      <w:pPr>
        <w:pStyle w:val="TextBody"/>
        <w:bidi w:val="0"/>
        <w:spacing w:before="120" w:after="0"/>
        <w:jc w:val="left"/>
        <w:rPr>
          <w:rFonts w:ascii="Times New Roman" w:hAnsi="Times New Roman"/>
          <w:sz w:val="20"/>
        </w:rPr>
      </w:pPr>
      <w:r>
        <w:rPr>
          <w:rFonts w:ascii="Times New Roman" w:hAnsi="Times New Roman"/>
          <w:b/>
          <w:sz w:val="20"/>
        </w:rPr>
        <w:t xml:space="preserve">Liquidity and Going Concern </w:t>
      </w:r>
      <w:r>
        <w:rPr>
          <w:rFonts w:ascii="Times New Roman" w:hAnsi="Times New Roman"/>
          <w:sz w:val="20"/>
        </w:rPr>
        <w:t xml:space="preserve"> Since inception, the Company has incurred recurring losses and negative cash flows from operations. The Company incurred net losses of $33.1 million and $26.7 million during the nine months ended September 30, 2022 and 2021, respectively, and had an accumulated deficit of $319.5 million as of September 30, 2022. The Company had cash and cash equivalents of $2.1 million as of September 30, 2022. Historically, the Companys activities have been financed through private placements of equity securities and debt. The Company expects to incur significant operating expenses as it continues to grow its business. The Company believes that its operating losses and negative operating cash flows will continue into the foreseeable future. The Companys history of recurring losses, negative operating cash flows and the need to raise additional funding to finance its operations raise substantial doubt about the Companys ability to continue as a going concern. The Companys ability to continue as a going concern requires that the Company obtain sufficient funding to finance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As more fully described in Note 16, the Company was acquired by Complete Solar Holding Corporation (Complete Solar) in November 2022 and formed Complete Solaria, Inc. (Complete Solaria). As a result, the Company became a wholly-owned indirect subsidiary of Complete Solaria at that time. Subsequent to the acquisition, the combined company does business as Complete Solaria. As discussed in Note 16, Complete Solarias plan is to seek additional funding through completion of a business combination with Freedom Acquisition Corp. (Freedom), a special purpose acquisition corporation (SPAC). At this time, Complete Solaria is focused on completing the business combination, which is subject to approval of the shareholders of both companies, regulatory approval from the Securities and Exchange Commission (SEC) and other customary closing conditions and is limited in its efforts to raise additional capital from secondary sources. </w:t>
      </w:r>
    </w:p>
    <w:p>
      <w:pPr>
        <w:pStyle w:val="TextBody"/>
        <w:bidi w:val="0"/>
        <w:spacing w:before="120" w:after="0"/>
        <w:jc w:val="left"/>
        <w:rPr>
          <w:rFonts w:ascii="Times New Roman" w:hAnsi="Times New Roman"/>
          <w:sz w:val="20"/>
        </w:rPr>
      </w:pPr>
      <w:r>
        <w:rPr>
          <w:rFonts w:ascii="Times New Roman" w:hAnsi="Times New Roman"/>
          <w:sz w:val="20"/>
        </w:rPr>
        <w:t xml:space="preserve">If Complete Solaria fails to complete this business combination, it plans to continue to fund its operations and capital funding needs through a combination of private equity offerings, debt financings and other sources. If Complete Solaria is not able to secure adequate additional funding when needed, it will need to reevaluate its operating plan and may be forced to make reductions in spending, extend payment terms with suppliers, liquidate assets where possible, or suspend or curtail planned programs or cease operations entirely. These actions could materially impact Complete Solaria and its subsidiary Solarias, results of operations and future prospects. </w:t>
      </w:r>
    </w:p>
    <w:p>
      <w:pPr>
        <w:pStyle w:val="TextBody"/>
        <w:bidi w:val="0"/>
        <w:spacing w:before="120" w:after="0"/>
        <w:jc w:val="left"/>
        <w:rPr>
          <w:rFonts w:ascii="Times New Roman" w:hAnsi="Times New Roman"/>
          <w:sz w:val="20"/>
        </w:rPr>
      </w:pPr>
      <w:r>
        <w:rPr>
          <w:rFonts w:ascii="Times New Roman" w:hAnsi="Times New Roman"/>
          <w:sz w:val="20"/>
        </w:rPr>
        <w:t xml:space="preserve">While Complete Solaria and Solaria have historically been able to raise multiple rounds of financing, there can be no assurance that in the event additional financing is required, such financing will be available on terms that are favorable, or at all. Failure to generate sufficient cash flows from operations, raise additional capital or reduce certain discretionary spending would have a material adverse effect on Complete Solaria and its subsidiary Solarias ability to achieve their intended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Therefore, there is substantial doubt about Solarias ability to continue as a going concern within one year after the date that the financial statements are issued. The accompanying financial statements have been prepared assuming Solaria will continue to operate as a going concern, which contemplates the realization of assets and settlement of liabilities in the normal course of business. They do not include any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reflect the possible future effects on the recoverability and classification of assets or the amounts and classifications of liabilities that may result from uncertainty related to its ability to continue as a going concern.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SUMMARY OF SIGNIFICANT ACCOUNTING POLICIES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Basis of Presentation</w:t>
      </w:r>
      <w:r>
        <w:rPr>
          <w:rFonts w:ascii="Times New Roman" w:hAnsi="Times New Roman"/>
          <w:sz w:val="20"/>
        </w:rPr>
        <w:t xml:space="preserve"> The Companys unaudited condensed consolidated financial statements and accompanying notes have been prepared in accordance with accounting principles generally accepted in the United States of America (U.S. GAAP). The unaudited condensed consolidated financial statements include the accounts of the Company and its wholly-owned subsidiaries, Solaria Australia Pty. Ltd and TSC PowerHome BVd PLV Inc. All intercompany balances and transactions have been eliminated in consolidation. </w:t>
      </w:r>
    </w:p>
    <w:p>
      <w:pPr>
        <w:pStyle w:val="TextBody"/>
        <w:bidi w:val="0"/>
        <w:spacing w:before="120" w:after="0"/>
        <w:jc w:val="left"/>
        <w:rPr>
          <w:rFonts w:ascii="Times New Roman" w:hAnsi="Times New Roman"/>
          <w:sz w:val="20"/>
        </w:rPr>
      </w:pPr>
      <w:r>
        <w:rPr>
          <w:rFonts w:ascii="Times New Roman" w:hAnsi="Times New Roman"/>
          <w:sz w:val="20"/>
        </w:rPr>
        <w:t xml:space="preserve">Certain information and note disclosures normally included in financial statements prepared in accordance with U.S. GAAP have been condensed or omitted. Accordingly, these unaudited condensed consolidated financial statements should be read in conjunction with the Companys audited consolidated financial statements and accompanying notes for the years ended December 31, 2021 and 2020. The unaudited condensed consolidated balance sheet as of December 31, 2021, included herein, was derived from the audited consolidated balance sheet of the Company as of that date. In the opinion of management, these unaudited condensed consolidated financial statements reflect all normal recurring adjustments, or a description of the nature and amount of any adjustments other than normal recurring adjustments, necessary to present fairly the Companys financial position as of September 30, 2022 and December 31, 2021, the Companys results of operations and comprehensive loss, redeemable convertible preferred stock and stockholders deficit activities, and cash flows for the nine months ended September 30, 2022 and 2021. </w:t>
      </w:r>
    </w:p>
    <w:p>
      <w:pPr>
        <w:pStyle w:val="TextBody"/>
        <w:bidi w:val="0"/>
        <w:spacing w:before="120" w:after="0"/>
        <w:jc w:val="left"/>
        <w:rPr>
          <w:rFonts w:ascii="Times New Roman" w:hAnsi="Times New Roman"/>
          <w:sz w:val="20"/>
        </w:rPr>
      </w:pPr>
      <w:r>
        <w:rPr>
          <w:rFonts w:ascii="Times New Roman" w:hAnsi="Times New Roman"/>
          <w:b/>
          <w:sz w:val="20"/>
        </w:rPr>
        <w:t>Significant Risks and Uncertainties</w:t>
      </w:r>
      <w:r>
        <w:rPr>
          <w:rFonts w:ascii="Times New Roman" w:hAnsi="Times New Roman"/>
          <w:sz w:val="20"/>
        </w:rPr>
        <w:t xml:space="preserve"> The Company is subject to a number of risks that are similar to those which other companies of similar size in its industry are facing, including, but not limited to, the need for successful development of products, the need for additional capital (or financing) to fund operations, competition from substitute products and services from larger companies, ability to develop sales channels and to onboard channel partners, as defined, protection of proprietary technology, patent litigation, dependence on key customers, dependence on key individuals, and risks associated with changes in information technology. </w:t>
      </w:r>
    </w:p>
    <w:p>
      <w:pPr>
        <w:pStyle w:val="TextBody"/>
        <w:bidi w:val="0"/>
        <w:spacing w:before="120" w:after="0"/>
        <w:jc w:val="left"/>
        <w:rPr>
          <w:rFonts w:ascii="Times New Roman" w:hAnsi="Times New Roman"/>
          <w:sz w:val="20"/>
        </w:rPr>
      </w:pPr>
      <w:r>
        <w:rPr>
          <w:rFonts w:ascii="Times New Roman" w:hAnsi="Times New Roman"/>
          <w:sz w:val="20"/>
        </w:rPr>
        <w:t xml:space="preserve">In March 2020, the World Health Organization declared the outbreak of a novel corona virus as a pandemic. The pandemic has reached every region of the world and has resulted in widespread impacts on the global economy. In response, the Company has modified certain business and workforce practices (including discontinuing non-essential business travel, implementing a temporary work-from-home policy for employees who can execute their work remotely and encouraging employees to adhere to local and regional social distancing guidelines, more stringent hygiene and cleaning protocols across the Companys facilities and operations and self-quarantining recommendations) to conform to restrictions and best practices encouraged by governmental and regulatory authorities. </w:t>
      </w:r>
    </w:p>
    <w:p>
      <w:pPr>
        <w:pStyle w:val="TextBody"/>
        <w:bidi w:val="0"/>
        <w:spacing w:before="120" w:after="0"/>
        <w:jc w:val="left"/>
        <w:rPr>
          <w:rFonts w:ascii="Times New Roman" w:hAnsi="Times New Roman"/>
          <w:sz w:val="20"/>
        </w:rPr>
      </w:pPr>
      <w:r>
        <w:rPr>
          <w:rFonts w:ascii="Times New Roman" w:hAnsi="Times New Roman"/>
          <w:sz w:val="20"/>
        </w:rPr>
        <w:t xml:space="preserve">The quarantine of personnel or the inability to access the Companys facilities or customer sites could adversely affect the Companys operations. As of the date of this report, the Companys efforts to respond to the challenges presented by the conditions described above have allowed the Companys to minimize the impacts of these challenges to its business. </w:t>
      </w:r>
    </w:p>
    <w:p>
      <w:pPr>
        <w:pStyle w:val="TextBody"/>
        <w:bidi w:val="0"/>
        <w:spacing w:before="240" w:after="0"/>
        <w:jc w:val="left"/>
        <w:rPr>
          <w:rFonts w:ascii="Times New Roman" w:hAnsi="Times New Roman"/>
          <w:sz w:val="20"/>
        </w:rPr>
      </w:pPr>
      <w:r>
        <w:rPr>
          <w:rFonts w:ascii="Times New Roman" w:hAnsi="Times New Roman"/>
          <w:b/>
          <w:sz w:val="20"/>
        </w:rPr>
        <w:t>Concentration of Credit Risk</w:t>
      </w:r>
      <w:r>
        <w:rPr>
          <w:rFonts w:ascii="Times New Roman" w:hAnsi="Times New Roman"/>
          <w:sz w:val="20"/>
        </w:rPr>
        <w:t xml:space="preserve"> Financial instruments that potentially subject the Company to concentration of credit risk consist of cash and cash equivalents and accounts receivable. Concentration risk for cash and cash equivalents is mitigated by banking with a creditworthy financial institution. At times, cash deposits have exceeded the federally insurable limit; however, the Company has not experienced any losses on its cash deposits and cash equivalents since inception. The Company generally does not require collateral or other security to support its accounts receivable. Credit is extended to customers based on an evaluation of their financial condition and other factors. The Company performs ongoing credit evaluations of its customers and maintains an allowance for doubtful accounts as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had two major customers for the nine months ended September 30, 2022 and 2021, respectively. Major customers are defined as customers generating revenue greater than 10% of the Companys product revenue. Revenue from the major customers accounted for 76% and 79% of revenue for the nine months ended September 30, 2022 and 2021, respectively. Accounts receivable from the two major customers totaled $2.2 million and $3.6 million as of September 30, 2022 and December 31, 2021, respectively. </w:t>
      </w:r>
    </w:p>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The preparation of unaudited condensed consolidated financial statements in accordance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Such estimates include warranty cost, allowances for doubtful accounts, determination of the net realizable value of inventory, determination of the useful lives of property and equipment, assessment of the recoverability and fair values of property and equipment, valuation of deferred tax assets and liabilities, estimation of other accruals and reserves, determination of the fair value of debt, redeemable convertible preferred stock, common stock, simple agreements for future equity, stock option and restricted stock grants, and redeemable convertible preferred stock and common stock warrants. Management evaluates its estimates and assumptions on an ongoing basis using historical trends, market pricing, current events and other relevant assumptions and data points. Actual results could differ from those estimates and such differences may be material to the unaudited condensed consolidated financial statements. </w:t>
      </w:r>
    </w:p>
    <w:p>
      <w:pPr>
        <w:pStyle w:val="TextBody"/>
        <w:bidi w:val="0"/>
        <w:spacing w:before="240" w:after="0"/>
        <w:jc w:val="left"/>
        <w:rPr>
          <w:rFonts w:ascii="Times New Roman" w:hAnsi="Times New Roman"/>
          <w:sz w:val="20"/>
        </w:rPr>
      </w:pPr>
      <w:r>
        <w:rPr>
          <w:rFonts w:ascii="Times New Roman" w:hAnsi="Times New Roman"/>
          <w:b/>
          <w:sz w:val="20"/>
        </w:rPr>
        <w:t>Transaction-Related Costs</w:t>
      </w:r>
      <w:r>
        <w:rPr>
          <w:rFonts w:ascii="Times New Roman" w:hAnsi="Times New Roman"/>
          <w:sz w:val="20"/>
        </w:rPr>
        <w:t xml:space="preserve">  Such costs primarily consist of legal and professional fees incurred in connection with the Companys merger with Complete Solar which is discussed in Note 16. </w:t>
      </w:r>
    </w:p>
    <w:p>
      <w:pPr>
        <w:pStyle w:val="TextBody"/>
        <w:bidi w:val="0"/>
        <w:spacing w:before="120" w:after="0"/>
        <w:jc w:val="left"/>
        <w:rPr>
          <w:rFonts w:ascii="Times New Roman" w:hAnsi="Times New Roman"/>
          <w:sz w:val="20"/>
        </w:rPr>
      </w:pPr>
      <w:r>
        <w:rPr>
          <w:rFonts w:ascii="Times New Roman" w:hAnsi="Times New Roman"/>
          <w:b/>
          <w:sz w:val="20"/>
        </w:rPr>
        <w:t xml:space="preserve">Significant Accounting Policies </w:t>
      </w:r>
      <w:r>
        <w:rPr>
          <w:rFonts w:ascii="Times New Roman" w:hAnsi="Times New Roman"/>
          <w:sz w:val="20"/>
        </w:rPr>
        <w:t xml:space="preserve"> There have been no material changes in the significant accounting policies described in our audited financial statements for the years ended December 31, 2021 and 2020. </w:t>
      </w:r>
    </w:p>
    <w:p>
      <w:pPr>
        <w:pStyle w:val="TextBody"/>
        <w:bidi w:val="0"/>
        <w:spacing w:before="120" w:after="0"/>
        <w:jc w:val="left"/>
        <w:rPr>
          <w:rFonts w:ascii="Times New Roman" w:hAnsi="Times New Roman"/>
          <w:sz w:val="20"/>
        </w:rPr>
      </w:pPr>
      <w:r>
        <w:rPr>
          <w:rFonts w:ascii="Times New Roman" w:hAnsi="Times New Roman"/>
          <w:b/>
          <w:sz w:val="20"/>
        </w:rPr>
        <w:t>Accounting Pronouncements Recently Adopted</w:t>
      </w:r>
      <w:r>
        <w:rPr>
          <w:rFonts w:ascii="Times New Roman" w:hAnsi="Times New Roman"/>
          <w:sz w:val="20"/>
        </w:rPr>
        <w:t xml:space="preserve">  In August 2020, the FASB issued ASU 2020-06, DebtDebt with Conversion and Other Options (Subtopic 470-20) and Derivatives and HedgingContracts in Entitys Own Equity (Subtopic 815-40): Accounting for Convertible Instruments and Contracts in an Entitys Own Equity (ASU 2020-06). The amendments in ASU 2020-06 simplify accounting for convertible instruments by removing major separation models required under current U.S. GAAP.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Also, ASU 2020-06 requires the application of the if-converted method for calculating diluted earnings per share and the treasury stock method will no longer be available. ASU 2020-06 is effective for interim and annual reporting periods beginning after December 15, 2023, with early adoption permitted, but no earlier than fiscal years beginning after December 15, 2020, including interim periods within those fiscal year. The Company adopted the new standard on January 1, 2022 under the modified retrospective approach resulting in a cumulative catch-up adjustment of $1.1 million to accumulated deficit and additional paid-in capital as of the date of adoption related to the beneficial conversion feature related to the 2018 Bridge Notes as discussed in Note 6. </w:t>
      </w:r>
    </w:p>
    <w:p>
      <w:pPr>
        <w:pStyle w:val="TextBody"/>
        <w:bidi w:val="0"/>
        <w:spacing w:before="240" w:after="0"/>
        <w:jc w:val="left"/>
        <w:rPr>
          <w:rFonts w:ascii="Times New Roman" w:hAnsi="Times New Roman"/>
          <w:sz w:val="20"/>
        </w:rPr>
      </w:pPr>
      <w:r>
        <w:rPr>
          <w:rFonts w:ascii="Times New Roman" w:hAnsi="Times New Roman"/>
          <w:sz w:val="20"/>
        </w:rPr>
        <w:t xml:space="preserve">In May 2021, the FASB issued ASU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This guidance clarifies certain aspects of the current guidance to promote consistency among reporting of an issuers accounting for modifications or exchanges of freestanding equity-classified written call options (for example, warrants) that remain equity classified after modification or exchange. The amendments in this update are effective for all entities for fiscal years beginning after December 15, 2021, including interim periods within those fiscal years. Early adoption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permitted for all entities, including adoption in an interim period. The Company adopted ASU 2021-04 under the private company transition guidance beginning January 1, 2022, the adoption did not have an impact on the Companys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2019, the FASB issued ASU 2019-12, Simplifying the Accounting for Income Taxes, which simplifies the accounting for income taxes, eliminates certain exceptions within ASC 740, Income Taxes, and clarifies certain aspects of the current guidance to promote consistency among reporting entities. ASU 2019-12 is effective for fiscal years beginning after December 15, 2021 and for interim periods within fiscal years beginning after December 15, 2022. Most amendments within this accounting standard are required to be applied on a prospective basis, while certain amendments must be applied on a retrospective or modified retrospective basis. The Company adopted ASU 2019-12 under the private company transition guidance beginning January 1, 2022, the adoption did not have an impact on the Companys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June 2016, the FASB issued ASU 2016-13, Financial Instruments  Credit Losses (Topic 326): Measurement of Credit Losses on Financial Instruments, which amends the FASBs guidance on the impairment of financial instruments. Topic 326 adds to GAAP an impairment model (known as the current expected credit loss model) that is based on expected losses rather than incurred losses. ASU 2016-13 is effective for the Companys annual and interim periods beginning after December 15, 2022 with early adoption permitted. The Company does not expect to early adopt the new standard. The Company is currently evaluating the impact of ASU 2016-13 on its unaudited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REVENUE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generates revenues from the sale of silicon photovoltaic solar panels and licensing of the Companys technology to third parties. </w:t>
      </w:r>
    </w:p>
    <w:p>
      <w:pPr>
        <w:pStyle w:val="TextBody"/>
        <w:bidi w:val="0"/>
        <w:spacing w:before="120" w:after="0"/>
        <w:jc w:val="left"/>
        <w:rPr>
          <w:rFonts w:ascii="Times New Roman" w:hAnsi="Times New Roman"/>
          <w:sz w:val="20"/>
        </w:rPr>
      </w:pPr>
      <w:r>
        <w:rPr>
          <w:rFonts w:ascii="Times New Roman" w:hAnsi="Times New Roman"/>
          <w:b/>
          <w:sz w:val="20"/>
        </w:rPr>
        <w:t>Product Sales</w:t>
      </w:r>
      <w:r>
        <w:rPr>
          <w:rFonts w:ascii="Times New Roman" w:hAnsi="Times New Roman"/>
          <w:i/>
          <w:sz w:val="20"/>
        </w:rPr>
        <w:t xml:space="preserve"> </w:t>
      </w:r>
      <w:r>
        <w:rPr>
          <w:rFonts w:ascii="Times New Roman" w:hAnsi="Times New Roman"/>
          <w:sz w:val="20"/>
        </w:rPr>
        <w:t xml:space="preserve">The Company recognizes revenue from sales of products as control is transferred to customers, which generally occurs upon delivery to the customers premises. Other than standard warranty obligations, there are no rights of return or significant post-shipment obligations with respect to the Companys products. Contracts with customers consist of a single performance obligation, hence the entire transaction price is allocated to this single performance obligation. In determining the transaction price in contracts with customers, the Company reduces revenue for the estimated costs of customer and distributor programs and incentive offerings such as price protection and rebates. Any provision for customer and distributor programs and other discounts is recorded as a reduction of revenue at the time of sale based on an evaluation of the contract terms and historical experience. </w:t>
      </w:r>
    </w:p>
    <w:p>
      <w:pPr>
        <w:pStyle w:val="TextBody"/>
        <w:bidi w:val="0"/>
        <w:spacing w:before="120" w:after="0"/>
        <w:jc w:val="left"/>
        <w:rPr>
          <w:rFonts w:ascii="Times New Roman" w:hAnsi="Times New Roman"/>
          <w:sz w:val="20"/>
        </w:rPr>
      </w:pPr>
      <w:r>
        <w:rPr>
          <w:rFonts w:ascii="Times New Roman" w:hAnsi="Times New Roman"/>
          <w:b/>
          <w:sz w:val="20"/>
        </w:rPr>
        <w:t xml:space="preserve">License Revenue </w:t>
      </w:r>
      <w:r>
        <w:rPr>
          <w:rFonts w:ascii="Times New Roman" w:hAnsi="Times New Roman"/>
          <w:i/>
          <w:sz w:val="20"/>
        </w:rPr>
        <w:t></w:t>
      </w:r>
      <w:r>
        <w:rPr>
          <w:rFonts w:ascii="Times New Roman" w:hAnsi="Times New Roman"/>
          <w:sz w:val="20"/>
        </w:rPr>
        <w:t xml:space="preserve"> The Company derives revenue from the licensing of the Companys technology to third parties. Revenue from functional IP licensing arrangements is recognized at a point in time when control over the licensed technology is transferred to the customer. License fees, i.e., royalties, that are not fixed at contract inception are recognized over time upon occurrence of the later of the subsequent technology sale or usage, or satisfaction of the performance obligation to which some or all of the usage-based royalty relates. In March 2022, the Company settled litigation with a customer in relation to an arrangement for which $4.5 million had been recognized in license revenue in fiscal year 2019. The $0.45 million loss incurred upon settlement is included in General and administrative expenses in the Unaudited Condensed Consolidated Statement of Operations and Comprehensive Loss for the nine months ended September 30, 2022. The Company recognized license revenue amounting to $0.01 million and $0.02 million for the nine months ended September 30, 2022, and 2021,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Disaggregated revenue by primary geographical market and business activity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58"/>
        <w:gridCol w:w="285"/>
        <w:gridCol w:w="141"/>
        <w:gridCol w:w="1210"/>
        <w:gridCol w:w="60"/>
        <w:gridCol w:w="285"/>
        <w:gridCol w:w="141"/>
        <w:gridCol w:w="1210"/>
        <w:gridCol w:w="65"/>
      </w:tblGrid>
      <w:tr>
        <w:trPr/>
        <w:tc>
          <w:tcPr>
            <w:tcW w:w="4358"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58"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3047"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65" w:type="dxa"/>
            <w:tcBorders/>
            <w:vAlign w:val="bottom"/>
          </w:tcPr>
          <w:p>
            <w:pPr>
              <w:pStyle w:val="TableContents"/>
              <w:bidi w:val="0"/>
              <w:spacing w:before="0" w:after="283"/>
              <w:jc w:val="left"/>
              <w:rPr/>
            </w:pPr>
            <w:r>
              <w:rPr/>
              <w:t> </w:t>
            </w:r>
          </w:p>
        </w:tc>
      </w:tr>
      <w:tr>
        <w:trPr/>
        <w:tc>
          <w:tcPr>
            <w:tcW w:w="4358"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Primary geographical markets</w:t>
            </w:r>
          </w:p>
        </w:tc>
        <w:tc>
          <w:tcPr>
            <w:tcW w:w="2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        </w:t>
            </w:r>
            <w:r>
              <w:rPr/>
              <w:t>26,566</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        </w:t>
            </w:r>
            <w:r>
              <w:rPr/>
              <w:t>46,159</w:t>
            </w:r>
          </w:p>
        </w:tc>
        <w:tc>
          <w:tcPr>
            <w:tcW w:w="65"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2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4,260</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1,802</w:t>
            </w:r>
          </w:p>
        </w:tc>
        <w:tc>
          <w:tcPr>
            <w:tcW w:w="65" w:type="dxa"/>
            <w:tcBorders/>
            <w:shd w:fill="CCEEFF" w:val="clear"/>
            <w:vAlign w:val="bottom"/>
          </w:tcPr>
          <w:p>
            <w:pPr>
              <w:pStyle w:val="TableContents"/>
              <w:bidi w:val="0"/>
              <w:spacing w:before="0" w:after="283"/>
              <w:jc w:val="left"/>
              <w:rPr/>
            </w:pPr>
            <w:r>
              <w:rPr/>
              <w:t> </w:t>
            </w:r>
          </w:p>
        </w:tc>
      </w:tr>
      <w:tr>
        <w:trPr/>
        <w:tc>
          <w:tcPr>
            <w:tcW w:w="435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30,826</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47,961</w:t>
            </w:r>
          </w:p>
        </w:tc>
        <w:tc>
          <w:tcPr>
            <w:tcW w:w="65" w:type="dxa"/>
            <w:tcBorders/>
            <w:vAlign w:val="bottom"/>
          </w:tcPr>
          <w:p>
            <w:pPr>
              <w:pStyle w:val="TableContents"/>
              <w:bidi w:val="0"/>
              <w:spacing w:before="0" w:after="283"/>
              <w:jc w:val="left"/>
              <w:rPr/>
            </w:pPr>
            <w:r>
              <w:rPr/>
              <w:t> </w:t>
            </w:r>
          </w:p>
        </w:tc>
      </w:tr>
      <w:tr>
        <w:trPr/>
        <w:tc>
          <w:tcPr>
            <w:tcW w:w="435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sales</w:t>
            </w:r>
          </w:p>
        </w:tc>
        <w:tc>
          <w:tcPr>
            <w:tcW w:w="2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30,817</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47,938</w:t>
            </w:r>
          </w:p>
        </w:tc>
        <w:tc>
          <w:tcPr>
            <w:tcW w:w="65"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Royalty</w:t>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435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30,826</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47,961</w:t>
            </w:r>
          </w:p>
        </w:tc>
        <w:tc>
          <w:tcPr>
            <w:tcW w:w="65" w:type="dxa"/>
            <w:tcBorders/>
            <w:shd w:fill="CCEEFF" w:val="clear"/>
            <w:vAlign w:val="bottom"/>
          </w:tcPr>
          <w:p>
            <w:pPr>
              <w:pStyle w:val="TableContents"/>
              <w:bidi w:val="0"/>
              <w:spacing w:before="0" w:after="283"/>
              <w:jc w:val="left"/>
              <w:rPr/>
            </w:pPr>
            <w:r>
              <w:rPr/>
              <w:t> </w:t>
            </w:r>
          </w:p>
        </w:tc>
      </w:tr>
      <w:tr>
        <w:trPr/>
        <w:tc>
          <w:tcPr>
            <w:tcW w:w="435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Contract Balances </w:t>
      </w:r>
      <w:r>
        <w:rPr>
          <w:rFonts w:ascii="Times New Roman" w:hAnsi="Times New Roman"/>
          <w:sz w:val="20"/>
        </w:rPr>
        <w:t xml:space="preserve">Contract liabilities consist of deferred revenue or customer deposits and relate to amounts invoiced-to or advance consideration received from customers, which precede the Companys satisfaction of the associated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is a rollforward of deferred revenue as of September 30, 2022 and December 31, 2021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7"/>
        <w:gridCol w:w="535"/>
        <w:gridCol w:w="332"/>
        <w:gridCol w:w="1091"/>
        <w:gridCol w:w="155"/>
        <w:gridCol w:w="496"/>
        <w:gridCol w:w="244"/>
        <w:gridCol w:w="1117"/>
        <w:gridCol w:w="158"/>
      </w:tblGrid>
      <w:tr>
        <w:trPr/>
        <w:tc>
          <w:tcPr>
            <w:tcW w:w="3627"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2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361"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8"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revenuebeginning balance</w:t>
            </w:r>
          </w:p>
        </w:tc>
        <w:tc>
          <w:tcPr>
            <w:tcW w:w="53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1091"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2,070</w:t>
            </w:r>
          </w:p>
        </w:tc>
        <w:tc>
          <w:tcPr>
            <w:tcW w:w="158"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53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291</w:t>
            </w:r>
          </w:p>
        </w:tc>
        <w:tc>
          <w:tcPr>
            <w:tcW w:w="15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1,494</w:t>
            </w:r>
          </w:p>
        </w:tc>
        <w:tc>
          <w:tcPr>
            <w:tcW w:w="158"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recognized</w:t>
            </w:r>
          </w:p>
        </w:tc>
        <w:tc>
          <w:tcPr>
            <w:tcW w:w="53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(3,489</w:t>
            </w:r>
          </w:p>
        </w:tc>
        <w:tc>
          <w:tcPr>
            <w:tcW w:w="158" w:type="dxa"/>
            <w:tcBorders/>
            <w:shd w:fill="CCEEFF" w:val="clear"/>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revenueending balance</w:t>
            </w:r>
          </w:p>
        </w:tc>
        <w:tc>
          <w:tcPr>
            <w:tcW w:w="53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117" w:type="dxa"/>
            <w:tcBorders/>
            <w:vAlign w:val="bottom"/>
          </w:tcPr>
          <w:p>
            <w:pPr>
              <w:pStyle w:val="TableContents"/>
              <w:bidi w:val="0"/>
              <w:spacing w:before="0" w:after="283"/>
              <w:jc w:val="right"/>
              <w:rPr/>
            </w:pPr>
            <w:r>
              <w:rPr/>
              <w:t>75</w:t>
            </w:r>
          </w:p>
        </w:tc>
        <w:tc>
          <w:tcPr>
            <w:tcW w:w="158" w:type="dxa"/>
            <w:tcBorders/>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2022 and December 31, 2021, the Companys deferred revenue is expected to be recognized during the succeeding 12-month period and is therefore presented as deferred revenue, current, in the Unaudited Condensed Consolidated Balance Sheets.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FINANCIAL STATEMENT COMPONENTS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Restricted Cash</w:t>
      </w:r>
      <w:r>
        <w:rPr>
          <w:rFonts w:ascii="Times New Roman" w:hAnsi="Times New Roman"/>
          <w:sz w:val="20"/>
        </w:rPr>
        <w:t xml:space="preserve"> The Company classifies all cash for which usage is limited by contractual provisions as restricted cash. Restricted cash consists of $3.7 million and $4.8 million deposited in money market account, which is used as cash collateral backing letters of credit related to customs duty authorities requirements as of September 30, 2022 and December 31, 2021, respectively. The Company has presented these balances under noncurrent assets in the Unaudited Condensed Consolidated Balance Sheets. </w:t>
      </w:r>
    </w:p>
    <w:p>
      <w:pPr>
        <w:pStyle w:val="TextBody"/>
        <w:bidi w:val="0"/>
        <w:spacing w:before="120" w:after="0"/>
        <w:jc w:val="left"/>
        <w:rPr>
          <w:rFonts w:ascii="Times New Roman" w:hAnsi="Times New Roman"/>
          <w:sz w:val="20"/>
        </w:rPr>
      </w:pPr>
      <w:r>
        <w:rPr>
          <w:rFonts w:ascii="Times New Roman" w:hAnsi="Times New Roman"/>
          <w:sz w:val="20"/>
        </w:rPr>
        <w:t xml:space="preserve">Total cash, cash equivalents and restricted cash is presented in the table below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8"/>
        <w:gridCol w:w="446"/>
        <w:gridCol w:w="284"/>
        <w:gridCol w:w="1137"/>
        <w:gridCol w:w="60"/>
        <w:gridCol w:w="446"/>
        <w:gridCol w:w="231"/>
        <w:gridCol w:w="1130"/>
        <w:gridCol w:w="63"/>
      </w:tblGrid>
      <w:tr>
        <w:trPr/>
        <w:tc>
          <w:tcPr>
            <w:tcW w:w="3958"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58"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361" w:type="dxa"/>
            <w:gridSpan w:val="2"/>
            <w:tcBorders/>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3958"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2,107</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9,113</w:t>
            </w:r>
          </w:p>
        </w:tc>
        <w:tc>
          <w:tcPr>
            <w:tcW w:w="63" w:type="dxa"/>
            <w:tcBorders/>
            <w:shd w:fill="CCEEFF" w:val="clear"/>
            <w:vAlign w:val="bottom"/>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46"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3,742</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4,802</w:t>
            </w:r>
          </w:p>
        </w:tc>
        <w:tc>
          <w:tcPr>
            <w:tcW w:w="63" w:type="dxa"/>
            <w:tcBorders/>
            <w:vAlign w:val="bottom"/>
          </w:tcPr>
          <w:p>
            <w:pPr>
              <w:pStyle w:val="TableContents"/>
              <w:bidi w:val="0"/>
              <w:spacing w:before="0" w:after="283"/>
              <w:jc w:val="left"/>
              <w:rPr/>
            </w:pPr>
            <w:r>
              <w:rPr/>
              <w:t> </w:t>
            </w:r>
          </w:p>
        </w:tc>
      </w:tr>
      <w:tr>
        <w:trPr/>
        <w:tc>
          <w:tcPr>
            <w:tcW w:w="3958"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4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5,849</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13,915</w:t>
            </w:r>
          </w:p>
        </w:tc>
        <w:tc>
          <w:tcPr>
            <w:tcW w:w="63" w:type="dxa"/>
            <w:tcBorders/>
            <w:shd w:fill="CCEEFF" w:val="clear"/>
            <w:vAlign w:val="bottom"/>
          </w:tcPr>
          <w:p>
            <w:pPr>
              <w:pStyle w:val="TableContents"/>
              <w:bidi w:val="0"/>
              <w:spacing w:before="0" w:after="283"/>
              <w:jc w:val="left"/>
              <w:rPr/>
            </w:pPr>
            <w:r>
              <w:rPr/>
              <w:t> </w:t>
            </w:r>
          </w:p>
        </w:tc>
      </w:tr>
      <w:tr>
        <w:trPr/>
        <w:tc>
          <w:tcPr>
            <w:tcW w:w="3958"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Inventories</w:t>
      </w:r>
      <w:r>
        <w:rPr>
          <w:rFonts w:ascii="Times New Roman" w:hAnsi="Times New Roman"/>
          <w:sz w:val="20"/>
        </w:rPr>
        <w:t xml:space="preserve">The components of inventories as of September 30, 2022 and December 31, 2021, respectively,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0"/>
        <w:gridCol w:w="454"/>
        <w:gridCol w:w="283"/>
        <w:gridCol w:w="1133"/>
        <w:gridCol w:w="60"/>
        <w:gridCol w:w="454"/>
        <w:gridCol w:w="231"/>
        <w:gridCol w:w="1126"/>
        <w:gridCol w:w="64"/>
      </w:tblGrid>
      <w:tr>
        <w:trPr/>
        <w:tc>
          <w:tcPr>
            <w:tcW w:w="395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357" w:type="dxa"/>
            <w:gridSpan w:val="2"/>
            <w:tcBorders/>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45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4,010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16,928</w:t>
            </w:r>
          </w:p>
        </w:tc>
        <w:tc>
          <w:tcPr>
            <w:tcW w:w="64" w:type="dxa"/>
            <w:tcBorders/>
            <w:shd w:fill="CCEEFF" w:val="clear"/>
            <w:vAlign w:val="bottom"/>
          </w:tcPr>
          <w:p>
            <w:pPr>
              <w:pStyle w:val="TableContents"/>
              <w:bidi w:val="0"/>
              <w:spacing w:before="0" w:after="283"/>
              <w:jc w:val="left"/>
              <w:rPr/>
            </w:pPr>
            <w:r>
              <w:rPr/>
              <w:t> </w:t>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45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45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inventory, net</w:t>
            </w:r>
          </w:p>
        </w:tc>
        <w:tc>
          <w:tcPr>
            <w:tcW w:w="45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4,010</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26" w:type="dxa"/>
            <w:tcBorders/>
            <w:vAlign w:val="bottom"/>
          </w:tcPr>
          <w:p>
            <w:pPr>
              <w:pStyle w:val="TableContents"/>
              <w:bidi w:val="0"/>
              <w:spacing w:before="0" w:after="283"/>
              <w:jc w:val="right"/>
              <w:rPr/>
            </w:pPr>
            <w:r>
              <w:rPr/>
              <w:t>16,928</w:t>
            </w:r>
          </w:p>
        </w:tc>
        <w:tc>
          <w:tcPr>
            <w:tcW w:w="64"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2022 and December 31, 2021 reserves for inventory obsolescence were both $0.1 million. </w:t>
      </w:r>
    </w:p>
    <w:p>
      <w:pPr>
        <w:pStyle w:val="TextBody"/>
        <w:bidi w:val="0"/>
        <w:spacing w:before="240" w:after="0"/>
        <w:jc w:val="left"/>
        <w:rPr>
          <w:rFonts w:ascii="Times New Roman" w:hAnsi="Times New Roman"/>
          <w:sz w:val="20"/>
        </w:rPr>
      </w:pPr>
      <w:r>
        <w:rPr>
          <w:rFonts w:ascii="Times New Roman" w:hAnsi="Times New Roman"/>
          <w:b/>
          <w:sz w:val="20"/>
        </w:rPr>
        <w:t>Property and Equipment, net</w:t>
      </w:r>
      <w:r>
        <w:rPr>
          <w:rFonts w:ascii="Times New Roman" w:hAnsi="Times New Roman"/>
          <w:i/>
          <w:sz w:val="20"/>
        </w:rPr>
        <w:t xml:space="preserve"> </w:t>
      </w:r>
      <w:r>
        <w:rPr>
          <w:rFonts w:ascii="Times New Roman" w:hAnsi="Times New Roman"/>
          <w:sz w:val="20"/>
        </w:rPr>
        <w:t xml:space="preserve">Property and equipment, net as of September 30, 2022 and December 31, 2021,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10"/>
        <w:gridCol w:w="440"/>
        <w:gridCol w:w="255"/>
        <w:gridCol w:w="1167"/>
        <w:gridCol w:w="155"/>
        <w:gridCol w:w="403"/>
        <w:gridCol w:w="244"/>
        <w:gridCol w:w="1122"/>
        <w:gridCol w:w="159"/>
      </w:tblGrid>
      <w:tr>
        <w:trPr/>
        <w:tc>
          <w:tcPr>
            <w:tcW w:w="3810"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1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22" w:type="dxa"/>
            <w:gridSpan w:val="2"/>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3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Manufacturing equipment</w:t>
            </w:r>
          </w:p>
        </w:tc>
        <w:tc>
          <w:tcPr>
            <w:tcW w:w="44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7" w:type="dxa"/>
            <w:tcBorders/>
            <w:shd w:fill="CCEEFF" w:val="clear"/>
            <w:vAlign w:val="bottom"/>
          </w:tcPr>
          <w:p>
            <w:pPr>
              <w:pStyle w:val="TableContents"/>
              <w:bidi w:val="0"/>
              <w:spacing w:before="0" w:after="283"/>
              <w:jc w:val="right"/>
              <w:rPr/>
            </w:pPr>
            <w:r>
              <w:rPr/>
              <w:t>3,227</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3,195</w:t>
            </w:r>
          </w:p>
        </w:tc>
        <w:tc>
          <w:tcPr>
            <w:tcW w:w="159" w:type="dxa"/>
            <w:tcBorders/>
            <w:shd w:fill="CCEEFF" w:val="clear"/>
            <w:vAlign w:val="bottom"/>
          </w:tcPr>
          <w:p>
            <w:pPr>
              <w:pStyle w:val="TableContents"/>
              <w:bidi w:val="0"/>
              <w:spacing w:before="0" w:after="283"/>
              <w:jc w:val="left"/>
              <w:rPr/>
            </w:pPr>
            <w:r>
              <w:rPr/>
              <w:t> </w:t>
            </w:r>
          </w:p>
        </w:tc>
      </w:tr>
      <w:tr>
        <w:trPr/>
        <w:tc>
          <w:tcPr>
            <w:tcW w:w="3810"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w:t>
            </w:r>
          </w:p>
        </w:tc>
        <w:tc>
          <w:tcPr>
            <w:tcW w:w="44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875</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864</w:t>
            </w:r>
          </w:p>
        </w:tc>
        <w:tc>
          <w:tcPr>
            <w:tcW w:w="159" w:type="dxa"/>
            <w:tcBorders/>
            <w:vAlign w:val="bottom"/>
          </w:tcPr>
          <w:p>
            <w:pPr>
              <w:pStyle w:val="TableContents"/>
              <w:bidi w:val="0"/>
              <w:spacing w:before="0" w:after="283"/>
              <w:jc w:val="left"/>
              <w:rPr/>
            </w:pPr>
            <w:r>
              <w:rPr/>
              <w:t> </w:t>
            </w:r>
          </w:p>
        </w:tc>
      </w:tr>
      <w:tr>
        <w:trPr/>
        <w:tc>
          <w:tcPr>
            <w:tcW w:w="3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fixtures and office equipment</w:t>
            </w:r>
          </w:p>
        </w:tc>
        <w:tc>
          <w:tcPr>
            <w:tcW w:w="44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66</w:t>
            </w:r>
          </w:p>
        </w:tc>
        <w:tc>
          <w:tcPr>
            <w:tcW w:w="159"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10" w:type="dxa"/>
            <w:tcBorders/>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4,181</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4,125</w:t>
            </w:r>
          </w:p>
        </w:tc>
        <w:tc>
          <w:tcPr>
            <w:tcW w:w="159" w:type="dxa"/>
            <w:tcBorders/>
            <w:vAlign w:val="bottom"/>
          </w:tcPr>
          <w:p>
            <w:pPr>
              <w:pStyle w:val="TableContents"/>
              <w:bidi w:val="0"/>
              <w:spacing w:before="0" w:after="283"/>
              <w:jc w:val="left"/>
              <w:rPr/>
            </w:pPr>
            <w:r>
              <w:rPr/>
              <w:t> </w:t>
            </w:r>
          </w:p>
        </w:tc>
      </w:tr>
      <w:tr>
        <w:trPr/>
        <w:tc>
          <w:tcPr>
            <w:tcW w:w="3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4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(3,345</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(3,126</w:t>
            </w:r>
          </w:p>
        </w:tc>
        <w:tc>
          <w:tcPr>
            <w:tcW w:w="159"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10"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 net</w:t>
            </w:r>
          </w:p>
        </w:tc>
        <w:tc>
          <w:tcPr>
            <w:tcW w:w="44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7" w:type="dxa"/>
            <w:tcBorders/>
            <w:vAlign w:val="bottom"/>
          </w:tcPr>
          <w:p>
            <w:pPr>
              <w:pStyle w:val="TableContents"/>
              <w:bidi w:val="0"/>
              <w:spacing w:before="0" w:after="283"/>
              <w:jc w:val="right"/>
              <w:rPr/>
            </w:pPr>
            <w:r>
              <w:rPr/>
              <w:t>836</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999</w:t>
            </w:r>
          </w:p>
        </w:tc>
        <w:tc>
          <w:tcPr>
            <w:tcW w:w="159" w:type="dxa"/>
            <w:tcBorders/>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depreciation expense for the nine months ended September 30, 2022 and 2021, was $0.2 million and $0.9 million, respectively. </w:t>
      </w:r>
    </w:p>
    <w:p>
      <w:pPr>
        <w:pStyle w:val="TextBody"/>
        <w:bidi w:val="0"/>
        <w:spacing w:before="120" w:after="0"/>
        <w:jc w:val="left"/>
        <w:rPr>
          <w:rFonts w:ascii="Times New Roman" w:hAnsi="Times New Roman"/>
          <w:sz w:val="20"/>
        </w:rPr>
      </w:pPr>
      <w:r>
        <w:rPr>
          <w:rFonts w:ascii="Times New Roman" w:hAnsi="Times New Roman"/>
          <w:b/>
          <w:sz w:val="20"/>
        </w:rPr>
        <w:t>Accrued Expenses and Other Current Liabilities</w:t>
      </w:r>
      <w:r>
        <w:rPr>
          <w:rFonts w:ascii="Times New Roman" w:hAnsi="Times New Roman"/>
          <w:i/>
          <w:sz w:val="20"/>
        </w:rPr>
        <w:t xml:space="preserve"> </w:t>
      </w:r>
      <w:r>
        <w:rPr>
          <w:rFonts w:ascii="Times New Roman" w:hAnsi="Times New Roman"/>
          <w:sz w:val="20"/>
        </w:rPr>
        <w:t xml:space="preserve">Accrued expenses and other current liabilities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28"/>
        <w:gridCol w:w="447"/>
        <w:gridCol w:w="251"/>
        <w:gridCol w:w="1185"/>
        <w:gridCol w:w="60"/>
        <w:gridCol w:w="447"/>
        <w:gridCol w:w="231"/>
        <w:gridCol w:w="1142"/>
        <w:gridCol w:w="64"/>
      </w:tblGrid>
      <w:tr>
        <w:trPr/>
        <w:tc>
          <w:tcPr>
            <w:tcW w:w="3928"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28"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436"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373" w:type="dxa"/>
            <w:gridSpan w:val="2"/>
            <w:tcBorders/>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3928"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3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purchases</w:t>
            </w:r>
          </w:p>
        </w:tc>
        <w:tc>
          <w:tcPr>
            <w:tcW w:w="44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3,950</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2,657</w:t>
            </w:r>
          </w:p>
        </w:tc>
        <w:tc>
          <w:tcPr>
            <w:tcW w:w="64" w:type="dxa"/>
            <w:tcBorders/>
            <w:shd w:fill="CCEEFF" w:val="clear"/>
            <w:vAlign w:val="bottom"/>
          </w:tcPr>
          <w:p>
            <w:pPr>
              <w:pStyle w:val="TableContents"/>
              <w:bidi w:val="0"/>
              <w:spacing w:before="0" w:after="283"/>
              <w:jc w:val="left"/>
              <w:rPr/>
            </w:pPr>
            <w:r>
              <w:rPr/>
              <w:t> </w:t>
            </w:r>
          </w:p>
        </w:tc>
      </w:tr>
      <w:tr>
        <w:trPr/>
        <w:tc>
          <w:tcPr>
            <w:tcW w:w="3928" w:type="dxa"/>
            <w:tcBorders/>
          </w:tcPr>
          <w:p>
            <w:pPr>
              <w:pStyle w:val="TableContents"/>
              <w:bidi w:val="0"/>
              <w:spacing w:before="0" w:after="0"/>
              <w:jc w:val="left"/>
              <w:rPr>
                <w:rFonts w:ascii="Times New Roman" w:hAnsi="Times New Roman"/>
                <w:sz w:val="20"/>
              </w:rPr>
            </w:pPr>
            <w:r>
              <w:rPr>
                <w:rFonts w:ascii="Times New Roman" w:hAnsi="Times New Roman"/>
                <w:sz w:val="20"/>
              </w:rPr>
              <w:t>Accrued rebates and credits</w:t>
            </w:r>
          </w:p>
        </w:tc>
        <w:tc>
          <w:tcPr>
            <w:tcW w:w="44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696</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1,967</w:t>
            </w:r>
          </w:p>
        </w:tc>
        <w:tc>
          <w:tcPr>
            <w:tcW w:w="64" w:type="dxa"/>
            <w:tcBorders/>
            <w:vAlign w:val="bottom"/>
          </w:tcPr>
          <w:p>
            <w:pPr>
              <w:pStyle w:val="TableContents"/>
              <w:bidi w:val="0"/>
              <w:spacing w:before="0" w:after="283"/>
              <w:jc w:val="left"/>
              <w:rPr/>
            </w:pPr>
            <w:r>
              <w:rPr/>
              <w:t> </w:t>
            </w:r>
          </w:p>
        </w:tc>
      </w:tr>
      <w:tr>
        <w:trPr/>
        <w:tc>
          <w:tcPr>
            <w:tcW w:w="3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cost, current</w:t>
            </w:r>
          </w:p>
        </w:tc>
        <w:tc>
          <w:tcPr>
            <w:tcW w:w="44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87</w:t>
            </w:r>
          </w:p>
        </w:tc>
        <w:tc>
          <w:tcPr>
            <w:tcW w:w="64" w:type="dxa"/>
            <w:tcBorders/>
            <w:shd w:fill="CCEEFF" w:val="clear"/>
            <w:vAlign w:val="bottom"/>
          </w:tcPr>
          <w:p>
            <w:pPr>
              <w:pStyle w:val="TableContents"/>
              <w:bidi w:val="0"/>
              <w:spacing w:before="0" w:after="283"/>
              <w:jc w:val="left"/>
              <w:rPr/>
            </w:pPr>
            <w:r>
              <w:rPr/>
              <w:t> </w:t>
            </w:r>
          </w:p>
        </w:tc>
      </w:tr>
      <w:tr>
        <w:trPr/>
        <w:tc>
          <w:tcPr>
            <w:tcW w:w="3928" w:type="dxa"/>
            <w:tcBorders/>
          </w:tcPr>
          <w:p>
            <w:pPr>
              <w:pStyle w:val="TableContents"/>
              <w:bidi w:val="0"/>
              <w:spacing w:before="0" w:after="0"/>
              <w:jc w:val="left"/>
              <w:rPr>
                <w:rFonts w:ascii="Times New Roman" w:hAnsi="Times New Roman"/>
                <w:sz w:val="20"/>
              </w:rPr>
            </w:pPr>
            <w:r>
              <w:rPr>
                <w:rFonts w:ascii="Times New Roman" w:hAnsi="Times New Roman"/>
                <w:sz w:val="20"/>
              </w:rPr>
              <w:t>Other taxes payable</w:t>
            </w:r>
          </w:p>
        </w:tc>
        <w:tc>
          <w:tcPr>
            <w:tcW w:w="44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956</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1,053</w:t>
            </w:r>
          </w:p>
        </w:tc>
        <w:tc>
          <w:tcPr>
            <w:tcW w:w="64" w:type="dxa"/>
            <w:tcBorders/>
            <w:vAlign w:val="bottom"/>
          </w:tcPr>
          <w:p>
            <w:pPr>
              <w:pStyle w:val="TableContents"/>
              <w:bidi w:val="0"/>
              <w:spacing w:before="0" w:after="283"/>
              <w:jc w:val="left"/>
              <w:rPr/>
            </w:pPr>
            <w:r>
              <w:rPr/>
              <w:t> </w:t>
            </w:r>
          </w:p>
        </w:tc>
      </w:tr>
      <w:tr>
        <w:trPr/>
        <w:tc>
          <w:tcPr>
            <w:tcW w:w="3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deposits</w:t>
            </w:r>
          </w:p>
        </w:tc>
        <w:tc>
          <w:tcPr>
            <w:tcW w:w="44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786</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773</w:t>
            </w:r>
          </w:p>
        </w:tc>
        <w:tc>
          <w:tcPr>
            <w:tcW w:w="64" w:type="dxa"/>
            <w:tcBorders/>
            <w:shd w:fill="CCEEFF" w:val="clear"/>
            <w:vAlign w:val="bottom"/>
          </w:tcPr>
          <w:p>
            <w:pPr>
              <w:pStyle w:val="TableContents"/>
              <w:bidi w:val="0"/>
              <w:spacing w:before="0" w:after="283"/>
              <w:jc w:val="left"/>
              <w:rPr/>
            </w:pPr>
            <w:r>
              <w:rPr/>
              <w:t> </w:t>
            </w:r>
          </w:p>
        </w:tc>
      </w:tr>
      <w:tr>
        <w:trPr/>
        <w:tc>
          <w:tcPr>
            <w:tcW w:w="3928"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w:t>
            </w:r>
          </w:p>
        </w:tc>
        <w:tc>
          <w:tcPr>
            <w:tcW w:w="44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629</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784</w:t>
            </w:r>
          </w:p>
        </w:tc>
        <w:tc>
          <w:tcPr>
            <w:tcW w:w="64" w:type="dxa"/>
            <w:tcBorders/>
            <w:vAlign w:val="bottom"/>
          </w:tcPr>
          <w:p>
            <w:pPr>
              <w:pStyle w:val="TableContents"/>
              <w:bidi w:val="0"/>
              <w:spacing w:before="0" w:after="283"/>
              <w:jc w:val="left"/>
              <w:rPr/>
            </w:pPr>
            <w:r>
              <w:rPr/>
              <w:t> </w:t>
            </w:r>
          </w:p>
        </w:tc>
      </w:tr>
      <w:tr>
        <w:trPr/>
        <w:tc>
          <w:tcPr>
            <w:tcW w:w="3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44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150</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92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amount payable to a vendor (Note 13)</w:t>
            </w:r>
          </w:p>
        </w:tc>
        <w:tc>
          <w:tcPr>
            <w:tcW w:w="44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1,420</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1,699</w:t>
            </w:r>
          </w:p>
        </w:tc>
        <w:tc>
          <w:tcPr>
            <w:tcW w:w="64" w:type="dxa"/>
            <w:tcBorders/>
            <w:vAlign w:val="bottom"/>
          </w:tcPr>
          <w:p>
            <w:pPr>
              <w:pStyle w:val="TableContents"/>
              <w:bidi w:val="0"/>
              <w:spacing w:before="0" w:after="283"/>
              <w:jc w:val="left"/>
              <w:rPr/>
            </w:pPr>
            <w:r>
              <w:rPr/>
              <w:t> </w:t>
            </w:r>
          </w:p>
        </w:tc>
      </w:tr>
      <w:tr>
        <w:trPr/>
        <w:tc>
          <w:tcPr>
            <w:tcW w:w="3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SCI Term Loan and Revolving Loan amendment fees (Note 6)</w:t>
            </w:r>
          </w:p>
        </w:tc>
        <w:tc>
          <w:tcPr>
            <w:tcW w:w="44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1,700</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1,700</w:t>
            </w:r>
          </w:p>
        </w:tc>
        <w:tc>
          <w:tcPr>
            <w:tcW w:w="64" w:type="dxa"/>
            <w:tcBorders/>
            <w:shd w:fill="CCEEFF" w:val="clear"/>
            <w:vAlign w:val="bottom"/>
          </w:tcPr>
          <w:p>
            <w:pPr>
              <w:pStyle w:val="TableContents"/>
              <w:bidi w:val="0"/>
              <w:spacing w:before="0" w:after="283"/>
              <w:jc w:val="left"/>
              <w:rPr/>
            </w:pPr>
            <w:r>
              <w:rPr/>
              <w:t> </w:t>
            </w:r>
          </w:p>
        </w:tc>
      </w:tr>
      <w:tr>
        <w:trPr/>
        <w:tc>
          <w:tcPr>
            <w:tcW w:w="3928"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44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1,003</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993</w:t>
            </w:r>
          </w:p>
        </w:tc>
        <w:tc>
          <w:tcPr>
            <w:tcW w:w="64" w:type="dxa"/>
            <w:tcBorders/>
            <w:vAlign w:val="bottom"/>
          </w:tcPr>
          <w:p>
            <w:pPr>
              <w:pStyle w:val="TableContents"/>
              <w:bidi w:val="0"/>
              <w:spacing w:before="0" w:after="283"/>
              <w:jc w:val="left"/>
              <w:rPr/>
            </w:pPr>
            <w:r>
              <w:rPr/>
              <w:t> </w:t>
            </w:r>
          </w:p>
        </w:tc>
      </w:tr>
      <w:tr>
        <w:trPr/>
        <w:tc>
          <w:tcPr>
            <w:tcW w:w="3928"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44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11,383</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11,713</w:t>
            </w:r>
          </w:p>
        </w:tc>
        <w:tc>
          <w:tcPr>
            <w:tcW w:w="64" w:type="dxa"/>
            <w:tcBorders/>
            <w:shd w:fill="CCEEFF" w:val="clear"/>
            <w:vAlign w:val="bottom"/>
          </w:tcPr>
          <w:p>
            <w:pPr>
              <w:pStyle w:val="TableContents"/>
              <w:bidi w:val="0"/>
              <w:spacing w:before="0" w:after="283"/>
              <w:jc w:val="left"/>
              <w:rPr/>
            </w:pPr>
            <w:r>
              <w:rPr/>
              <w:t> </w:t>
            </w:r>
          </w:p>
        </w:tc>
      </w:tr>
      <w:tr>
        <w:trPr/>
        <w:tc>
          <w:tcPr>
            <w:tcW w:w="3928"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Warranty Cost</w:t>
      </w:r>
      <w:r>
        <w:rPr>
          <w:rFonts w:ascii="Times New Roman" w:hAnsi="Times New Roman"/>
          <w:sz w:val="20"/>
        </w:rPr>
        <w:t xml:space="preserve"> The following table is a roll forward of warranty cost as of September 30, 2022 and December 31, 2021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66"/>
        <w:gridCol w:w="468"/>
        <w:gridCol w:w="283"/>
        <w:gridCol w:w="1134"/>
        <w:gridCol w:w="155"/>
        <w:gridCol w:w="428"/>
        <w:gridCol w:w="271"/>
        <w:gridCol w:w="1091"/>
        <w:gridCol w:w="159"/>
      </w:tblGrid>
      <w:tr>
        <w:trPr/>
        <w:tc>
          <w:tcPr>
            <w:tcW w:w="3766"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17" w:type="dxa"/>
            <w:gridSpan w:val="2"/>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3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46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1,738</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91" w:type="dxa"/>
            <w:tcBorders/>
            <w:shd w:fill="CCEEFF" w:val="clear"/>
            <w:vAlign w:val="bottom"/>
          </w:tcPr>
          <w:p>
            <w:pPr>
              <w:pStyle w:val="TableContents"/>
              <w:bidi w:val="0"/>
              <w:spacing w:before="0" w:after="283"/>
              <w:jc w:val="right"/>
              <w:rPr/>
            </w:pPr>
            <w:r>
              <w:rPr/>
              <w:t>1,248</w:t>
            </w:r>
          </w:p>
        </w:tc>
        <w:tc>
          <w:tcPr>
            <w:tcW w:w="159" w:type="dxa"/>
            <w:tcBorders/>
            <w:shd w:fill="CCEEFF" w:val="clear"/>
            <w:vAlign w:val="bottom"/>
          </w:tcPr>
          <w:p>
            <w:pPr>
              <w:pStyle w:val="TableContents"/>
              <w:bidi w:val="0"/>
              <w:spacing w:before="0" w:after="283"/>
              <w:jc w:val="left"/>
              <w:rPr/>
            </w:pPr>
            <w:r>
              <w:rPr/>
              <w:t> </w:t>
            </w:r>
          </w:p>
        </w:tc>
      </w:tr>
      <w:tr>
        <w:trPr/>
        <w:tc>
          <w:tcPr>
            <w:tcW w:w="3766" w:type="dxa"/>
            <w:tcBorders/>
          </w:tcPr>
          <w:p>
            <w:pPr>
              <w:pStyle w:val="TableContents"/>
              <w:bidi w:val="0"/>
              <w:spacing w:before="0" w:after="0"/>
              <w:jc w:val="left"/>
              <w:rPr>
                <w:rFonts w:ascii="Times New Roman" w:hAnsi="Times New Roman"/>
                <w:sz w:val="20"/>
              </w:rPr>
            </w:pPr>
            <w:r>
              <w:rPr>
                <w:rFonts w:ascii="Times New Roman" w:hAnsi="Times New Roman"/>
                <w:sz w:val="20"/>
              </w:rPr>
              <w:t>Warranty settlements</w:t>
            </w:r>
          </w:p>
        </w:tc>
        <w:tc>
          <w:tcPr>
            <w:tcW w:w="46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(135</w:t>
            </w:r>
          </w:p>
        </w:tc>
        <w:tc>
          <w:tcPr>
            <w:tcW w:w="159" w:type="dxa"/>
            <w:tcBorders/>
            <w:vAlign w:val="bottom"/>
          </w:tcPr>
          <w:p>
            <w:pPr>
              <w:pStyle w:val="TableContents"/>
              <w:bidi w:val="0"/>
              <w:spacing w:before="0" w:after="283"/>
              <w:jc w:val="left"/>
              <w:rPr/>
            </w:pPr>
            <w:r>
              <w:rPr/>
              <w:t>) </w:t>
            </w:r>
          </w:p>
        </w:tc>
      </w:tr>
      <w:tr>
        <w:trPr/>
        <w:tc>
          <w:tcPr>
            <w:tcW w:w="3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warranty accrual</w:t>
            </w:r>
          </w:p>
        </w:tc>
        <w:tc>
          <w:tcPr>
            <w:tcW w:w="46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625</w:t>
            </w:r>
          </w:p>
        </w:tc>
        <w:tc>
          <w:tcPr>
            <w:tcW w:w="159" w:type="dxa"/>
            <w:tcBorders/>
            <w:shd w:fill="CCEEFF" w:val="clear"/>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66"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46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1,867</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1,738</w:t>
            </w:r>
          </w:p>
        </w:tc>
        <w:tc>
          <w:tcPr>
            <w:tcW w:w="159" w:type="dxa"/>
            <w:tcBorders/>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cost, current</w:t>
            </w:r>
          </w:p>
        </w:tc>
        <w:tc>
          <w:tcPr>
            <w:tcW w:w="46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93</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91" w:type="dxa"/>
            <w:tcBorders/>
            <w:shd w:fill="CCEEFF" w:val="clear"/>
            <w:vAlign w:val="bottom"/>
          </w:tcPr>
          <w:p>
            <w:pPr>
              <w:pStyle w:val="TableContents"/>
              <w:bidi w:val="0"/>
              <w:spacing w:before="0" w:after="283"/>
              <w:jc w:val="right"/>
              <w:rPr/>
            </w:pPr>
            <w:r>
              <w:rPr/>
              <w:t>87</w:t>
            </w:r>
          </w:p>
        </w:tc>
        <w:tc>
          <w:tcPr>
            <w:tcW w:w="159" w:type="dxa"/>
            <w:tcBorders/>
            <w:shd w:fill="CCEEFF" w:val="clear"/>
            <w:vAlign w:val="bottom"/>
          </w:tcPr>
          <w:p>
            <w:pPr>
              <w:pStyle w:val="TableContents"/>
              <w:bidi w:val="0"/>
              <w:spacing w:before="0" w:after="283"/>
              <w:jc w:val="left"/>
              <w:rPr/>
            </w:pPr>
            <w:r>
              <w:rPr/>
              <w:t> </w:t>
            </w:r>
          </w:p>
        </w:tc>
      </w:tr>
      <w:tr>
        <w:trPr/>
        <w:tc>
          <w:tcPr>
            <w:tcW w:w="3766" w:type="dxa"/>
            <w:tcBorders/>
          </w:tcPr>
          <w:p>
            <w:pPr>
              <w:pStyle w:val="TableContents"/>
              <w:bidi w:val="0"/>
              <w:spacing w:before="0" w:after="0"/>
              <w:jc w:val="left"/>
              <w:rPr>
                <w:rFonts w:ascii="Times New Roman" w:hAnsi="Times New Roman"/>
                <w:sz w:val="20"/>
              </w:rPr>
            </w:pPr>
            <w:r>
              <w:rPr>
                <w:rFonts w:ascii="Times New Roman" w:hAnsi="Times New Roman"/>
                <w:sz w:val="20"/>
              </w:rPr>
              <w:t>Warranty cost, noncurrent</w:t>
            </w:r>
          </w:p>
        </w:tc>
        <w:tc>
          <w:tcPr>
            <w:tcW w:w="46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1,774</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1,651</w:t>
            </w:r>
          </w:p>
        </w:tc>
        <w:tc>
          <w:tcPr>
            <w:tcW w:w="159" w:type="dxa"/>
            <w:tcBorders/>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warranty cost</w:t>
            </w:r>
          </w:p>
        </w:tc>
        <w:tc>
          <w:tcPr>
            <w:tcW w:w="46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1,867</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91" w:type="dxa"/>
            <w:tcBorders/>
            <w:shd w:fill="CCEEFF" w:val="clear"/>
            <w:vAlign w:val="bottom"/>
          </w:tcPr>
          <w:p>
            <w:pPr>
              <w:pStyle w:val="TableContents"/>
              <w:bidi w:val="0"/>
              <w:spacing w:before="0" w:after="283"/>
              <w:jc w:val="right"/>
              <w:rPr/>
            </w:pPr>
            <w:r>
              <w:rPr/>
              <w:t>1,738</w:t>
            </w:r>
          </w:p>
        </w:tc>
        <w:tc>
          <w:tcPr>
            <w:tcW w:w="159" w:type="dxa"/>
            <w:tcBorders/>
            <w:shd w:fill="CCEEFF" w:val="clear"/>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sz w:val="20"/>
        </w:rPr>
        <w:t>Other Income,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14"/>
        <w:gridCol w:w="250"/>
        <w:gridCol w:w="179"/>
        <w:gridCol w:w="729"/>
        <w:gridCol w:w="199"/>
        <w:gridCol w:w="215"/>
        <w:gridCol w:w="179"/>
        <w:gridCol w:w="731"/>
        <w:gridCol w:w="159"/>
      </w:tblGrid>
      <w:tr>
        <w:trPr/>
        <w:tc>
          <w:tcPr>
            <w:tcW w:w="511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1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232"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159" w:type="dxa"/>
            <w:tcBorders/>
            <w:vAlign w:val="bottom"/>
          </w:tcPr>
          <w:p>
            <w:pPr>
              <w:pStyle w:val="TableContents"/>
              <w:bidi w:val="0"/>
              <w:spacing w:before="0" w:after="283"/>
              <w:jc w:val="left"/>
              <w:rPr/>
            </w:pPr>
            <w:r>
              <w:rPr/>
              <w:t> </w:t>
            </w:r>
          </w:p>
        </w:tc>
      </w:tr>
      <w:tr>
        <w:trPr/>
        <w:tc>
          <w:tcPr>
            <w:tcW w:w="511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9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59" w:type="dxa"/>
            <w:tcBorders/>
            <w:vAlign w:val="bottom"/>
          </w:tcPr>
          <w:p>
            <w:pPr>
              <w:pStyle w:val="TableContents"/>
              <w:bidi w:val="0"/>
              <w:spacing w:before="0" w:after="283"/>
              <w:jc w:val="left"/>
              <w:rPr/>
            </w:pPr>
            <w:r>
              <w:rPr/>
              <w:t> </w:t>
            </w:r>
          </w:p>
        </w:tc>
      </w:tr>
      <w:tr>
        <w:trPr/>
        <w:tc>
          <w:tcPr>
            <w:tcW w:w="5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Forgiveness of Paycheck Protection Program Loan (Note 6)</w:t>
            </w:r>
          </w:p>
        </w:tc>
        <w:tc>
          <w:tcPr>
            <w:tcW w:w="25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1,414</w:t>
            </w:r>
          </w:p>
        </w:tc>
        <w:tc>
          <w:tcPr>
            <w:tcW w:w="199"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1,433</w:t>
            </w:r>
          </w:p>
        </w:tc>
        <w:tc>
          <w:tcPr>
            <w:tcW w:w="159" w:type="dxa"/>
            <w:tcBorders/>
            <w:shd w:fill="CCEEFF" w:val="clear"/>
            <w:vAlign w:val="bottom"/>
          </w:tcPr>
          <w:p>
            <w:pPr>
              <w:pStyle w:val="TableContents"/>
              <w:bidi w:val="0"/>
              <w:spacing w:before="0" w:after="283"/>
              <w:jc w:val="left"/>
              <w:rPr/>
            </w:pPr>
            <w:r>
              <w:rPr/>
              <w:t> </w:t>
            </w:r>
          </w:p>
        </w:tc>
      </w:tr>
      <w:tr>
        <w:trPr/>
        <w:tc>
          <w:tcPr>
            <w:tcW w:w="511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warrants liability (Note 7)</w:t>
            </w:r>
          </w:p>
        </w:tc>
        <w:tc>
          <w:tcPr>
            <w:tcW w:w="25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775</w:t>
            </w:r>
          </w:p>
        </w:tc>
        <w:tc>
          <w:tcPr>
            <w:tcW w:w="19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339</w:t>
            </w:r>
          </w:p>
        </w:tc>
        <w:tc>
          <w:tcPr>
            <w:tcW w:w="159" w:type="dxa"/>
            <w:tcBorders/>
            <w:vAlign w:val="bottom"/>
          </w:tcPr>
          <w:p>
            <w:pPr>
              <w:pStyle w:val="TableContents"/>
              <w:bidi w:val="0"/>
              <w:spacing w:before="0" w:after="283"/>
              <w:jc w:val="left"/>
              <w:rPr/>
            </w:pPr>
            <w:r>
              <w:rPr/>
              <w:t> </w:t>
            </w:r>
          </w:p>
        </w:tc>
      </w:tr>
      <w:tr>
        <w:trPr/>
        <w:tc>
          <w:tcPr>
            <w:tcW w:w="5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25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(93</w:t>
            </w:r>
          </w:p>
        </w:tc>
        <w:tc>
          <w:tcPr>
            <w:tcW w:w="199"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(47</w:t>
            </w:r>
          </w:p>
        </w:tc>
        <w:tc>
          <w:tcPr>
            <w:tcW w:w="159" w:type="dxa"/>
            <w:tcBorders/>
            <w:shd w:fill="CCEEFF" w:val="clear"/>
            <w:vAlign w:val="bottom"/>
          </w:tcPr>
          <w:p>
            <w:pPr>
              <w:pStyle w:val="TableContents"/>
              <w:bidi w:val="0"/>
              <w:spacing w:before="0" w:after="283"/>
              <w:jc w:val="left"/>
              <w:rPr/>
            </w:pPr>
            <w:r>
              <w:rPr/>
              <w:t>) </w:t>
            </w:r>
          </w:p>
        </w:tc>
      </w:tr>
      <w:tr>
        <w:trPr/>
        <w:tc>
          <w:tcPr>
            <w:tcW w:w="511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1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5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729" w:type="dxa"/>
            <w:tcBorders/>
            <w:vAlign w:val="bottom"/>
          </w:tcPr>
          <w:p>
            <w:pPr>
              <w:pStyle w:val="TableContents"/>
              <w:bidi w:val="0"/>
              <w:spacing w:before="0" w:after="283"/>
              <w:jc w:val="right"/>
              <w:rPr/>
            </w:pPr>
            <w:r>
              <w:rPr/>
              <w:t>2,096</w:t>
            </w:r>
          </w:p>
        </w:tc>
        <w:tc>
          <w:tcPr>
            <w:tcW w:w="19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731" w:type="dxa"/>
            <w:tcBorders/>
            <w:vAlign w:val="bottom"/>
          </w:tcPr>
          <w:p>
            <w:pPr>
              <w:pStyle w:val="TableContents"/>
              <w:bidi w:val="0"/>
              <w:spacing w:before="0" w:after="283"/>
              <w:jc w:val="right"/>
              <w:rPr/>
            </w:pPr>
            <w:r>
              <w:rPr/>
              <w:t>1,725</w:t>
            </w:r>
          </w:p>
        </w:tc>
        <w:tc>
          <w:tcPr>
            <w:tcW w:w="159" w:type="dxa"/>
            <w:tcBorders/>
            <w:vAlign w:val="bottom"/>
          </w:tcPr>
          <w:p>
            <w:pPr>
              <w:pStyle w:val="TableContents"/>
              <w:bidi w:val="0"/>
              <w:spacing w:before="0" w:after="283"/>
              <w:jc w:val="left"/>
              <w:rPr/>
            </w:pPr>
            <w:r>
              <w:rPr/>
              <w:t> </w:t>
            </w:r>
          </w:p>
        </w:tc>
      </w:tr>
      <w:tr>
        <w:trPr/>
        <w:tc>
          <w:tcPr>
            <w:tcW w:w="511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729" w:type="dxa"/>
            <w:tcBorders/>
            <w:vAlign w:val="bottom"/>
          </w:tcPr>
          <w:p>
            <w:pPr>
              <w:pStyle w:val="TableContents"/>
              <w:pBdr>
                <w:top w:val="double" w:sz="6"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LEASES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Operating Leases</w:t>
      </w:r>
      <w:r>
        <w:rPr>
          <w:rFonts w:ascii="Times New Roman" w:hAnsi="Times New Roman"/>
          <w:i/>
          <w:sz w:val="20"/>
        </w:rPr>
        <w:t xml:space="preserve"> </w:t>
      </w:r>
      <w:r>
        <w:rPr>
          <w:rFonts w:ascii="Times New Roman" w:hAnsi="Times New Roman"/>
          <w:sz w:val="20"/>
        </w:rPr>
        <w:t xml:space="preserve">In April 2018, the Company entered into a 56-month lease agreement for an office space in Oakland, California for $0.8 million in total payments. Effective June 2021, the Company terminated the lease agreement and agreed to settle the unpaid rent and related legal costs for $0.3 million. As a result, the Company derecognized the Oakland right-of use asset and corresponding lease liability and recognized a loss of $0.01 million as Other income (expense), net in the Unaudited Condensed Consolidated Statement of Operations and Comprehensive Loss for the nine months ended September 30, 2021. </w:t>
      </w:r>
    </w:p>
    <w:p>
      <w:pPr>
        <w:pStyle w:val="TextBody"/>
        <w:bidi w:val="0"/>
        <w:spacing w:before="120" w:after="0"/>
        <w:jc w:val="left"/>
        <w:rPr>
          <w:rFonts w:ascii="Times New Roman" w:hAnsi="Times New Roman"/>
          <w:sz w:val="20"/>
        </w:rPr>
      </w:pPr>
      <w:r>
        <w:rPr>
          <w:rFonts w:ascii="Times New Roman" w:hAnsi="Times New Roman"/>
          <w:sz w:val="20"/>
        </w:rPr>
        <w:t xml:space="preserve">In November 2019, the Company entered an 84-month lease for office and manufacturing space in Fremont, California (Fremont facility) for $3.3 million in total payment. The Company has an option to renew the lease for five years. Lease renewals are not assumed in the determination of the lease term until the exercise of the renewals are deemed to be reasonably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NOTES PAYABLE, NET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Notes payable, net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87"/>
        <w:gridCol w:w="399"/>
        <w:gridCol w:w="225"/>
        <w:gridCol w:w="1203"/>
        <w:gridCol w:w="155"/>
        <w:gridCol w:w="356"/>
        <w:gridCol w:w="211"/>
        <w:gridCol w:w="1161"/>
        <w:gridCol w:w="158"/>
      </w:tblGrid>
      <w:tr>
        <w:trPr/>
        <w:tc>
          <w:tcPr>
            <w:tcW w:w="3887"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7"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428" w:type="dxa"/>
            <w:gridSpan w:val="2"/>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372"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3887"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8" w:type="dxa"/>
            <w:tcBorders/>
            <w:vAlign w:val="bottom"/>
          </w:tcPr>
          <w:p>
            <w:pPr>
              <w:pStyle w:val="TableContents"/>
              <w:bidi w:val="0"/>
              <w:spacing w:before="0" w:after="283"/>
              <w:jc w:val="left"/>
              <w:rPr/>
            </w:pPr>
            <w:r>
              <w:rPr/>
              <w:t> </w:t>
            </w:r>
          </w:p>
        </w:tc>
      </w:tr>
      <w:tr>
        <w:trPr/>
        <w:tc>
          <w:tcPr>
            <w:tcW w:w="3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2018 Bridge Notes</w:t>
            </w:r>
          </w:p>
        </w:tc>
        <w:tc>
          <w:tcPr>
            <w:tcW w:w="39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9,086</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7,076</w:t>
            </w:r>
          </w:p>
        </w:tc>
        <w:tc>
          <w:tcPr>
            <w:tcW w:w="158" w:type="dxa"/>
            <w:tcBorders/>
            <w:shd w:fill="CCEEFF" w:val="clear"/>
            <w:vAlign w:val="bottom"/>
          </w:tcPr>
          <w:p>
            <w:pPr>
              <w:pStyle w:val="TableContents"/>
              <w:bidi w:val="0"/>
              <w:spacing w:before="0" w:after="283"/>
              <w:jc w:val="left"/>
              <w:rPr/>
            </w:pPr>
            <w:r>
              <w:rPr/>
              <w:t> </w:t>
            </w:r>
          </w:p>
        </w:tc>
      </w:tr>
      <w:tr>
        <w:trPr/>
        <w:tc>
          <w:tcPr>
            <w:tcW w:w="3887" w:type="dxa"/>
            <w:tcBorders/>
          </w:tcPr>
          <w:p>
            <w:pPr>
              <w:pStyle w:val="TableContents"/>
              <w:bidi w:val="0"/>
              <w:spacing w:before="0" w:after="0"/>
              <w:jc w:val="left"/>
              <w:rPr>
                <w:rFonts w:ascii="Times New Roman" w:hAnsi="Times New Roman"/>
                <w:sz w:val="20"/>
              </w:rPr>
            </w:pPr>
            <w:r>
              <w:rPr>
                <w:rFonts w:ascii="Times New Roman" w:hAnsi="Times New Roman"/>
                <w:sz w:val="20"/>
              </w:rPr>
              <w:t>Payroll Protection Program Loan</w:t>
            </w:r>
          </w:p>
        </w:tc>
        <w:tc>
          <w:tcPr>
            <w:tcW w:w="39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1,414</w:t>
            </w:r>
          </w:p>
        </w:tc>
        <w:tc>
          <w:tcPr>
            <w:tcW w:w="158" w:type="dxa"/>
            <w:tcBorders/>
            <w:vAlign w:val="bottom"/>
          </w:tcPr>
          <w:p>
            <w:pPr>
              <w:pStyle w:val="TableContents"/>
              <w:bidi w:val="0"/>
              <w:spacing w:before="0" w:after="283"/>
              <w:jc w:val="left"/>
              <w:rPr/>
            </w:pPr>
            <w:r>
              <w:rPr/>
              <w:t> </w:t>
            </w:r>
          </w:p>
        </w:tc>
      </w:tr>
      <w:tr>
        <w:trPr/>
        <w:tc>
          <w:tcPr>
            <w:tcW w:w="3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Simple Agreement for Future Equity Note</w:t>
            </w:r>
          </w:p>
        </w:tc>
        <w:tc>
          <w:tcPr>
            <w:tcW w:w="39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50,230</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34,001</w:t>
            </w:r>
          </w:p>
        </w:tc>
        <w:tc>
          <w:tcPr>
            <w:tcW w:w="158" w:type="dxa"/>
            <w:tcBorders/>
            <w:shd w:fill="CCEEFF" w:val="clear"/>
            <w:vAlign w:val="bottom"/>
          </w:tcPr>
          <w:p>
            <w:pPr>
              <w:pStyle w:val="TableContents"/>
              <w:bidi w:val="0"/>
              <w:spacing w:before="0" w:after="283"/>
              <w:jc w:val="left"/>
              <w:rPr/>
            </w:pPr>
            <w:r>
              <w:rPr/>
              <w:t> </w:t>
            </w:r>
          </w:p>
        </w:tc>
      </w:tr>
      <w:tr>
        <w:trPr/>
        <w:tc>
          <w:tcPr>
            <w:tcW w:w="3887" w:type="dxa"/>
            <w:tcBorders/>
          </w:tcPr>
          <w:p>
            <w:pPr>
              <w:pStyle w:val="TableContents"/>
              <w:bidi w:val="0"/>
              <w:spacing w:before="0" w:after="0"/>
              <w:jc w:val="left"/>
              <w:rPr>
                <w:rFonts w:ascii="Times New Roman" w:hAnsi="Times New Roman"/>
                <w:sz w:val="20"/>
              </w:rPr>
            </w:pPr>
            <w:r>
              <w:rPr>
                <w:rFonts w:ascii="Times New Roman" w:hAnsi="Times New Roman"/>
                <w:sz w:val="20"/>
              </w:rPr>
              <w:t>Term and Revolver Loan</w:t>
            </w:r>
          </w:p>
        </w:tc>
        <w:tc>
          <w:tcPr>
            <w:tcW w:w="39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4,957</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9,618</w:t>
            </w:r>
          </w:p>
        </w:tc>
        <w:tc>
          <w:tcPr>
            <w:tcW w:w="158" w:type="dxa"/>
            <w:tcBorders/>
            <w:vAlign w:val="bottom"/>
          </w:tcPr>
          <w:p>
            <w:pPr>
              <w:pStyle w:val="TableContents"/>
              <w:bidi w:val="0"/>
              <w:spacing w:before="0" w:after="283"/>
              <w:jc w:val="left"/>
              <w:rPr/>
            </w:pPr>
            <w:r>
              <w:rPr/>
              <w:t> </w:t>
            </w:r>
          </w:p>
        </w:tc>
      </w:tr>
      <w:tr>
        <w:trPr/>
        <w:tc>
          <w:tcPr>
            <w:tcW w:w="3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Promissory Note</w:t>
            </w:r>
          </w:p>
        </w:tc>
        <w:tc>
          <w:tcPr>
            <w:tcW w:w="39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6,674</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3887"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87" w:type="dxa"/>
            <w:tcBorders/>
          </w:tcPr>
          <w:p>
            <w:pPr>
              <w:pStyle w:val="TableContents"/>
              <w:bidi w:val="0"/>
              <w:spacing w:before="0" w:after="0"/>
              <w:jc w:val="left"/>
              <w:rPr>
                <w:rFonts w:ascii="Times New Roman" w:hAnsi="Times New Roman"/>
                <w:sz w:val="20"/>
              </w:rPr>
            </w:pPr>
            <w:r>
              <w:rPr>
                <w:rFonts w:ascii="Times New Roman" w:hAnsi="Times New Roman"/>
                <w:sz w:val="20"/>
              </w:rPr>
              <w:t>Total notes payable, net</w:t>
            </w:r>
          </w:p>
        </w:tc>
        <w:tc>
          <w:tcPr>
            <w:tcW w:w="39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70,947</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52,109</w:t>
            </w:r>
          </w:p>
        </w:tc>
        <w:tc>
          <w:tcPr>
            <w:tcW w:w="158" w:type="dxa"/>
            <w:tcBorders/>
            <w:vAlign w:val="bottom"/>
          </w:tcPr>
          <w:p>
            <w:pPr>
              <w:pStyle w:val="TableContents"/>
              <w:bidi w:val="0"/>
              <w:spacing w:before="0" w:after="283"/>
              <w:jc w:val="left"/>
              <w:rPr/>
            </w:pPr>
            <w:r>
              <w:rPr/>
              <w:t> </w:t>
            </w:r>
          </w:p>
        </w:tc>
      </w:tr>
      <w:tr>
        <w:trPr/>
        <w:tc>
          <w:tcPr>
            <w:tcW w:w="3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39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(15,760</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(10,912</w:t>
            </w:r>
          </w:p>
        </w:tc>
        <w:tc>
          <w:tcPr>
            <w:tcW w:w="158" w:type="dxa"/>
            <w:tcBorders/>
            <w:shd w:fill="CCEEFF" w:val="clear"/>
            <w:vAlign w:val="bottom"/>
          </w:tcPr>
          <w:p>
            <w:pPr>
              <w:pStyle w:val="TableContents"/>
              <w:bidi w:val="0"/>
              <w:spacing w:before="0" w:after="283"/>
              <w:jc w:val="left"/>
              <w:rPr/>
            </w:pPr>
            <w:r>
              <w:rPr/>
              <w:t>) </w:t>
            </w:r>
          </w:p>
        </w:tc>
      </w:tr>
      <w:tr>
        <w:trPr/>
        <w:tc>
          <w:tcPr>
            <w:tcW w:w="3887"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87"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net of current portion</w:t>
            </w:r>
          </w:p>
        </w:tc>
        <w:tc>
          <w:tcPr>
            <w:tcW w:w="39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55,187</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61" w:type="dxa"/>
            <w:tcBorders/>
            <w:vAlign w:val="bottom"/>
          </w:tcPr>
          <w:p>
            <w:pPr>
              <w:pStyle w:val="TableContents"/>
              <w:bidi w:val="0"/>
              <w:spacing w:before="0" w:after="283"/>
              <w:jc w:val="right"/>
              <w:rPr/>
            </w:pPr>
            <w:r>
              <w:rPr/>
              <w:t>41,197</w:t>
            </w:r>
          </w:p>
        </w:tc>
        <w:tc>
          <w:tcPr>
            <w:tcW w:w="158" w:type="dxa"/>
            <w:tcBorders/>
            <w:vAlign w:val="bottom"/>
          </w:tcPr>
          <w:p>
            <w:pPr>
              <w:pStyle w:val="TableContents"/>
              <w:bidi w:val="0"/>
              <w:spacing w:before="0" w:after="283"/>
              <w:jc w:val="left"/>
              <w:rPr/>
            </w:pPr>
            <w:r>
              <w:rPr/>
              <w:t> </w:t>
            </w:r>
          </w:p>
        </w:tc>
      </w:tr>
      <w:tr>
        <w:trPr/>
        <w:tc>
          <w:tcPr>
            <w:tcW w:w="3887"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2018 Bridge Notes</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2018 Notes, the Company originally issued warrants to purchase 486,240 shares of its common stock at $0.01 per share. The warrants, which were exercisable upon issuance, expire in December 2023. At issuance, the Company determined the relative fair value of the warrants to be $1.1 million. The Company recorded the fair value of the warrant as a debt discount within additional paid-in capital. After allocating $1.1 million to the warrant, the fair value of preferred stock in which the notes could be converted exceeded the carrying value of the notes. As such the conversion feature under the notes was considered a beneficial conversion feature which was treated as debt discount and amortized to interest expense using the effective interest rate method. The Company recorded an additional $1.1 million discount to the notes within additional paid-in capital. As discussed in Note 2, in January 1, 2022, in connection with the adoption of ASU 2020-06, the Company derecognized the beneficial conversion feature which resulted in a $1.1 million decrease in additional paid-in capital and cumulative catch-up adjustment to accumulated deficit.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2021, the Company entered into an amendment to the 2018 Notes extending the maturity date from December 13, 2021 to December 13, 2022. In connection with the amendment, the notes will continue to bear interest at 8% per annum and are entitled to a repayment premium of 110% of the principal and accrued interest at the time of repayment. Additionally, the Company issued warrants to purchase 196,462 shares of Series E-1 redeemable convertible preferred stock (Series E-1 warrants) at $4.59 per share in connection with the amendment. The warrants were exercisable immediately and expire on December 13, 2031. Upon issuance, the Company determined the fair value of the warrants to be $0.7 million using the Black-Scholes option-pricing model using the following assumptions: no dividends; risk-free interest rate of 1.42%; contractual life of 10 years; and expected volatility of 54.4%. The Series E-1 warrants qualified as liabilities as the underlying preferred stock were contingently redeemable upon the occurrence of a change in control, which is outside the control of the Company. At September 30, 2022, the warrants remain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concluded that the modification was a troubled debt restructuring as the Company was experiencing financial difficulty and the amended terms resulted in a concession to the Company. As the future undiscounted cash payments under the modified terms exceeded the carrying amount of the 2018 Notes on the date of modification, the modification was accounted for prospectively. Additionally, the Company recorded the fair value of the Series E-1 warrants as a reduction of Notes payable, net of discounts to the restructured notes on the date of modification. The debt discount and incremental repayment premium are being amortized to interest expense using the effective interest rate method.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net carrying value of 2018 Bridge Notes was as below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9"/>
        <w:gridCol w:w="469"/>
        <w:gridCol w:w="255"/>
        <w:gridCol w:w="1170"/>
        <w:gridCol w:w="155"/>
        <w:gridCol w:w="429"/>
        <w:gridCol w:w="244"/>
        <w:gridCol w:w="1125"/>
        <w:gridCol w:w="159"/>
      </w:tblGrid>
      <w:tr>
        <w:trPr/>
        <w:tc>
          <w:tcPr>
            <w:tcW w:w="3749"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9"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3749"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3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w:t>
            </w:r>
          </w:p>
        </w:tc>
        <w:tc>
          <w:tcPr>
            <w:tcW w:w="46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9,258</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7,777</w:t>
            </w:r>
          </w:p>
        </w:tc>
        <w:tc>
          <w:tcPr>
            <w:tcW w:w="159" w:type="dxa"/>
            <w:tcBorders/>
            <w:shd w:fill="CCEEFF" w:val="clear"/>
            <w:vAlign w:val="bottom"/>
          </w:tcPr>
          <w:p>
            <w:pPr>
              <w:pStyle w:val="TableContents"/>
              <w:bidi w:val="0"/>
              <w:spacing w:before="0" w:after="283"/>
              <w:jc w:val="left"/>
              <w:rPr/>
            </w:pPr>
            <w:r>
              <w:rPr/>
              <w:t> </w:t>
            </w:r>
          </w:p>
        </w:tc>
      </w:tr>
      <w:tr>
        <w:trPr/>
        <w:tc>
          <w:tcPr>
            <w:tcW w:w="3749"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debt discount</w:t>
            </w:r>
          </w:p>
        </w:tc>
        <w:tc>
          <w:tcPr>
            <w:tcW w:w="46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(172</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(701</w:t>
            </w:r>
          </w:p>
        </w:tc>
        <w:tc>
          <w:tcPr>
            <w:tcW w:w="159" w:type="dxa"/>
            <w:tcBorders/>
            <w:vAlign w:val="bottom"/>
          </w:tcPr>
          <w:p>
            <w:pPr>
              <w:pStyle w:val="TableContents"/>
              <w:bidi w:val="0"/>
              <w:spacing w:before="0" w:after="283"/>
              <w:jc w:val="left"/>
              <w:rPr/>
            </w:pPr>
            <w:r>
              <w:rPr/>
              <w:t>) </w:t>
            </w:r>
          </w:p>
        </w:tc>
      </w:tr>
      <w:tr>
        <w:trPr/>
        <w:tc>
          <w:tcPr>
            <w:tcW w:w="3749"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carrying value</w:t>
            </w:r>
          </w:p>
        </w:tc>
        <w:tc>
          <w:tcPr>
            <w:tcW w:w="46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9,086</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7,076</w:t>
            </w:r>
          </w:p>
        </w:tc>
        <w:tc>
          <w:tcPr>
            <w:tcW w:w="159" w:type="dxa"/>
            <w:tcBorders/>
            <w:shd w:fill="CCEEFF" w:val="clear"/>
            <w:vAlign w:val="bottom"/>
          </w:tcPr>
          <w:p>
            <w:pPr>
              <w:pStyle w:val="TableContents"/>
              <w:bidi w:val="0"/>
              <w:spacing w:before="0" w:after="283"/>
              <w:jc w:val="left"/>
              <w:rPr/>
            </w:pPr>
            <w:r>
              <w:rPr/>
              <w:t> </w:t>
            </w:r>
          </w:p>
        </w:tc>
      </w:tr>
      <w:tr>
        <w:trPr/>
        <w:tc>
          <w:tcPr>
            <w:tcW w:w="3749"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46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(9,086</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(7,076</w:t>
            </w:r>
          </w:p>
        </w:tc>
        <w:tc>
          <w:tcPr>
            <w:tcW w:w="159" w:type="dxa"/>
            <w:tcBorders/>
            <w:vAlign w:val="bottom"/>
          </w:tcPr>
          <w:p>
            <w:pPr>
              <w:pStyle w:val="TableContents"/>
              <w:bidi w:val="0"/>
              <w:spacing w:before="0" w:after="283"/>
              <w:jc w:val="left"/>
              <w:rPr/>
            </w:pPr>
            <w:r>
              <w:rPr/>
              <w:t>) </w:t>
            </w:r>
          </w:p>
        </w:tc>
      </w:tr>
      <w:tr>
        <w:trPr/>
        <w:tc>
          <w:tcPr>
            <w:tcW w:w="3749"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noncurrent portion</w:t>
            </w:r>
          </w:p>
        </w:tc>
        <w:tc>
          <w:tcPr>
            <w:tcW w:w="46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749"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total interest expense recognized related to the 2018 Bridge Notes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73"/>
        <w:gridCol w:w="294"/>
        <w:gridCol w:w="186"/>
        <w:gridCol w:w="1258"/>
        <w:gridCol w:w="277"/>
        <w:gridCol w:w="242"/>
        <w:gridCol w:w="186"/>
        <w:gridCol w:w="1258"/>
        <w:gridCol w:w="281"/>
      </w:tblGrid>
      <w:tr>
        <w:trPr/>
        <w:tc>
          <w:tcPr>
            <w:tcW w:w="3773"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77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44" w:type="dxa"/>
            <w:gridSpan w:val="2"/>
            <w:tcBorders/>
            <w:vAlign w:val="bottom"/>
          </w:tcPr>
          <w:p>
            <w:pPr>
              <w:pStyle w:val="TableContents"/>
              <w:bidi w:val="0"/>
              <w:spacing w:before="0" w:after="283"/>
              <w:jc w:val="center"/>
              <w:rPr>
                <w:b/>
              </w:rPr>
            </w:pPr>
            <w:r>
              <w:rPr>
                <w:b/>
              </w:rPr>
              <w:t>September 30,</w:t>
            </w:r>
          </w:p>
        </w:tc>
        <w:tc>
          <w:tcPr>
            <w:tcW w:w="27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44" w:type="dxa"/>
            <w:gridSpan w:val="2"/>
            <w:tcBorders/>
            <w:vAlign w:val="bottom"/>
          </w:tcPr>
          <w:p>
            <w:pPr>
              <w:pStyle w:val="TableContents"/>
              <w:bidi w:val="0"/>
              <w:spacing w:before="0" w:after="283"/>
              <w:jc w:val="center"/>
              <w:rPr>
                <w:b/>
              </w:rPr>
            </w:pPr>
            <w:r>
              <w:rPr>
                <w:b/>
              </w:rPr>
              <w:t>September 30,</w:t>
            </w:r>
          </w:p>
        </w:tc>
        <w:tc>
          <w:tcPr>
            <w:tcW w:w="281" w:type="dxa"/>
            <w:tcBorders/>
            <w:vAlign w:val="bottom"/>
          </w:tcPr>
          <w:p>
            <w:pPr>
              <w:pStyle w:val="TableContents"/>
              <w:bidi w:val="0"/>
              <w:spacing w:before="0" w:after="283"/>
              <w:jc w:val="left"/>
              <w:rPr/>
            </w:pPr>
            <w:r>
              <w:rPr/>
              <w:t> </w:t>
            </w:r>
          </w:p>
        </w:tc>
      </w:tr>
      <w:tr>
        <w:trPr/>
        <w:tc>
          <w:tcPr>
            <w:tcW w:w="377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81"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discount</w:t>
            </w:r>
          </w:p>
        </w:tc>
        <w:tc>
          <w:tcPr>
            <w:tcW w:w="29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467</w:t>
            </w:r>
          </w:p>
        </w:tc>
        <w:tc>
          <w:tcPr>
            <w:tcW w:w="27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1,160</w:t>
            </w:r>
          </w:p>
        </w:tc>
        <w:tc>
          <w:tcPr>
            <w:tcW w:w="281"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Contractual interest expense</w:t>
            </w:r>
          </w:p>
        </w:tc>
        <w:tc>
          <w:tcPr>
            <w:tcW w:w="29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1,482</w:t>
            </w:r>
          </w:p>
        </w:tc>
        <w:tc>
          <w:tcPr>
            <w:tcW w:w="27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2,223</w:t>
            </w:r>
          </w:p>
        </w:tc>
        <w:tc>
          <w:tcPr>
            <w:tcW w:w="281" w:type="dxa"/>
            <w:tcBorders/>
            <w:vAlign w:val="bottom"/>
          </w:tcPr>
          <w:p>
            <w:pPr>
              <w:pStyle w:val="TableContents"/>
              <w:bidi w:val="0"/>
              <w:spacing w:before="0" w:after="283"/>
              <w:jc w:val="left"/>
              <w:rPr/>
            </w:pPr>
            <w:r>
              <w:rPr/>
              <w:t> </w:t>
            </w:r>
          </w:p>
        </w:tc>
      </w:tr>
      <w:tr>
        <w:trPr/>
        <w:tc>
          <w:tcPr>
            <w:tcW w:w="377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interest expense</w:t>
            </w:r>
          </w:p>
        </w:tc>
        <w:tc>
          <w:tcPr>
            <w:tcW w:w="29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      </w:t>
            </w:r>
            <w:r>
              <w:rPr/>
              <w:t>1,949</w:t>
            </w:r>
          </w:p>
        </w:tc>
        <w:tc>
          <w:tcPr>
            <w:tcW w:w="27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      </w:t>
            </w:r>
            <w:r>
              <w:rPr/>
              <w:t>3,383</w:t>
            </w:r>
          </w:p>
        </w:tc>
        <w:tc>
          <w:tcPr>
            <w:tcW w:w="281" w:type="dxa"/>
            <w:tcBorders/>
            <w:shd w:fill="CCEEFF" w:val="clear"/>
            <w:vAlign w:val="bottom"/>
          </w:tcPr>
          <w:p>
            <w:pPr>
              <w:pStyle w:val="TableContents"/>
              <w:bidi w:val="0"/>
              <w:spacing w:before="0" w:after="283"/>
              <w:jc w:val="left"/>
              <w:rPr/>
            </w:pPr>
            <w:r>
              <w:rPr/>
              <w:t> </w:t>
            </w:r>
          </w:p>
        </w:tc>
      </w:tr>
      <w:tr>
        <w:trPr/>
        <w:tc>
          <w:tcPr>
            <w:tcW w:w="377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Effective interest rate of the liability component</w:t>
            </w:r>
          </w:p>
        </w:tc>
        <w:tc>
          <w:tcPr>
            <w:tcW w:w="29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32.6</w:t>
            </w:r>
          </w:p>
        </w:tc>
        <w:tc>
          <w:tcPr>
            <w:tcW w:w="27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32.6</w:t>
            </w:r>
          </w:p>
        </w:tc>
        <w:tc>
          <w:tcPr>
            <w:tcW w:w="281" w:type="dxa"/>
            <w:tcBorders/>
            <w:vAlign w:val="bottom"/>
          </w:tcPr>
          <w:p>
            <w:pPr>
              <w:pStyle w:val="TableContents"/>
              <w:bidi w:val="0"/>
              <w:spacing w:before="0" w:after="283"/>
              <w:jc w:val="left"/>
              <w:rPr/>
            </w:pPr>
            <w:r>
              <w:rPr/>
              <w:t>% </w:t>
            </w:r>
          </w:p>
        </w:tc>
      </w:tr>
      <w:tr>
        <w:trPr/>
        <w:tc>
          <w:tcPr>
            <w:tcW w:w="377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sz w:val="20"/>
        </w:rPr>
        <w:t>Paycheck Protection Program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May 2020, the Company entered into an unsecured promissory note under the Payroll Protection Program (PPP Loan), with a bank under the PPP administered by the United States Small Business Administration (SBA) and authorized by the Keeping American Workers Employed and Paid Act, which is part of the CARES Act, enacted on March 27, 2020. The PPP Loan may be prepaid, in full or in part, at any time prior to maturity with no prepayment penalties. Under the terms of the PPP, the Company can apply for, and be granted, forgiveness for all or a portion of the PPP Loan. The principal amount of the PPP Loan is $1.4 million. The PPP Loan is non-interest bearing and has a maturity date of less than a year. The PPP Loan was forgiven in full in March 2021 and as a result gain on forgiveness of debt of $1.4 million is recorded within Other income (expense), net in the Companys Unaudited Condensed Consolidated Statements of Operations and Comprehensive Loss for the nine months ended September 30, 2021.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2021, the Company obtained a PPP Loan with a principal amount of $1.4 million. The PPP Loan bears interest at less than 1% per annum and has a maturity date of less than one year. The PPP Loan principal and accrued interest was forgiven in full in January 2022 and as a result the gain on forgiveness of debt of $1.4 million is recorded within Other income (expense), net in the Companys Unaudited Condensed Consolidated Statements of Operations and Comprehensive Loss for the nine months ended September 30, 2022. </w:t>
      </w:r>
    </w:p>
    <w:p>
      <w:pPr>
        <w:pStyle w:val="TextBody"/>
        <w:bidi w:val="0"/>
        <w:spacing w:before="360" w:after="0"/>
        <w:jc w:val="left"/>
        <w:rPr>
          <w:rFonts w:ascii="Times New Roman" w:hAnsi="Times New Roman"/>
          <w:sz w:val="20"/>
        </w:rPr>
      </w:pPr>
      <w:r>
        <w:rPr>
          <w:rFonts w:ascii="Times New Roman" w:hAnsi="Times New Roman"/>
          <w:b/>
          <w:sz w:val="20"/>
        </w:rPr>
        <w:t>Promissory Note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May 2022, the Company issued a secured promissory note to a trust affiliated with Thurman J. (T.J.) Rodgers, a director of Solaria amounting to $6.5 million in exchange for cash. The secured promissory note accrues paid-in-kind interest at a rate of 7.5% per annum and the note had an original maturity date of July 11, 2022, collateralized by substantially all of the Companys personal property, including all assets, inventory, equipment, general intangibles, financial assets, investment property, securities, deposit accounts and excluding intellectual property. As of September 30, 2022, the secured promissory note remained outstanding. In conjunction with the transaction with Complete Solar, both the parties agreed to extend the note term beyond its original maturity date. The secured promissory note with the original principal value of $6.5 million and paid-in-kind interest of $0.2 million was finally terminated in October 2022, in exchange for the issuance of a new convertible note by Complete Solar.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Simple Agreement for Future Equity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entered into various interest free unsecured Simple Agreement for Future Equity Notes (SAFE) notes agreements and raised $32.0 million in fiscal 2021 and $2.0 million in fiscal 2020. The number of shares to be issued upon conversion of the SAFE notes are subject to the following:</w:t>
      </w:r>
    </w:p>
    <w:p>
      <w:pPr>
        <w:pStyle w:val="TextBody"/>
        <w:bidi w:val="0"/>
        <w:spacing w:before="120" w:after="0"/>
        <w:jc w:val="left"/>
        <w:rPr>
          <w:rFonts w:ascii="Times New Roman" w:hAnsi="Times New Roman"/>
          <w:sz w:val="20"/>
        </w:rPr>
      </w:pPr>
      <w:r>
        <w:rPr>
          <w:rFonts w:ascii="Times New Roman" w:hAnsi="Times New Roman"/>
          <w:sz w:val="20"/>
        </w:rPr>
        <w:t xml:space="preserve">Equity Financing </w:t>
      </w:r>
      <w:r>
        <w:rPr>
          <w:rFonts w:ascii="Times New Roman" w:hAnsi="Times New Roman"/>
          <w:i/>
          <w:sz w:val="20"/>
        </w:rPr>
        <w:t></w:t>
      </w:r>
      <w:r>
        <w:rPr>
          <w:rFonts w:ascii="Times New Roman" w:hAnsi="Times New Roman"/>
          <w:sz w:val="20"/>
        </w:rPr>
        <w:t xml:space="preserve"> In the event of certain equity financing before the termination of the SAFE note, on the initial closing of such equity financing, the SAFE note will automatically convert into the number of shares of SAFE preferred stock in accordance with the terms of the SAFE agreement. In the event of certain other financing before the termination of the SAFE note, the investor may elect to convert the SAFE note into preferred stock equal based on the terms of the SAFE agreement.</w:t>
      </w:r>
    </w:p>
    <w:p>
      <w:pPr>
        <w:pStyle w:val="TextBody"/>
        <w:bidi w:val="0"/>
        <w:spacing w:before="120" w:after="0"/>
        <w:jc w:val="left"/>
        <w:rPr>
          <w:rFonts w:ascii="Times New Roman" w:hAnsi="Times New Roman"/>
          <w:sz w:val="20"/>
        </w:rPr>
      </w:pPr>
      <w:r>
        <w:rPr>
          <w:rFonts w:ascii="Times New Roman" w:hAnsi="Times New Roman"/>
          <w:sz w:val="20"/>
        </w:rPr>
        <w:t>Public Offering  If there is an Initial Public Offering (IPO) before the termination of the SAFE note, the SAFE note will automatically convert into the right to receive the number of shares of common stock according to the terms of the SAFE agreement.</w:t>
      </w:r>
    </w:p>
    <w:p>
      <w:pPr>
        <w:pStyle w:val="TextBody"/>
        <w:bidi w:val="0"/>
        <w:spacing w:before="120" w:after="0"/>
        <w:jc w:val="left"/>
        <w:rPr>
          <w:rFonts w:ascii="Times New Roman" w:hAnsi="Times New Roman"/>
          <w:sz w:val="20"/>
        </w:rPr>
      </w:pPr>
      <w:r>
        <w:rPr>
          <w:rFonts w:ascii="Times New Roman" w:hAnsi="Times New Roman"/>
          <w:sz w:val="20"/>
        </w:rPr>
        <w:t>Change of Control  If there is a Change of Control before the termination of the SAFE note, the SAFE note will automatically convert into the right to receive a portion of proceeds according to the terms of the SAFE agreement.</w:t>
      </w:r>
    </w:p>
    <w:p>
      <w:pPr>
        <w:pStyle w:val="TextBody"/>
        <w:bidi w:val="0"/>
        <w:spacing w:before="120" w:after="0"/>
        <w:jc w:val="left"/>
        <w:rPr>
          <w:rFonts w:ascii="Times New Roman" w:hAnsi="Times New Roman"/>
          <w:sz w:val="20"/>
        </w:rPr>
      </w:pPr>
      <w:r>
        <w:rPr>
          <w:rFonts w:ascii="Times New Roman" w:hAnsi="Times New Roman"/>
          <w:sz w:val="20"/>
        </w:rPr>
        <w:t>Dissolution Event  If there is a Dissolution Event before the termination of the SAFE note, the investor will automatically be entitled to receive a portion of proceeds according to the terms of the SAFE agreement.</w:t>
      </w:r>
    </w:p>
    <w:p>
      <w:pPr>
        <w:pStyle w:val="TextBody"/>
        <w:bidi w:val="0"/>
        <w:spacing w:before="120" w:after="0"/>
        <w:jc w:val="left"/>
        <w:rPr>
          <w:rFonts w:ascii="Times New Roman" w:hAnsi="Times New Roman"/>
          <w:sz w:val="20"/>
        </w:rPr>
      </w:pPr>
      <w:r>
        <w:rPr>
          <w:rFonts w:ascii="Times New Roman" w:hAnsi="Times New Roman"/>
          <w:sz w:val="20"/>
        </w:rPr>
        <w:t xml:space="preserve">Valuation Caps </w:t>
      </w:r>
      <w:r>
        <w:rPr>
          <w:rFonts w:ascii="Times New Roman" w:hAnsi="Times New Roman"/>
          <w:i/>
          <w:sz w:val="20"/>
        </w:rPr>
        <w:t></w:t>
      </w:r>
      <w:r>
        <w:rPr>
          <w:rFonts w:ascii="Times New Roman" w:hAnsi="Times New Roman"/>
          <w:sz w:val="20"/>
        </w:rPr>
        <w:t xml:space="preserve"> the SAFE notes are subject to a valuation cap. The valuation cap is $190.0 million for each of 33 notes with aggregate principal of $30.0 million. Two notes with principal balance of $2.0 million each have valuation caps of $219.1 million and $221.1 million,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Company elected to account for all of the SAFE notes at estimated fair value pursuant to the fair value option and recorded the change in estimated fair value as other income (expense), net in the Unaudited Condensed Consolidated Statements of Operations and Comprehensive Loss until the notes are converted or settled. </w:t>
      </w:r>
    </w:p>
    <w:p>
      <w:pPr>
        <w:pStyle w:val="TextBody"/>
        <w:bidi w:val="0"/>
        <w:spacing w:before="120" w:after="0"/>
        <w:jc w:val="left"/>
        <w:rPr>
          <w:rFonts w:ascii="Times New Roman" w:hAnsi="Times New Roman"/>
          <w:sz w:val="20"/>
        </w:rPr>
      </w:pPr>
      <w:r>
        <w:rPr>
          <w:rFonts w:ascii="Times New Roman" w:hAnsi="Times New Roman"/>
          <w:sz w:val="20"/>
        </w:rPr>
        <w:t xml:space="preserve">The estimated fair value and face value of these notes was $50.2 million and $34.0 at September 30, 2022 and December 31, 2021, respectively, and is considered Level 3 fair value measurement. The Company recorded a loss of $14.2 million relating to the change in estimated fair value of these notes as change in fair value of Simple Agreement for Future Equity Notes in the Unaudited Condensed Consolidated Statements of Operations and Comprehensive Loss for the nine months ended September 30, 2022. There was no change in estimated fair value of these notes for the year ended December 31, 2021. </w:t>
      </w:r>
    </w:p>
    <w:p>
      <w:pPr>
        <w:pStyle w:val="TextBody"/>
        <w:bidi w:val="0"/>
        <w:spacing w:before="120" w:after="0"/>
        <w:jc w:val="left"/>
        <w:rPr>
          <w:rFonts w:ascii="Times New Roman" w:hAnsi="Times New Roman"/>
          <w:sz w:val="20"/>
        </w:rPr>
      </w:pPr>
      <w:r>
        <w:rPr>
          <w:rFonts w:ascii="Times New Roman" w:hAnsi="Times New Roman"/>
          <w:sz w:val="20"/>
        </w:rPr>
        <w:t xml:space="preserve">As more fully described in Note 16, post consummation of the merger in November 2022, all SAFE notes were assumed by Complete Solar. </w:t>
      </w:r>
    </w:p>
    <w:p>
      <w:pPr>
        <w:pStyle w:val="TextBody"/>
        <w:bidi w:val="0"/>
        <w:spacing w:before="360" w:after="0"/>
        <w:jc w:val="left"/>
        <w:rPr>
          <w:rFonts w:ascii="Times New Roman" w:hAnsi="Times New Roman"/>
          <w:b/>
          <w:sz w:val="20"/>
        </w:rPr>
      </w:pPr>
      <w:r>
        <w:rPr>
          <w:rFonts w:ascii="Times New Roman" w:hAnsi="Times New Roman"/>
          <w:b/>
          <w:sz w:val="20"/>
        </w:rPr>
        <w:t>Term Loan and Revolver Loan</w:t>
      </w:r>
    </w:p>
    <w:p>
      <w:pPr>
        <w:pStyle w:val="TextBody"/>
        <w:bidi w:val="0"/>
        <w:spacing w:before="120" w:after="0"/>
        <w:jc w:val="left"/>
        <w:rPr>
          <w:rFonts w:ascii="Times New Roman" w:hAnsi="Times New Roman"/>
          <w:sz w:val="20"/>
        </w:rPr>
      </w:pPr>
      <w:r>
        <w:rPr>
          <w:rFonts w:ascii="Times New Roman" w:hAnsi="Times New Roman"/>
          <w:sz w:val="20"/>
        </w:rPr>
        <w:t xml:space="preserve">In October 2020, the Company entered into a loan agreement (Loan Agreement) with Structural Capital Investments III, LP (SCI). </w:t>
      </w:r>
    </w:p>
    <w:p>
      <w:pPr>
        <w:pStyle w:val="TextBody"/>
        <w:bidi w:val="0"/>
        <w:spacing w:before="120" w:after="0"/>
        <w:jc w:val="left"/>
        <w:rPr>
          <w:rFonts w:ascii="Times New Roman" w:hAnsi="Times New Roman"/>
          <w:sz w:val="20"/>
        </w:rPr>
      </w:pPr>
      <w:r>
        <w:rPr>
          <w:rFonts w:ascii="Times New Roman" w:hAnsi="Times New Roman"/>
          <w:sz w:val="20"/>
        </w:rPr>
        <w:t xml:space="preserve">The Loan Agreement with SCI comprises of two facilities, a term loan (the Term Loan) and a revolving loan (the Revolving Loan) (together Original Agreement) for $5.0 million each with a maturity date of October 31, 2023. Both the Term Loan and the Revolving Loan were fully drawn upon closing. </w:t>
      </w:r>
    </w:p>
    <w:p>
      <w:pPr>
        <w:pStyle w:val="TextBody"/>
        <w:bidi w:val="0"/>
        <w:spacing w:before="120" w:after="0"/>
        <w:jc w:val="left"/>
        <w:rPr>
          <w:rFonts w:ascii="Times New Roman" w:hAnsi="Times New Roman"/>
          <w:sz w:val="20"/>
        </w:rPr>
      </w:pPr>
      <w:r>
        <w:rPr>
          <w:rFonts w:ascii="Times New Roman" w:hAnsi="Times New Roman"/>
          <w:sz w:val="20"/>
        </w:rPr>
        <w:t xml:space="preserve">The Term Loan has a term of thirty-six months, equal monthly payments of principal beginning November 2021 until the end of the term and an annual interest rate of 9.25% or Prime rate plus 6%, whichever is higher. The Revolving Loan also has a term of thirty-six months, principal repayments at the end of the term and an annual interest rate of 7.75% or Prime rate plus 4.5%, whichever is higher. The Loan Agreement required the Company to meet certain financial covenants relating to maintenance of specified restricted cash balance, achieving specified revenue target and maintaining specified contribution margin (Financial covenants) over the term of each of the Term Loan and Revolving Loan. The Term Loan and Revolving Loan are collateralized substantially by all assets and property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October 2020, the Company recorded debt issuance costs discount totaling $0.8 million related to the Original agreement. The total debt issuance costs and discount is being amortized to interest expense using the effective interest method.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2021, the Company entered into an Amended and Restated Loan and Security Agreement as a First Amendment to the Original Agreement (First Amendment) to revise certain financial covenants within the Original Agreement. </w:t>
      </w:r>
    </w:p>
    <w:p>
      <w:pPr>
        <w:pStyle w:val="TextBody"/>
        <w:bidi w:val="0"/>
        <w:spacing w:before="120" w:after="0"/>
        <w:jc w:val="left"/>
        <w:rPr>
          <w:rFonts w:ascii="Times New Roman" w:hAnsi="Times New Roman"/>
          <w:sz w:val="20"/>
        </w:rPr>
      </w:pPr>
      <w:r>
        <w:rPr>
          <w:rFonts w:ascii="Times New Roman" w:hAnsi="Times New Roman"/>
          <w:sz w:val="20"/>
        </w:rPr>
        <w:t>In July 2021, the Company entered into an amendment to the Original Agreement (Second Amendment) as a forbearance agreement for SCI to forbear from exercising any rights and remedies available to it as a result of Company not meeting certain Financial Covenants required by the Original Agreement. As a result of this amendment changes were made to the financial covenants. The Company incurred $1.2 million in amendment fee related to the Second Amendment which was recognized as loss on extinguishment of debt discussed below.</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Second Amendment, the Company issued E-1 Warrants to purchase 305,342 shares of Series E-1 redeemable convertible preferred stock (SCI Series E-1 warrants) at $4.59 per share. The warrants were fully exercisable in whole or in part at any time during the term of the Original agreement. The SCI Series E-1 Warrants are scheduled to expire on July 30, 2031. Upon issuance, the Company determined the fair value of the warrants to be $1.2 million using the Black-Scholes option-pricing model using the following assumptions: no dividends; risk-free interest rate of 1.44%; contractual life of 10 years; and expected volatility of 55.7%. The Series E-1 warrants qualified as liabilities as the underlying preferred stock were contingently redeemable upon the occurrence of a change in control, which is outside the control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concluded that the modification to the terms of the Second Amendment changed the present value of cash flows by more than 10% and, as such, was treated as a debt extinguishment. The Company recognized a loss on extinguishment of debt of $3.0 million in the Unaudited Condensed Consolidated Statements of Operations and Comprehensive Loss in July 2021 which included the fair value of SCI Series E-1 warrants of $1.2 million issued in connection with the modification and $1.2 million amendment fee. </w:t>
      </w:r>
    </w:p>
    <w:p>
      <w:pPr>
        <w:pStyle w:val="TextBody"/>
        <w:bidi w:val="0"/>
        <w:spacing w:before="120" w:after="0"/>
        <w:jc w:val="left"/>
        <w:rPr>
          <w:rFonts w:ascii="Times New Roman" w:hAnsi="Times New Roman"/>
          <w:sz w:val="20"/>
        </w:rPr>
      </w:pPr>
      <w:r>
        <w:rPr>
          <w:rFonts w:ascii="Times New Roman" w:hAnsi="Times New Roman"/>
          <w:sz w:val="20"/>
        </w:rPr>
        <w:t>In December 2021, the Company entered into an amendment to the Original Agreement (Third Amendment) as a forbearance agreement for SCI to forbear from exercising any rights and remedies available to it as a result of Company not meeting certain Financial Covenants required by the Original agreement. As a result of this amendment, changes were made to the financial covenants. The Company incurred $0.5 million in amendment fee related to the Third Amendment and also paid default interest amounting to $0.3 million for the period April 2021 through November 2021.</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Third Amendment, the Company further amended the exercise price of the Series D-1 Preferred Stock Warrants to $2.17 per share and also amended the number of warrants. As of the date of the Amendment, the Company determined the fair value of the amended Series D-1 Preferred Stock warrants to be $2.9 million using the Black-Scholes option-pricing model using the following assumptions: no dividends; risk-free interest rate of 1.35%; contractual life of 6 years; and expected volatility of 57.7%. </w:t>
      </w:r>
    </w:p>
    <w:p>
      <w:pPr>
        <w:pStyle w:val="TextBody"/>
        <w:bidi w:val="0"/>
        <w:spacing w:before="120" w:after="0"/>
        <w:jc w:val="left"/>
        <w:rPr>
          <w:rFonts w:ascii="Times New Roman" w:hAnsi="Times New Roman"/>
          <w:sz w:val="20"/>
        </w:rPr>
      </w:pPr>
      <w:r>
        <w:rPr>
          <w:rFonts w:ascii="Times New Roman" w:hAnsi="Times New Roman"/>
          <w:sz w:val="20"/>
        </w:rPr>
        <w:t xml:space="preserve">Additionally, the Company amended the exercise price of the Series E-1 Preferred Stock Warrants to $2.29 per share. As of the date of the Amendment, the Company determined the fair value of the amended Series E-1 Preferred Stock warrants to be $1.3 million using the Black-Scholes option-pricing model using the following assumptions: no dividends; risk-free interest rate of 1.44%; contractual life of 9.6 years; and expected volatility of 57.6%.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concluded that the modification to the terms of the Third Amendment changed the present value of cash flows by more than 10% and, as such, was treated as a debt extinguishment. The Company recognized a loss on extinguishment of debt of $2.4 million in the Unaudited Condensed Consolidated Statements of Operations and Comprehensive Loss in December 2021 which included the incremental fair value of the Series D-1 warrants of $1.7 million and incremental fair value of the Series E-1 warrants of $0.2 million relating to the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April 2022, the Company entered into an amendment to the Original Agreement (Fourth Amendment) as a forbearance agreement for SCI to forbear from exercising any rights and remedies available to it as a result of the Company not meeting certain Financial Covenants required by the Original Agreement. As a result of this amendment, changes were made to the financial covenants. The Company incurred $0.15 million in amendment fee related to the Fourth Amendment.</w:t>
      </w:r>
    </w:p>
    <w:p>
      <w:pPr>
        <w:pStyle w:val="TextBody"/>
        <w:bidi w:val="0"/>
        <w:spacing w:before="120" w:after="0"/>
        <w:jc w:val="left"/>
        <w:rPr>
          <w:rFonts w:ascii="Times New Roman" w:hAnsi="Times New Roman"/>
          <w:sz w:val="20"/>
        </w:rPr>
      </w:pPr>
      <w:r>
        <w:rPr>
          <w:rFonts w:ascii="Times New Roman" w:hAnsi="Times New Roman"/>
          <w:sz w:val="20"/>
        </w:rPr>
        <w:t xml:space="preserve">In June 2022, the Company entered into an amendment to the Original Agreement (Fifth Amendment) related to SCI which resulted in certain changes to financial covenants including updates to quarterly revenue requirements and contribution margin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2022, the Company paid off the total outstanding principal and interest of the Term Loan related to the Loan Agreement with SCI in the amount of $2.8 million. The remaining unamortized debt discount of $0.04 million on the date of pay off was recorded as amortization of debt discount and included as 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The Term Loan and Revolving Loan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64"/>
        <w:gridCol w:w="471"/>
        <w:gridCol w:w="283"/>
        <w:gridCol w:w="1134"/>
        <w:gridCol w:w="155"/>
        <w:gridCol w:w="431"/>
        <w:gridCol w:w="244"/>
        <w:gridCol w:w="1115"/>
        <w:gridCol w:w="158"/>
      </w:tblGrid>
      <w:tr>
        <w:trPr/>
        <w:tc>
          <w:tcPr>
            <w:tcW w:w="3764"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4"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417" w:type="dxa"/>
            <w:gridSpan w:val="2"/>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359"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3764"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8" w:type="dxa"/>
            <w:tcBorders/>
            <w:vAlign w:val="bottom"/>
          </w:tcPr>
          <w:p>
            <w:pPr>
              <w:pStyle w:val="TableContents"/>
              <w:bidi w:val="0"/>
              <w:spacing w:before="0" w:after="283"/>
              <w:jc w:val="left"/>
              <w:rPr/>
            </w:pPr>
            <w:r>
              <w:rPr/>
              <w:t> </w:t>
            </w:r>
          </w:p>
        </w:tc>
      </w:tr>
      <w:tr>
        <w:trPr/>
        <w:tc>
          <w:tcPr>
            <w:tcW w:w="3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w:t>
            </w:r>
          </w:p>
        </w:tc>
        <w:tc>
          <w:tcPr>
            <w:tcW w:w="47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5,000</w:t>
            </w:r>
          </w:p>
        </w:tc>
        <w:tc>
          <w:tcPr>
            <w:tcW w:w="155"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9,618</w:t>
            </w:r>
          </w:p>
        </w:tc>
        <w:tc>
          <w:tcPr>
            <w:tcW w:w="158" w:type="dxa"/>
            <w:tcBorders/>
            <w:shd w:fill="CCEEFF" w:val="clear"/>
            <w:vAlign w:val="bottom"/>
          </w:tcPr>
          <w:p>
            <w:pPr>
              <w:pStyle w:val="TableContents"/>
              <w:bidi w:val="0"/>
              <w:spacing w:before="0" w:after="283"/>
              <w:jc w:val="left"/>
              <w:rPr/>
            </w:pPr>
            <w:r>
              <w:rPr/>
              <w:t> </w:t>
            </w:r>
          </w:p>
        </w:tc>
      </w:tr>
      <w:tr>
        <w:trPr/>
        <w:tc>
          <w:tcPr>
            <w:tcW w:w="3764"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debt discount</w:t>
            </w:r>
          </w:p>
        </w:tc>
        <w:tc>
          <w:tcPr>
            <w:tcW w:w="47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3764"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carrying value</w:t>
            </w:r>
          </w:p>
        </w:tc>
        <w:tc>
          <w:tcPr>
            <w:tcW w:w="47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4,957</w:t>
            </w:r>
          </w:p>
        </w:tc>
        <w:tc>
          <w:tcPr>
            <w:tcW w:w="155"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9,618</w:t>
            </w:r>
          </w:p>
        </w:tc>
        <w:tc>
          <w:tcPr>
            <w:tcW w:w="158" w:type="dxa"/>
            <w:tcBorders/>
            <w:shd w:fill="CCEEFF" w:val="clear"/>
            <w:vAlign w:val="bottom"/>
          </w:tcPr>
          <w:p>
            <w:pPr>
              <w:pStyle w:val="TableContents"/>
              <w:bidi w:val="0"/>
              <w:spacing w:before="0" w:after="283"/>
              <w:jc w:val="left"/>
              <w:rPr/>
            </w:pPr>
            <w:r>
              <w:rPr/>
              <w:t> </w:t>
            </w:r>
          </w:p>
        </w:tc>
      </w:tr>
      <w:tr>
        <w:trPr/>
        <w:tc>
          <w:tcPr>
            <w:tcW w:w="3764"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47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(2,421</w:t>
            </w:r>
          </w:p>
        </w:tc>
        <w:tc>
          <w:tcPr>
            <w:tcW w:w="158" w:type="dxa"/>
            <w:tcBorders/>
            <w:vAlign w:val="bottom"/>
          </w:tcPr>
          <w:p>
            <w:pPr>
              <w:pStyle w:val="TableContents"/>
              <w:bidi w:val="0"/>
              <w:spacing w:before="0" w:after="283"/>
              <w:jc w:val="left"/>
              <w:rPr/>
            </w:pPr>
            <w:r>
              <w:rPr/>
              <w:t>) </w:t>
            </w:r>
          </w:p>
        </w:tc>
      </w:tr>
      <w:tr>
        <w:trPr/>
        <w:tc>
          <w:tcPr>
            <w:tcW w:w="3764"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noncurrent portion</w:t>
            </w:r>
          </w:p>
        </w:tc>
        <w:tc>
          <w:tcPr>
            <w:tcW w:w="47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4,957</w:t>
            </w:r>
          </w:p>
        </w:tc>
        <w:tc>
          <w:tcPr>
            <w:tcW w:w="155"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7,197</w:t>
            </w:r>
          </w:p>
        </w:tc>
        <w:tc>
          <w:tcPr>
            <w:tcW w:w="158" w:type="dxa"/>
            <w:tcBorders/>
            <w:shd w:fill="CCEEFF" w:val="clear"/>
            <w:vAlign w:val="bottom"/>
          </w:tcPr>
          <w:p>
            <w:pPr>
              <w:pStyle w:val="TableContents"/>
              <w:bidi w:val="0"/>
              <w:spacing w:before="0" w:after="283"/>
              <w:jc w:val="left"/>
              <w:rPr/>
            </w:pPr>
            <w:r>
              <w:rPr/>
              <w:t> </w:t>
            </w:r>
          </w:p>
        </w:tc>
      </w:tr>
      <w:tr>
        <w:trPr/>
        <w:tc>
          <w:tcPr>
            <w:tcW w:w="3764"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revolving loan principal balance at September 30, 2022 amounted to $5.0 million and is due on October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total interest expense recognized related to the SCI term loan and revolving Loan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3"/>
        <w:gridCol w:w="527"/>
        <w:gridCol w:w="380"/>
        <w:gridCol w:w="1037"/>
        <w:gridCol w:w="60"/>
        <w:gridCol w:w="527"/>
        <w:gridCol w:w="380"/>
        <w:gridCol w:w="1037"/>
        <w:gridCol w:w="64"/>
      </w:tblGrid>
      <w:tr>
        <w:trPr/>
        <w:tc>
          <w:tcPr>
            <w:tcW w:w="3743"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43"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17"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17" w:type="dxa"/>
            <w:gridSpan w:val="2"/>
            <w:tcBorders/>
            <w:vAlign w:val="bottom"/>
          </w:tcPr>
          <w:p>
            <w:pPr>
              <w:pStyle w:val="TableContents"/>
              <w:bidi w:val="0"/>
              <w:spacing w:before="0" w:after="283"/>
              <w:jc w:val="center"/>
              <w:rPr>
                <w:b/>
              </w:rPr>
            </w:pPr>
            <w:r>
              <w:rPr>
                <w:b/>
              </w:rPr>
              <w:t>September 31,</w:t>
            </w:r>
          </w:p>
        </w:tc>
        <w:tc>
          <w:tcPr>
            <w:tcW w:w="64" w:type="dxa"/>
            <w:tcBorders/>
            <w:vAlign w:val="bottom"/>
          </w:tcPr>
          <w:p>
            <w:pPr>
              <w:pStyle w:val="TableContents"/>
              <w:bidi w:val="0"/>
              <w:spacing w:before="0" w:after="283"/>
              <w:jc w:val="left"/>
              <w:rPr/>
            </w:pPr>
            <w:r>
              <w:rPr/>
              <w:t> </w:t>
            </w:r>
          </w:p>
        </w:tc>
      </w:tr>
      <w:tr>
        <w:trPr/>
        <w:tc>
          <w:tcPr>
            <w:tcW w:w="3743"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3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discount</w:t>
            </w:r>
          </w:p>
        </w:tc>
        <w:tc>
          <w:tcPr>
            <w:tcW w:w="52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170</w:t>
            </w:r>
          </w:p>
        </w:tc>
        <w:tc>
          <w:tcPr>
            <w:tcW w:w="64" w:type="dxa"/>
            <w:tcBorders/>
            <w:shd w:fill="CCEEFF" w:val="clear"/>
            <w:vAlign w:val="bottom"/>
          </w:tcPr>
          <w:p>
            <w:pPr>
              <w:pStyle w:val="TableContents"/>
              <w:bidi w:val="0"/>
              <w:spacing w:before="0" w:after="283"/>
              <w:jc w:val="left"/>
              <w:rPr/>
            </w:pPr>
            <w:r>
              <w:rPr/>
              <w:t> </w:t>
            </w:r>
          </w:p>
        </w:tc>
      </w:tr>
      <w:tr>
        <w:trPr/>
        <w:tc>
          <w:tcPr>
            <w:tcW w:w="3743" w:type="dxa"/>
            <w:tcBorders/>
          </w:tcPr>
          <w:p>
            <w:pPr>
              <w:pStyle w:val="TableContents"/>
              <w:bidi w:val="0"/>
              <w:spacing w:before="0" w:after="0"/>
              <w:jc w:val="left"/>
              <w:rPr>
                <w:rFonts w:ascii="Times New Roman" w:hAnsi="Times New Roman"/>
                <w:sz w:val="20"/>
              </w:rPr>
            </w:pPr>
            <w:r>
              <w:rPr>
                <w:rFonts w:ascii="Times New Roman" w:hAnsi="Times New Roman"/>
                <w:sz w:val="20"/>
              </w:rPr>
              <w:t>Contractual interest expense</w:t>
            </w:r>
          </w:p>
        </w:tc>
        <w:tc>
          <w:tcPr>
            <w:tcW w:w="52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692</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664</w:t>
            </w:r>
          </w:p>
        </w:tc>
        <w:tc>
          <w:tcPr>
            <w:tcW w:w="64" w:type="dxa"/>
            <w:tcBorders/>
            <w:vAlign w:val="bottom"/>
          </w:tcPr>
          <w:p>
            <w:pPr>
              <w:pStyle w:val="TableContents"/>
              <w:bidi w:val="0"/>
              <w:spacing w:before="0" w:after="283"/>
              <w:jc w:val="left"/>
              <w:rPr/>
            </w:pPr>
            <w:r>
              <w:rPr/>
              <w:t> </w:t>
            </w:r>
          </w:p>
        </w:tc>
      </w:tr>
      <w:tr>
        <w:trPr/>
        <w:tc>
          <w:tcPr>
            <w:tcW w:w="374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interest expense</w:t>
            </w:r>
          </w:p>
        </w:tc>
        <w:tc>
          <w:tcPr>
            <w:tcW w:w="52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756</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834</w:t>
            </w:r>
          </w:p>
        </w:tc>
        <w:tc>
          <w:tcPr>
            <w:tcW w:w="64" w:type="dxa"/>
            <w:tcBorders/>
            <w:shd w:fill="CCEEFF" w:val="clear"/>
            <w:vAlign w:val="bottom"/>
          </w:tcPr>
          <w:p>
            <w:pPr>
              <w:pStyle w:val="TableContents"/>
              <w:bidi w:val="0"/>
              <w:spacing w:before="0" w:after="283"/>
              <w:jc w:val="left"/>
              <w:rPr/>
            </w:pPr>
            <w:r>
              <w:rPr/>
              <w:t> </w:t>
            </w:r>
          </w:p>
        </w:tc>
      </w:tr>
      <w:tr>
        <w:trPr/>
        <w:tc>
          <w:tcPr>
            <w:tcW w:w="374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REDEEMABLE PREFERRED STOCK WARRANTS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2010, in connection with a loan agreement, the Company issued a warrant to purchase 211,270 shares of Series A-1 preferred stock at an exercise price of $1.52 per share. These warrants were exercised in March 2021.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Series B-1 preferred stock financing in February 2015, the Company amended certain previously outstanding common stock warrants into a warrant to purchase 35,294 shares of Series B-1 at an exercise price of $5.40 per share. These warrants were exercised in March 2021. </w:t>
      </w:r>
    </w:p>
    <w:p>
      <w:pPr>
        <w:pStyle w:val="TextBody"/>
        <w:bidi w:val="0"/>
        <w:spacing w:before="120" w:after="0"/>
        <w:jc w:val="left"/>
        <w:rPr>
          <w:rFonts w:ascii="Times New Roman" w:hAnsi="Times New Roman"/>
          <w:sz w:val="20"/>
        </w:rPr>
      </w:pPr>
      <w:r>
        <w:rPr>
          <w:rFonts w:ascii="Times New Roman" w:hAnsi="Times New Roman"/>
          <w:sz w:val="20"/>
        </w:rPr>
        <w:t xml:space="preserve">In 2017, in connection with a Loan and Security Agreement with Structural Capital Investments II, LP and El Dorado Investment Company, the Company issued warrants to purchase 147,551 shares of Series C-1 at an exercise price of $8.66 per share. In 2018, in connection with a second amendment to Loan and Security Agreement and the cancellation of the C-1 Warrants, the Company issued warrants to purchase 375,801 shares of Series D-1 at an exercise price of $4.33 per share. As fully discussed in Note 6, in December 2021, in connection with the Third Amendment to the Original Agreement, the Company amended certain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warrant to purchase Series D-1 preferred stock. As amended, the Series D-1 preferred stock warrants are calculated based on a percentage of the Companys fully diluted capitalization at an exercise price of $2.17 per share. As of September 30, 2022, 745,001 units of Series D-1 preferred stock warrants are outstanding. The warrants were exercisable upon issuance and expire on December 22, 2027. </w:t>
      </w:r>
    </w:p>
    <w:p>
      <w:pPr>
        <w:pStyle w:val="TextBody"/>
        <w:bidi w:val="0"/>
        <w:spacing w:before="120" w:after="0"/>
        <w:jc w:val="left"/>
        <w:rPr>
          <w:rFonts w:ascii="Times New Roman" w:hAnsi="Times New Roman"/>
          <w:sz w:val="20"/>
        </w:rPr>
      </w:pPr>
      <w:r>
        <w:rPr>
          <w:rFonts w:ascii="Times New Roman" w:hAnsi="Times New Roman"/>
          <w:sz w:val="20"/>
        </w:rPr>
        <w:t xml:space="preserve">As fully discussed in Note 6, in July 2021, in connection with the Second Amendment to Original Agreement, the Company issued warrants to purchase 305,342 shares of Series E-1 at an exercise price of $4.59 per share. In December 2021, in connection with the Third Amendment to the Original Agreement, the Company amended the exercise price of the Series E-1 preferred stock warrants to $2.29 per share. </w:t>
      </w:r>
    </w:p>
    <w:p>
      <w:pPr>
        <w:pStyle w:val="TextBody"/>
        <w:bidi w:val="0"/>
        <w:spacing w:before="120" w:after="0"/>
        <w:jc w:val="left"/>
        <w:rPr>
          <w:rFonts w:ascii="Times New Roman" w:hAnsi="Times New Roman"/>
          <w:sz w:val="20"/>
        </w:rPr>
      </w:pPr>
      <w:r>
        <w:rPr>
          <w:rFonts w:ascii="Times New Roman" w:hAnsi="Times New Roman"/>
          <w:sz w:val="20"/>
        </w:rPr>
        <w:t xml:space="preserve">As fully discussed in Note 6, in December 2021, in connection with the amendment to the 2018 Notes, the Company issued warrants to purchase 196,462 shares of Series E-1 Preferred Stock at an exercise price of $4.59 per share. The Series E-1 warrants remain outstanding as of September 30, 2022 and December 31, 2021. </w:t>
      </w:r>
    </w:p>
    <w:p>
      <w:pPr>
        <w:pStyle w:val="TextBody"/>
        <w:bidi w:val="0"/>
        <w:spacing w:before="120" w:after="0"/>
        <w:jc w:val="left"/>
        <w:rPr>
          <w:rFonts w:ascii="Times New Roman" w:hAnsi="Times New Roman"/>
          <w:sz w:val="20"/>
        </w:rPr>
      </w:pPr>
      <w:r>
        <w:rPr>
          <w:rFonts w:ascii="Times New Roman" w:hAnsi="Times New Roman"/>
          <w:sz w:val="20"/>
        </w:rPr>
        <w:t xml:space="preserve">All of the above preferred stock warrants qualified as liabilities as the underlying preferred stock were contingently redeemable upon the occurrence of a change in control, which is outside the control of the Company. The preferred stock warrants have been recorded as a preferred stock warrant liability and are revalued to fair value each reporting period. </w:t>
      </w:r>
    </w:p>
    <w:p>
      <w:pPr>
        <w:pStyle w:val="TextBody"/>
        <w:bidi w:val="0"/>
        <w:spacing w:before="120" w:after="0"/>
        <w:jc w:val="left"/>
        <w:rPr>
          <w:rFonts w:ascii="Times New Roman" w:hAnsi="Times New Roman"/>
          <w:sz w:val="20"/>
        </w:rPr>
      </w:pPr>
      <w:r>
        <w:rPr>
          <w:rFonts w:ascii="Times New Roman" w:hAnsi="Times New Roman"/>
          <w:sz w:val="20"/>
        </w:rPr>
        <w:t xml:space="preserve">The changes in value of the preferred stock warrant liability are summarized below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01"/>
        <w:gridCol w:w="356"/>
        <w:gridCol w:w="295"/>
        <w:gridCol w:w="1186"/>
        <w:gridCol w:w="326"/>
        <w:gridCol w:w="448"/>
        <w:gridCol w:w="295"/>
        <w:gridCol w:w="1188"/>
        <w:gridCol w:w="160"/>
      </w:tblGrid>
      <w:tr>
        <w:trPr/>
        <w:tc>
          <w:tcPr>
            <w:tcW w:w="3501"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01"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37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60" w:type="dxa"/>
            <w:tcBorders/>
            <w:vAlign w:val="bottom"/>
          </w:tcPr>
          <w:p>
            <w:pPr>
              <w:pStyle w:val="TableContents"/>
              <w:bidi w:val="0"/>
              <w:spacing w:before="0" w:after="283"/>
              <w:jc w:val="left"/>
              <w:rPr/>
            </w:pPr>
            <w:r>
              <w:rPr/>
              <w:t> </w:t>
            </w:r>
          </w:p>
        </w:tc>
      </w:tr>
      <w:tr>
        <w:trPr/>
        <w:tc>
          <w:tcPr>
            <w:tcW w:w="3501"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26"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BalanceJanuary 1</w:t>
            </w:r>
          </w:p>
        </w:tc>
        <w:tc>
          <w:tcPr>
            <w:tcW w:w="35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4,955</w:t>
            </w:r>
          </w:p>
        </w:tc>
        <w:tc>
          <w:tcPr>
            <w:tcW w:w="326"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1,725</w:t>
            </w:r>
          </w:p>
        </w:tc>
        <w:tc>
          <w:tcPr>
            <w:tcW w:w="160" w:type="dxa"/>
            <w:tcBorders/>
            <w:shd w:fill="CCEEFF" w:val="clear"/>
            <w:vAlign w:val="bottom"/>
          </w:tcPr>
          <w:p>
            <w:pPr>
              <w:pStyle w:val="TableContents"/>
              <w:bidi w:val="0"/>
              <w:spacing w:before="0" w:after="283"/>
              <w:jc w:val="left"/>
              <w:rPr/>
            </w:pPr>
            <w:r>
              <w:rPr/>
              <w:t> </w:t>
            </w:r>
          </w:p>
        </w:tc>
      </w:tr>
      <w:tr>
        <w:trPr/>
        <w:tc>
          <w:tcPr>
            <w:tcW w:w="350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Other income (expense), net</w:t>
            </w:r>
          </w:p>
        </w:tc>
        <w:tc>
          <w:tcPr>
            <w:tcW w:w="35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(775</w:t>
            </w:r>
          </w:p>
        </w:tc>
        <w:tc>
          <w:tcPr>
            <w:tcW w:w="326"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(339</w:t>
            </w:r>
          </w:p>
        </w:tc>
        <w:tc>
          <w:tcPr>
            <w:tcW w:w="160" w:type="dxa"/>
            <w:tcBorders/>
            <w:vAlign w:val="bottom"/>
          </w:tcPr>
          <w:p>
            <w:pPr>
              <w:pStyle w:val="TableContents"/>
              <w:bidi w:val="0"/>
              <w:spacing w:before="0" w:after="283"/>
              <w:jc w:val="left"/>
              <w:rPr/>
            </w:pPr>
            <w:r>
              <w:rPr/>
              <w:t>) </w:t>
            </w:r>
          </w:p>
        </w:tc>
      </w:tr>
      <w:tr>
        <w:trPr/>
        <w:tc>
          <w:tcPr>
            <w:tcW w:w="3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of warrant</w:t>
            </w:r>
          </w:p>
        </w:tc>
        <w:tc>
          <w:tcPr>
            <w:tcW w:w="35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(250</w:t>
            </w:r>
          </w:p>
        </w:tc>
        <w:tc>
          <w:tcPr>
            <w:tcW w:w="160" w:type="dxa"/>
            <w:tcBorders/>
            <w:shd w:fill="CCEEFF" w:val="clear"/>
            <w:vAlign w:val="bottom"/>
          </w:tcPr>
          <w:p>
            <w:pPr>
              <w:pStyle w:val="TableContents"/>
              <w:bidi w:val="0"/>
              <w:spacing w:before="0" w:after="283"/>
              <w:jc w:val="left"/>
              <w:rPr/>
            </w:pPr>
            <w:r>
              <w:rPr/>
              <w:t>) </w:t>
            </w:r>
          </w:p>
        </w:tc>
      </w:tr>
      <w:tr>
        <w:trPr/>
        <w:tc>
          <w:tcPr>
            <w:tcW w:w="3501" w:type="dxa"/>
            <w:tcBorders/>
          </w:tcPr>
          <w:p>
            <w:pPr>
              <w:pStyle w:val="TableContents"/>
              <w:bidi w:val="0"/>
              <w:spacing w:before="0" w:after="0"/>
              <w:jc w:val="left"/>
              <w:rPr>
                <w:rFonts w:ascii="Times New Roman" w:hAnsi="Times New Roman"/>
                <w:sz w:val="20"/>
              </w:rPr>
            </w:pPr>
            <w:r>
              <w:rPr>
                <w:rFonts w:ascii="Times New Roman" w:hAnsi="Times New Roman"/>
                <w:sz w:val="20"/>
              </w:rPr>
              <w:t>Series E-1 warrants issued in connection with SCI Second amendmentincluded in Loss on debt extinguishment</w:t>
            </w:r>
          </w:p>
        </w:tc>
        <w:tc>
          <w:tcPr>
            <w:tcW w:w="35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1,191</w:t>
            </w:r>
          </w:p>
        </w:tc>
        <w:tc>
          <w:tcPr>
            <w:tcW w:w="160" w:type="dxa"/>
            <w:tcBorders/>
            <w:vAlign w:val="bottom"/>
          </w:tcPr>
          <w:p>
            <w:pPr>
              <w:pStyle w:val="TableContents"/>
              <w:bidi w:val="0"/>
              <w:spacing w:before="0" w:after="283"/>
              <w:jc w:val="left"/>
              <w:rPr/>
            </w:pPr>
            <w:r>
              <w:rPr/>
              <w:t> </w:t>
            </w:r>
          </w:p>
        </w:tc>
      </w:tr>
      <w:tr>
        <w:trPr/>
        <w:tc>
          <w:tcPr>
            <w:tcW w:w="3501"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BalanceSeptember 30</w:t>
            </w:r>
          </w:p>
        </w:tc>
        <w:tc>
          <w:tcPr>
            <w:tcW w:w="35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4,180</w:t>
            </w:r>
          </w:p>
        </w:tc>
        <w:tc>
          <w:tcPr>
            <w:tcW w:w="326"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2,327</w:t>
            </w:r>
          </w:p>
        </w:tc>
        <w:tc>
          <w:tcPr>
            <w:tcW w:w="160" w:type="dxa"/>
            <w:tcBorders/>
            <w:shd w:fill="CCEEFF" w:val="clear"/>
            <w:vAlign w:val="bottom"/>
          </w:tcPr>
          <w:p>
            <w:pPr>
              <w:pStyle w:val="TableContents"/>
              <w:bidi w:val="0"/>
              <w:spacing w:before="0" w:after="283"/>
              <w:jc w:val="left"/>
              <w:rPr/>
            </w:pPr>
            <w:r>
              <w:rPr/>
              <w:t> </w:t>
            </w:r>
          </w:p>
        </w:tc>
      </w:tr>
      <w:tr>
        <w:trPr/>
        <w:tc>
          <w:tcPr>
            <w:tcW w:w="3501"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6"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b/>
          <w:sz w:val="20"/>
        </w:rPr>
        <w:t>Fair Value Measurement</w:t>
      </w:r>
      <w:r>
        <w:rPr>
          <w:rFonts w:ascii="Times New Roman" w:hAnsi="Times New Roman"/>
          <w:i/>
          <w:sz w:val="20"/>
        </w:rPr>
        <w:t xml:space="preserve"> </w:t>
      </w:r>
      <w:r>
        <w:rPr>
          <w:rFonts w:ascii="Times New Roman" w:hAnsi="Times New Roman"/>
          <w:sz w:val="20"/>
        </w:rPr>
        <w:t xml:space="preserve">The Company follows ASC 820 which establishes disclosure requirements and a common definition of fair value to be applied when U.S. GAAP requires the use of fair value. The ASC 820 fair value hierarchy gives the highest priority to unadjusted quoted prices in active markets for identical assets or liabilities (Level 1 measurements) and the lowest priority to measurements involving significant unobservable inputs (Level 3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three levels of the fair value hierarchy are as follows: </w:t>
      </w:r>
    </w:p>
    <w:p>
      <w:pPr>
        <w:pStyle w:val="TextBody"/>
        <w:bidi w:val="0"/>
        <w:spacing w:before="120" w:after="0"/>
        <w:jc w:val="left"/>
        <w:rPr>
          <w:rFonts w:ascii="Times New Roman" w:hAnsi="Times New Roman"/>
          <w:sz w:val="20"/>
        </w:rPr>
      </w:pPr>
      <w:r>
        <w:rPr>
          <w:rFonts w:ascii="Times New Roman" w:hAnsi="Times New Roman"/>
          <w:b/>
          <w:i/>
          <w:sz w:val="20"/>
        </w:rPr>
        <w:t>Level 1</w:t>
      </w:r>
      <w:r>
        <w:rPr>
          <w:rFonts w:ascii="Times New Roman" w:hAnsi="Times New Roman"/>
          <w:sz w:val="20"/>
        </w:rPr>
        <w:t xml:space="preserve">Observable inputs that reflect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b/>
          <w:i/>
          <w:sz w:val="20"/>
        </w:rPr>
        <w:t>Level 2</w:t>
      </w:r>
      <w:r>
        <w:rPr>
          <w:rFonts w:ascii="Times New Roman" w:hAnsi="Times New Roman"/>
          <w:sz w:val="20"/>
        </w:rPr>
        <w:t xml:space="preserve">Observable inputs that reflect quoted prices for identical assets and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w:t>
      </w:r>
    </w:p>
    <w:p>
      <w:pPr>
        <w:pStyle w:val="TextBody"/>
        <w:bidi w:val="0"/>
        <w:spacing w:before="120" w:after="0"/>
        <w:jc w:val="left"/>
        <w:rPr>
          <w:rFonts w:ascii="Times New Roman" w:hAnsi="Times New Roman"/>
          <w:sz w:val="20"/>
        </w:rPr>
      </w:pPr>
      <w:r>
        <w:rPr>
          <w:rFonts w:ascii="Times New Roman" w:hAnsi="Times New Roman"/>
          <w:b/>
          <w:i/>
          <w:sz w:val="20"/>
        </w:rPr>
        <w:t>Level 3</w:t>
      </w:r>
      <w:r>
        <w:rPr>
          <w:rFonts w:ascii="Times New Roman" w:hAnsi="Times New Roman"/>
          <w:sz w:val="20"/>
        </w:rPr>
        <w:t xml:space="preserve">Inputs that are generally unobservable and are supported by little or no market activity, and typically reflect managements estimate of assumptions that market participants would use in pricing the asset or liability. </w:t>
      </w:r>
    </w:p>
    <w:p>
      <w:pPr>
        <w:pStyle w:val="TextBody"/>
        <w:bidi w:val="0"/>
        <w:spacing w:before="120" w:after="0"/>
        <w:jc w:val="left"/>
        <w:rPr>
          <w:rFonts w:ascii="Times New Roman" w:hAnsi="Times New Roman"/>
          <w:sz w:val="20"/>
        </w:rPr>
      </w:pPr>
      <w:r>
        <w:rPr>
          <w:rFonts w:ascii="Times New Roman" w:hAnsi="Times New Roman"/>
          <w:sz w:val="20"/>
        </w:rPr>
        <w:t xml:space="preserve">The level in the fair value hierarchy within which a fair value measurement in its entirety falls is based on the lowest-level input that is significant to the fair value measurement in its entirety. </w:t>
      </w:r>
    </w:p>
    <w:p>
      <w:pPr>
        <w:pStyle w:val="TextBody"/>
        <w:bidi w:val="0"/>
        <w:spacing w:before="120" w:after="0"/>
        <w:jc w:val="left"/>
        <w:rPr>
          <w:rFonts w:ascii="Times New Roman" w:hAnsi="Times New Roman"/>
          <w:sz w:val="20"/>
        </w:rPr>
      </w:pPr>
      <w:r>
        <w:rPr>
          <w:rFonts w:ascii="Times New Roman" w:hAnsi="Times New Roman"/>
          <w:sz w:val="20"/>
        </w:rPr>
        <w:t xml:space="preserve">The unaudited condensed consolidated financial statements as of and for the nine months ended September 30, 2022 and year ended December 31, 2021, do not include any nonrecurring fair value measurements relating to assets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were no transfers between Level 1 or Level 2 of the fair value hierarchy during the nine months ended September 30, 2022 and year ended December 31, 2021.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16"/>
        <w:gridCol w:w="242"/>
        <w:gridCol w:w="203"/>
        <w:gridCol w:w="566"/>
        <w:gridCol w:w="60"/>
        <w:gridCol w:w="242"/>
        <w:gridCol w:w="203"/>
        <w:gridCol w:w="566"/>
        <w:gridCol w:w="60"/>
        <w:gridCol w:w="242"/>
        <w:gridCol w:w="140"/>
        <w:gridCol w:w="713"/>
        <w:gridCol w:w="60"/>
        <w:gridCol w:w="242"/>
        <w:gridCol w:w="140"/>
        <w:gridCol w:w="712"/>
        <w:gridCol w:w="65"/>
      </w:tblGrid>
      <w:tr>
        <w:trPr/>
        <w:tc>
          <w:tcPr>
            <w:tcW w:w="4116"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1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414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September 30, 2022</w:t>
            </w:r>
          </w:p>
        </w:tc>
        <w:tc>
          <w:tcPr>
            <w:tcW w:w="65"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SAFE Note</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3" w:type="dxa"/>
            <w:tcBorders/>
            <w:vAlign w:val="bottom"/>
          </w:tcPr>
          <w:p>
            <w:pPr>
              <w:pStyle w:val="TableContents"/>
              <w:bidi w:val="0"/>
              <w:spacing w:before="0" w:after="283"/>
              <w:jc w:val="right"/>
              <w:rPr/>
            </w:pPr>
            <w:r>
              <w:rPr/>
              <w:t>50,230</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50,230</w:t>
            </w:r>
          </w:p>
        </w:tc>
        <w:tc>
          <w:tcPr>
            <w:tcW w:w="65"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warrants liability</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4,180</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4,180</w:t>
            </w:r>
          </w:p>
        </w:tc>
        <w:tc>
          <w:tcPr>
            <w:tcW w:w="65" w:type="dxa"/>
            <w:tcBorders/>
            <w:shd w:fill="CCEEFF" w:val="clear"/>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financial liabilities</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3" w:type="dxa"/>
            <w:tcBorders/>
            <w:vAlign w:val="bottom"/>
          </w:tcPr>
          <w:p>
            <w:pPr>
              <w:pStyle w:val="TableContents"/>
              <w:bidi w:val="0"/>
              <w:spacing w:before="0" w:after="283"/>
              <w:jc w:val="right"/>
              <w:rPr/>
            </w:pPr>
            <w:r>
              <w:rPr/>
              <w:t>54,410</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54,410</w:t>
            </w:r>
          </w:p>
        </w:tc>
        <w:tc>
          <w:tcPr>
            <w:tcW w:w="65"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16"/>
        <w:gridCol w:w="242"/>
        <w:gridCol w:w="203"/>
        <w:gridCol w:w="566"/>
        <w:gridCol w:w="60"/>
        <w:gridCol w:w="242"/>
        <w:gridCol w:w="203"/>
        <w:gridCol w:w="566"/>
        <w:gridCol w:w="60"/>
        <w:gridCol w:w="242"/>
        <w:gridCol w:w="140"/>
        <w:gridCol w:w="713"/>
        <w:gridCol w:w="60"/>
        <w:gridCol w:w="242"/>
        <w:gridCol w:w="140"/>
        <w:gridCol w:w="712"/>
        <w:gridCol w:w="65"/>
      </w:tblGrid>
      <w:tr>
        <w:trPr/>
        <w:tc>
          <w:tcPr>
            <w:tcW w:w="4116"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1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414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2021</w:t>
            </w:r>
          </w:p>
        </w:tc>
        <w:tc>
          <w:tcPr>
            <w:tcW w:w="65"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SAFE Note</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3" w:type="dxa"/>
            <w:tcBorders/>
            <w:vAlign w:val="bottom"/>
          </w:tcPr>
          <w:p>
            <w:pPr>
              <w:pStyle w:val="TableContents"/>
              <w:bidi w:val="0"/>
              <w:spacing w:before="0" w:after="283"/>
              <w:jc w:val="right"/>
              <w:rPr/>
            </w:pPr>
            <w:r>
              <w:rPr/>
              <w:t>34,001</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34,001</w:t>
            </w:r>
          </w:p>
        </w:tc>
        <w:tc>
          <w:tcPr>
            <w:tcW w:w="65"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warrants liability</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4,955</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4,955</w:t>
            </w:r>
          </w:p>
        </w:tc>
        <w:tc>
          <w:tcPr>
            <w:tcW w:w="65" w:type="dxa"/>
            <w:tcBorders/>
            <w:shd w:fill="CCEEFF" w:val="clear"/>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financial liabilities</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3" w:type="dxa"/>
            <w:tcBorders/>
            <w:vAlign w:val="bottom"/>
          </w:tcPr>
          <w:p>
            <w:pPr>
              <w:pStyle w:val="TableContents"/>
              <w:bidi w:val="0"/>
              <w:spacing w:before="0" w:after="283"/>
              <w:jc w:val="right"/>
              <w:rPr/>
            </w:pPr>
            <w:r>
              <w:rPr/>
              <w:t>38,956</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38,956</w:t>
            </w:r>
          </w:p>
        </w:tc>
        <w:tc>
          <w:tcPr>
            <w:tcW w:w="65"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significant unobservable inputs used in the fair value measurement of the SAFE Notes as of September 30,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34"/>
        <w:gridCol w:w="230"/>
        <w:gridCol w:w="3802"/>
        <w:gridCol w:w="230"/>
        <w:gridCol w:w="3884"/>
        <w:gridCol w:w="230"/>
        <w:gridCol w:w="96"/>
        <w:gridCol w:w="419"/>
        <w:gridCol w:w="280"/>
      </w:tblGrid>
      <w:tr>
        <w:trPr/>
        <w:tc>
          <w:tcPr>
            <w:tcW w:w="1034"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84"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034"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Fair Value</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(in thousands)</w:t>
            </w:r>
          </w:p>
        </w:tc>
        <w:tc>
          <w:tcPr>
            <w:tcW w:w="230" w:type="dxa"/>
            <w:tcBorders/>
            <w:vAlign w:val="bottom"/>
          </w:tcPr>
          <w:p>
            <w:pPr>
              <w:pStyle w:val="TableContents"/>
              <w:bidi w:val="0"/>
              <w:spacing w:before="0" w:after="283"/>
              <w:jc w:val="left"/>
              <w:rPr/>
            </w:pPr>
            <w:r>
              <w:rPr/>
              <w:t>  </w:t>
            </w:r>
          </w:p>
        </w:tc>
        <w:tc>
          <w:tcPr>
            <w:tcW w:w="38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Valuation Technique</w:t>
            </w:r>
          </w:p>
        </w:tc>
        <w:tc>
          <w:tcPr>
            <w:tcW w:w="230" w:type="dxa"/>
            <w:tcBorders/>
            <w:vAlign w:val="bottom"/>
          </w:tcPr>
          <w:p>
            <w:pPr>
              <w:pStyle w:val="TableContents"/>
              <w:bidi w:val="0"/>
              <w:spacing w:before="0" w:after="283"/>
              <w:jc w:val="left"/>
              <w:rPr/>
            </w:pPr>
            <w:r>
              <w:rPr/>
              <w:t>  </w:t>
            </w:r>
          </w:p>
        </w:tc>
        <w:tc>
          <w:tcPr>
            <w:tcW w:w="38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Unobservable Input</w:t>
            </w:r>
          </w:p>
        </w:tc>
        <w:tc>
          <w:tcPr>
            <w:tcW w:w="23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pPr>
            <w:r>
              <w:rPr/>
              <w:t>Input</w:t>
            </w:r>
          </w:p>
        </w:tc>
        <w:tc>
          <w:tcPr>
            <w:tcW w:w="280" w:type="dxa"/>
            <w:tcBorders/>
            <w:vAlign w:val="bottom"/>
          </w:tcPr>
          <w:p>
            <w:pPr>
              <w:pStyle w:val="TableContents"/>
              <w:bidi w:val="0"/>
              <w:spacing w:before="0" w:after="283"/>
              <w:jc w:val="left"/>
              <w:rPr/>
            </w:pPr>
            <w:r>
              <w:rPr/>
              <w:t> </w:t>
            </w:r>
          </w:p>
        </w:tc>
      </w:tr>
      <w:tr>
        <w:trPr/>
        <w:tc>
          <w:tcPr>
            <w:tcW w:w="1034" w:type="dxa"/>
            <w:tcBorders/>
          </w:tcPr>
          <w:p>
            <w:pPr>
              <w:pStyle w:val="TableContents"/>
              <w:bidi w:val="0"/>
              <w:spacing w:before="0" w:after="283"/>
              <w:jc w:val="left"/>
              <w:rPr/>
            </w:pPr>
            <w:r>
              <w:rPr/>
              <w:t>$50,230</w:t>
            </w:r>
          </w:p>
        </w:tc>
        <w:tc>
          <w:tcPr>
            <w:tcW w:w="230" w:type="dxa"/>
            <w:tcBorders/>
            <w:vAlign w:val="bottom"/>
          </w:tcPr>
          <w:p>
            <w:pPr>
              <w:pStyle w:val="TableContents"/>
              <w:bidi w:val="0"/>
              <w:spacing w:before="0" w:after="283"/>
              <w:jc w:val="left"/>
              <w:rPr/>
            </w:pPr>
            <w:r>
              <w:rPr/>
              <w:t>  </w:t>
            </w:r>
          </w:p>
        </w:tc>
        <w:tc>
          <w:tcPr>
            <w:tcW w:w="3802" w:type="dxa"/>
            <w:tcBorders/>
          </w:tcPr>
          <w:p>
            <w:pPr>
              <w:pStyle w:val="TableContents"/>
              <w:bidi w:val="0"/>
              <w:spacing w:before="0" w:after="283"/>
              <w:jc w:val="left"/>
              <w:rPr/>
            </w:pPr>
            <w:r>
              <w:rPr/>
              <w:t>Scenario-based analysis</w:t>
            </w:r>
          </w:p>
        </w:tc>
        <w:tc>
          <w:tcPr>
            <w:tcW w:w="230" w:type="dxa"/>
            <w:tcBorders/>
            <w:vAlign w:val="bottom"/>
          </w:tcPr>
          <w:p>
            <w:pPr>
              <w:pStyle w:val="TableContents"/>
              <w:bidi w:val="0"/>
              <w:spacing w:before="0" w:after="283"/>
              <w:jc w:val="left"/>
              <w:rPr/>
            </w:pPr>
            <w:r>
              <w:rPr/>
              <w:t>  </w:t>
            </w:r>
          </w:p>
        </w:tc>
        <w:tc>
          <w:tcPr>
            <w:tcW w:w="3884" w:type="dxa"/>
            <w:tcBorders/>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230"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20</w:t>
            </w:r>
          </w:p>
        </w:tc>
        <w:tc>
          <w:tcPr>
            <w:tcW w:w="280" w:type="dxa"/>
            <w:tcBorders/>
          </w:tcPr>
          <w:p>
            <w:pPr>
              <w:pStyle w:val="TableContents"/>
              <w:bidi w:val="0"/>
              <w:spacing w:before="0" w:after="283"/>
              <w:jc w:val="left"/>
              <w:rPr/>
            </w:pPr>
            <w:r>
              <w:rPr/>
              <w:t>% </w:t>
            </w:r>
          </w:p>
        </w:tc>
      </w:tr>
      <w:tr>
        <w:trPr/>
        <w:tc>
          <w:tcPr>
            <w:tcW w:w="1034"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3802"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3884" w:type="dxa"/>
            <w:tcBorders/>
          </w:tcPr>
          <w:p>
            <w:pPr>
              <w:pStyle w:val="TableContents"/>
              <w:bidi w:val="0"/>
              <w:spacing w:before="0" w:after="0"/>
              <w:jc w:val="left"/>
              <w:rPr>
                <w:rFonts w:ascii="Times New Roman" w:hAnsi="Times New Roman"/>
                <w:sz w:val="20"/>
              </w:rPr>
            </w:pPr>
            <w:r>
              <w:rPr>
                <w:rFonts w:ascii="Times New Roman" w:hAnsi="Times New Roman"/>
                <w:sz w:val="20"/>
              </w:rPr>
              <w:t>Probability of SPAC business combination</w:t>
            </w:r>
          </w:p>
        </w:tc>
        <w:tc>
          <w:tcPr>
            <w:tcW w:w="230"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80</w:t>
            </w:r>
          </w:p>
        </w:tc>
        <w:tc>
          <w:tcPr>
            <w:tcW w:w="280" w:type="dxa"/>
            <w:tcBorders/>
          </w:tcPr>
          <w:p>
            <w:pPr>
              <w:pStyle w:val="TableContents"/>
              <w:bidi w:val="0"/>
              <w:spacing w:before="0" w:after="283"/>
              <w:jc w:val="left"/>
              <w:rPr/>
            </w:pPr>
            <w:r>
              <w:rPr/>
              <w:t>% </w:t>
            </w:r>
          </w:p>
        </w:tc>
      </w:tr>
      <w:tr>
        <w:trPr/>
        <w:tc>
          <w:tcPr>
            <w:tcW w:w="1034"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3802"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3884" w:type="dxa"/>
            <w:tcBorders/>
          </w:tcPr>
          <w:p>
            <w:pPr>
              <w:pStyle w:val="TableContents"/>
              <w:bidi w:val="0"/>
              <w:spacing w:before="0" w:after="0"/>
              <w:jc w:val="left"/>
              <w:rPr>
                <w:rFonts w:ascii="Times New Roman" w:hAnsi="Times New Roman"/>
                <w:sz w:val="20"/>
              </w:rPr>
            </w:pPr>
            <w:r>
              <w:rPr>
                <w:rFonts w:ascii="Times New Roman" w:hAnsi="Times New Roman"/>
                <w:sz w:val="20"/>
              </w:rPr>
              <w:t>Probability of continuing business under non</w:t>
            </w:r>
          </w:p>
        </w:tc>
        <w:tc>
          <w:tcPr>
            <w:tcW w:w="230"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sz w:val="4"/>
                <w:szCs w:val="4"/>
              </w:rPr>
            </w:pPr>
            <w:r>
              <w:rPr>
                <w:sz w:val="4"/>
                <w:szCs w:val="4"/>
              </w:rPr>
            </w:r>
          </w:p>
        </w:tc>
        <w:tc>
          <w:tcPr>
            <w:tcW w:w="419"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3802"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3884" w:type="dxa"/>
            <w:tcBorders/>
          </w:tcPr>
          <w:p>
            <w:pPr>
              <w:pStyle w:val="TableContents"/>
              <w:bidi w:val="0"/>
              <w:spacing w:before="0" w:after="0"/>
              <w:jc w:val="left"/>
              <w:rPr>
                <w:rFonts w:ascii="Times New Roman" w:hAnsi="Times New Roman"/>
                <w:sz w:val="20"/>
              </w:rPr>
            </w:pPr>
            <w:r>
              <w:rPr>
                <w:rFonts w:ascii="Times New Roman" w:hAnsi="Times New Roman"/>
                <w:sz w:val="20"/>
              </w:rPr>
              <w:t>merger scenario</w:t>
            </w:r>
          </w:p>
        </w:tc>
        <w:tc>
          <w:tcPr>
            <w:tcW w:w="230"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20</w:t>
            </w:r>
          </w:p>
        </w:tc>
        <w:tc>
          <w:tcPr>
            <w:tcW w:w="280" w:type="dxa"/>
            <w:tcBorders/>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fair values of SAFE notes as of December 31, 2021, was determined to be same as face value.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2022 and December 31, 2021, the warrants were valued using the Black Scholes option pricing model with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3"/>
        <w:gridCol w:w="235"/>
        <w:gridCol w:w="1509"/>
        <w:gridCol w:w="235"/>
        <w:gridCol w:w="1453"/>
      </w:tblGrid>
      <w:tr>
        <w:trPr/>
        <w:tc>
          <w:tcPr>
            <w:tcW w:w="4323"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432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b/>
              </w:rPr>
            </w:pPr>
            <w:r>
              <w:rPr>
                <w:b/>
              </w:rPr>
              <w:t>September 30,</w:t>
            </w:r>
          </w:p>
        </w:tc>
        <w:tc>
          <w:tcPr>
            <w:tcW w:w="235" w:type="dxa"/>
            <w:tcBorders/>
            <w:vAlign w:val="bottom"/>
          </w:tcPr>
          <w:p>
            <w:pPr>
              <w:pStyle w:val="TableContents"/>
              <w:bidi w:val="0"/>
              <w:spacing w:before="0" w:after="283"/>
              <w:jc w:val="left"/>
              <w:rPr/>
            </w:pPr>
            <w:r>
              <w:rPr/>
              <w:t>  </w:t>
            </w:r>
          </w:p>
        </w:tc>
        <w:tc>
          <w:tcPr>
            <w:tcW w:w="1453" w:type="dxa"/>
            <w:tcBorders/>
            <w:vAlign w:val="bottom"/>
          </w:tcPr>
          <w:p>
            <w:pPr>
              <w:pStyle w:val="TableContents"/>
              <w:bidi w:val="0"/>
              <w:spacing w:before="0" w:after="283"/>
              <w:jc w:val="center"/>
              <w:rPr>
                <w:b/>
              </w:rPr>
            </w:pPr>
            <w:r>
              <w:rPr>
                <w:b/>
              </w:rPr>
              <w:t>December 31,</w:t>
            </w:r>
          </w:p>
        </w:tc>
      </w:tr>
      <w:tr>
        <w:trPr/>
        <w:tc>
          <w:tcPr>
            <w:tcW w:w="432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509" w:type="dxa"/>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35" w:type="dxa"/>
            <w:tcBorders/>
            <w:vAlign w:val="bottom"/>
          </w:tcPr>
          <w:p>
            <w:pPr>
              <w:pStyle w:val="TableContents"/>
              <w:bidi w:val="0"/>
              <w:spacing w:before="0" w:after="283"/>
              <w:jc w:val="left"/>
              <w:rPr/>
            </w:pPr>
            <w:r>
              <w:rPr/>
              <w:t>  </w:t>
            </w:r>
          </w:p>
        </w:tc>
        <w:tc>
          <w:tcPr>
            <w:tcW w:w="1453" w:type="dxa"/>
            <w:tcBorders>
              <w:bottom w:val="single" w:sz="8" w:space="0" w:color="000000"/>
            </w:tcBorders>
            <w:tcMar>
              <w:bottom w:w="28" w:type="dxa"/>
            </w:tcMar>
            <w:vAlign w:val="bottom"/>
          </w:tcPr>
          <w:p>
            <w:pPr>
              <w:pStyle w:val="TableContents"/>
              <w:bidi w:val="0"/>
              <w:spacing w:before="0" w:after="283"/>
              <w:jc w:val="center"/>
              <w:rPr>
                <w:b/>
              </w:rPr>
            </w:pPr>
            <w:r>
              <w:rPr>
                <w:b/>
              </w:rPr>
              <w:t>2021</w:t>
            </w:r>
          </w:p>
        </w:tc>
      </w:tr>
      <w:tr>
        <w:trPr/>
        <w:tc>
          <w:tcPr>
            <w:tcW w:w="4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235"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center"/>
              <w:rPr/>
            </w:pPr>
            <w:r>
              <w:rPr/>
              <w:t>5.23 - 9.20</w:t>
            </w:r>
          </w:p>
        </w:tc>
        <w:tc>
          <w:tcPr>
            <w:tcW w:w="235" w:type="dxa"/>
            <w:tcBorders/>
            <w:shd w:fill="CCEEFF" w:val="clear"/>
            <w:vAlign w:val="bottom"/>
          </w:tcPr>
          <w:p>
            <w:pPr>
              <w:pStyle w:val="TableContents"/>
              <w:bidi w:val="0"/>
              <w:spacing w:before="0" w:after="283"/>
              <w:jc w:val="left"/>
              <w:rPr/>
            </w:pPr>
            <w:r>
              <w:rPr/>
              <w:t>  </w:t>
            </w:r>
          </w:p>
        </w:tc>
        <w:tc>
          <w:tcPr>
            <w:tcW w:w="1453" w:type="dxa"/>
            <w:tcBorders/>
            <w:shd w:fill="CCEEFF" w:val="clear"/>
            <w:vAlign w:val="bottom"/>
          </w:tcPr>
          <w:p>
            <w:pPr>
              <w:pStyle w:val="TableContents"/>
              <w:bidi w:val="0"/>
              <w:spacing w:before="0" w:after="283"/>
              <w:jc w:val="center"/>
              <w:rPr/>
            </w:pPr>
            <w:r>
              <w:rPr/>
              <w:t>5.98 - 9.95</w:t>
            </w:r>
          </w:p>
        </w:tc>
      </w:tr>
      <w:tr>
        <w:trPr/>
        <w:tc>
          <w:tcPr>
            <w:tcW w:w="4323"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235"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pPr>
            <w:r>
              <w:rPr/>
              <w:t>55.4% - 58.6%</w:t>
            </w:r>
          </w:p>
        </w:tc>
        <w:tc>
          <w:tcPr>
            <w:tcW w:w="235" w:type="dxa"/>
            <w:tcBorders/>
            <w:vAlign w:val="bottom"/>
          </w:tcPr>
          <w:p>
            <w:pPr>
              <w:pStyle w:val="TableContents"/>
              <w:bidi w:val="0"/>
              <w:spacing w:before="0" w:after="283"/>
              <w:jc w:val="left"/>
              <w:rPr/>
            </w:pPr>
            <w:r>
              <w:rPr/>
              <w:t>  </w:t>
            </w:r>
          </w:p>
        </w:tc>
        <w:tc>
          <w:tcPr>
            <w:tcW w:w="1453" w:type="dxa"/>
            <w:tcBorders/>
            <w:vAlign w:val="bottom"/>
          </w:tcPr>
          <w:p>
            <w:pPr>
              <w:pStyle w:val="TableContents"/>
              <w:bidi w:val="0"/>
              <w:spacing w:before="0" w:after="283"/>
              <w:jc w:val="center"/>
              <w:rPr/>
            </w:pPr>
            <w:r>
              <w:rPr/>
              <w:t>54.0% - 57.7%</w:t>
            </w:r>
          </w:p>
        </w:tc>
      </w:tr>
      <w:tr>
        <w:trPr/>
        <w:tc>
          <w:tcPr>
            <w:tcW w:w="4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35"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center"/>
              <w:rPr/>
            </w:pPr>
            <w:r>
              <w:rPr/>
              <w:t>3.83% - 4.06%</w:t>
            </w:r>
          </w:p>
        </w:tc>
        <w:tc>
          <w:tcPr>
            <w:tcW w:w="235" w:type="dxa"/>
            <w:tcBorders/>
            <w:shd w:fill="CCEEFF" w:val="clear"/>
            <w:vAlign w:val="bottom"/>
          </w:tcPr>
          <w:p>
            <w:pPr>
              <w:pStyle w:val="TableContents"/>
              <w:bidi w:val="0"/>
              <w:spacing w:before="0" w:after="283"/>
              <w:jc w:val="left"/>
              <w:rPr/>
            </w:pPr>
            <w:r>
              <w:rPr/>
              <w:t>  </w:t>
            </w:r>
          </w:p>
        </w:tc>
        <w:tc>
          <w:tcPr>
            <w:tcW w:w="1453" w:type="dxa"/>
            <w:tcBorders/>
            <w:shd w:fill="CCEEFF" w:val="clear"/>
            <w:vAlign w:val="bottom"/>
          </w:tcPr>
          <w:p>
            <w:pPr>
              <w:pStyle w:val="TableContents"/>
              <w:bidi w:val="0"/>
              <w:spacing w:before="0" w:after="283"/>
              <w:jc w:val="center"/>
              <w:rPr/>
            </w:pPr>
            <w:r>
              <w:rPr/>
              <w:t>1.35% - 1.52%</w:t>
            </w:r>
          </w:p>
        </w:tc>
      </w:tr>
      <w:tr>
        <w:trPr/>
        <w:tc>
          <w:tcPr>
            <w:tcW w:w="4323"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235"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center"/>
              <w:rPr/>
            </w:pPr>
            <w:r>
              <w:rPr/>
              <w:t>0%</w:t>
            </w:r>
          </w:p>
        </w:tc>
        <w:tc>
          <w:tcPr>
            <w:tcW w:w="235" w:type="dxa"/>
            <w:tcBorders/>
            <w:vAlign w:val="bottom"/>
          </w:tcPr>
          <w:p>
            <w:pPr>
              <w:pStyle w:val="TableContents"/>
              <w:bidi w:val="0"/>
              <w:spacing w:before="0" w:after="283"/>
              <w:jc w:val="left"/>
              <w:rPr/>
            </w:pPr>
            <w:r>
              <w:rPr/>
              <w:t>  </w:t>
            </w:r>
          </w:p>
        </w:tc>
        <w:tc>
          <w:tcPr>
            <w:tcW w:w="1453" w:type="dxa"/>
            <w:tcBorders/>
            <w:vAlign w:val="bottom"/>
          </w:tcPr>
          <w:p>
            <w:pPr>
              <w:pStyle w:val="TableContents"/>
              <w:bidi w:val="0"/>
              <w:spacing w:before="0" w:after="283"/>
              <w:jc w:val="center"/>
              <w:rPr/>
            </w:pPr>
            <w:r>
              <w:rPr/>
              <w:t>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REDEEMABLE 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September 30, 2022, the Company is authorized to issue 13,500,285 shares of redeemable convertible preferred stock with a par value of $0.001 per share (collectively, Preferred Stock). Redeemable convertible preferred stock as of September 30, 2022 and December 31, 2021 consisted of the following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98"/>
        <w:gridCol w:w="185"/>
        <w:gridCol w:w="67"/>
        <w:gridCol w:w="1156"/>
        <w:gridCol w:w="60"/>
        <w:gridCol w:w="185"/>
        <w:gridCol w:w="73"/>
        <w:gridCol w:w="1241"/>
        <w:gridCol w:w="60"/>
        <w:gridCol w:w="185"/>
        <w:gridCol w:w="164"/>
        <w:gridCol w:w="810"/>
        <w:gridCol w:w="60"/>
        <w:gridCol w:w="185"/>
        <w:gridCol w:w="287"/>
        <w:gridCol w:w="939"/>
        <w:gridCol w:w="60"/>
        <w:gridCol w:w="185"/>
        <w:gridCol w:w="194"/>
        <w:gridCol w:w="1044"/>
        <w:gridCol w:w="67"/>
      </w:tblGrid>
      <w:tr>
        <w:trPr/>
        <w:tc>
          <w:tcPr>
            <w:tcW w:w="2998"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95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 September 30, 2022</w:t>
            </w:r>
          </w:p>
        </w:tc>
        <w:tc>
          <w:tcPr>
            <w:tcW w:w="67" w:type="dxa"/>
            <w:tcBorders/>
            <w:vAlign w:val="bottom"/>
          </w:tcPr>
          <w:p>
            <w:pPr>
              <w:pStyle w:val="TableContents"/>
              <w:bidi w:val="0"/>
              <w:spacing w:before="0" w:after="283"/>
              <w:jc w:val="left"/>
              <w:rPr/>
            </w:pPr>
            <w:r>
              <w:rPr/>
              <w:t> </w:t>
            </w:r>
          </w:p>
        </w:tc>
      </w:tr>
      <w:tr>
        <w:trPr/>
        <w:tc>
          <w:tcPr>
            <w:tcW w:w="29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Carrying</w:t>
              <w:br/>
              <w:t>Value</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 Per</w:t>
              <w:br/>
              <w:t>Share</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Liquidation</w:t>
              <w:br/>
              <w:t>Preference</w:t>
            </w:r>
          </w:p>
        </w:tc>
        <w:tc>
          <w:tcPr>
            <w:tcW w:w="67" w:type="dxa"/>
            <w:tcBorders/>
            <w:vAlign w:val="bottom"/>
          </w:tcPr>
          <w:p>
            <w:pPr>
              <w:pStyle w:val="TableContents"/>
              <w:bidi w:val="0"/>
              <w:spacing w:before="0" w:after="283"/>
              <w:jc w:val="left"/>
              <w:rPr/>
            </w:pPr>
            <w:r>
              <w:rPr/>
              <w:t> </w:t>
            </w:r>
          </w:p>
        </w:tc>
      </w:tr>
      <w:tr>
        <w:trPr/>
        <w:tc>
          <w:tcPr>
            <w:tcW w:w="2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E-1</w:t>
            </w:r>
          </w:p>
        </w:tc>
        <w:tc>
          <w:tcPr>
            <w:tcW w:w="18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7,324,607</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5,348,050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49,191</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9.17</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 </w:t>
            </w:r>
            <w:r>
              <w:rPr/>
              <w:t>49,042</w:t>
            </w:r>
          </w:p>
        </w:tc>
        <w:tc>
          <w:tcPr>
            <w:tcW w:w="67" w:type="dxa"/>
            <w:tcBorders/>
            <w:shd w:fill="CCEEFF" w:val="clear"/>
            <w:vAlign w:val="bottom"/>
          </w:tcPr>
          <w:p>
            <w:pPr>
              <w:pStyle w:val="TableContents"/>
              <w:bidi w:val="0"/>
              <w:spacing w:before="0" w:after="283"/>
              <w:jc w:val="left"/>
              <w:rPr/>
            </w:pPr>
            <w:r>
              <w:rPr/>
              <w:t> </w:t>
            </w:r>
          </w:p>
        </w:tc>
      </w:tr>
      <w:tr>
        <w:trPr/>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Series D-1</w:t>
            </w:r>
          </w:p>
        </w:tc>
        <w:tc>
          <w:tcPr>
            <w:tcW w:w="18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375,801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C-1</w:t>
            </w:r>
          </w:p>
        </w:tc>
        <w:tc>
          <w:tcPr>
            <w:tcW w:w="18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1,509,508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1,509,508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13,063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8.66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13,072</w:t>
            </w:r>
          </w:p>
        </w:tc>
        <w:tc>
          <w:tcPr>
            <w:tcW w:w="67" w:type="dxa"/>
            <w:tcBorders/>
            <w:shd w:fill="CCEEFF" w:val="clear"/>
            <w:vAlign w:val="bottom"/>
          </w:tcPr>
          <w:p>
            <w:pPr>
              <w:pStyle w:val="TableContents"/>
              <w:bidi w:val="0"/>
              <w:spacing w:before="0" w:after="283"/>
              <w:jc w:val="left"/>
              <w:rPr/>
            </w:pPr>
            <w:r>
              <w:rPr/>
              <w:t> </w:t>
            </w:r>
          </w:p>
        </w:tc>
      </w:tr>
      <w:tr>
        <w:trPr/>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18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785,471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785,471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4,238</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5.40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4,242</w:t>
            </w:r>
          </w:p>
        </w:tc>
        <w:tc>
          <w:tcPr>
            <w:tcW w:w="67" w:type="dxa"/>
            <w:tcBorders/>
            <w:vAlign w:val="bottom"/>
          </w:tcPr>
          <w:p>
            <w:pPr>
              <w:pStyle w:val="TableContents"/>
              <w:bidi w:val="0"/>
              <w:spacing w:before="0" w:after="283"/>
              <w:jc w:val="left"/>
              <w:rPr/>
            </w:pPr>
            <w:r>
              <w:rPr/>
              <w:t> </w:t>
            </w:r>
          </w:p>
        </w:tc>
      </w:tr>
      <w:tr>
        <w:trPr/>
        <w:tc>
          <w:tcPr>
            <w:tcW w:w="2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18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3,504,898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3,504,898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5,578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1.52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5,327</w:t>
            </w:r>
          </w:p>
        </w:tc>
        <w:tc>
          <w:tcPr>
            <w:tcW w:w="67" w:type="dxa"/>
            <w:tcBorders/>
            <w:shd w:fill="CCEEFF" w:val="clear"/>
            <w:vAlign w:val="bottom"/>
          </w:tcPr>
          <w:p>
            <w:pPr>
              <w:pStyle w:val="TableContents"/>
              <w:bidi w:val="0"/>
              <w:spacing w:before="0" w:after="283"/>
              <w:jc w:val="left"/>
              <w:rPr/>
            </w:pPr>
            <w:r>
              <w:rPr/>
              <w:t> </w:t>
            </w:r>
          </w:p>
        </w:tc>
      </w:tr>
      <w:tr>
        <w:trPr/>
        <w:tc>
          <w:tcPr>
            <w:tcW w:w="299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9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23" w:type="dxa"/>
            <w:gridSpan w:val="2"/>
            <w:tcBorders/>
            <w:vAlign w:val="bottom"/>
          </w:tcPr>
          <w:p>
            <w:pPr>
              <w:pStyle w:val="TableContents"/>
              <w:bidi w:val="0"/>
              <w:spacing w:before="0" w:after="283"/>
              <w:jc w:val="center"/>
              <w:rPr/>
            </w:pPr>
            <w:r>
              <w:rPr/>
              <w:t>13,500,285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bidi w:val="0"/>
              <w:spacing w:before="0" w:after="283"/>
              <w:jc w:val="center"/>
              <w:rPr/>
            </w:pPr>
            <w:r>
              <w:rPr/>
              <w:t>11,147,927</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74" w:type="dxa"/>
            <w:gridSpan w:val="2"/>
            <w:tcBorders/>
            <w:vAlign w:val="bottom"/>
          </w:tcPr>
          <w:p>
            <w:pPr>
              <w:pStyle w:val="TableContents"/>
              <w:bidi w:val="0"/>
              <w:spacing w:before="0" w:after="283"/>
              <w:jc w:val="center"/>
              <w:rPr/>
            </w:pPr>
            <w:r>
              <w:rPr/>
              <w:t>$72,070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center"/>
              <w:rPr/>
            </w:pPr>
            <w:r>
              <w:rPr/>
              <w:t>$ 71,683</w:t>
            </w:r>
          </w:p>
        </w:tc>
        <w:tc>
          <w:tcPr>
            <w:tcW w:w="67" w:type="dxa"/>
            <w:tcBorders/>
            <w:vAlign w:val="bottom"/>
          </w:tcPr>
          <w:p>
            <w:pPr>
              <w:pStyle w:val="TableContents"/>
              <w:bidi w:val="0"/>
              <w:spacing w:before="0" w:after="283"/>
              <w:jc w:val="left"/>
              <w:rPr/>
            </w:pPr>
            <w:r>
              <w:rPr/>
              <w:t> </w:t>
            </w:r>
          </w:p>
        </w:tc>
      </w:tr>
      <w:tr>
        <w:trPr/>
        <w:tc>
          <w:tcPr>
            <w:tcW w:w="299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98"/>
        <w:gridCol w:w="185"/>
        <w:gridCol w:w="67"/>
        <w:gridCol w:w="1156"/>
        <w:gridCol w:w="60"/>
        <w:gridCol w:w="185"/>
        <w:gridCol w:w="73"/>
        <w:gridCol w:w="1241"/>
        <w:gridCol w:w="60"/>
        <w:gridCol w:w="185"/>
        <w:gridCol w:w="164"/>
        <w:gridCol w:w="810"/>
        <w:gridCol w:w="60"/>
        <w:gridCol w:w="185"/>
        <w:gridCol w:w="287"/>
        <w:gridCol w:w="939"/>
        <w:gridCol w:w="60"/>
        <w:gridCol w:w="185"/>
        <w:gridCol w:w="194"/>
        <w:gridCol w:w="1044"/>
        <w:gridCol w:w="67"/>
      </w:tblGrid>
      <w:tr>
        <w:trPr/>
        <w:tc>
          <w:tcPr>
            <w:tcW w:w="2998"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95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 December 31, 2021</w:t>
            </w:r>
          </w:p>
        </w:tc>
        <w:tc>
          <w:tcPr>
            <w:tcW w:w="67" w:type="dxa"/>
            <w:tcBorders/>
            <w:vAlign w:val="bottom"/>
          </w:tcPr>
          <w:p>
            <w:pPr>
              <w:pStyle w:val="TableContents"/>
              <w:bidi w:val="0"/>
              <w:spacing w:before="0" w:after="283"/>
              <w:jc w:val="left"/>
              <w:rPr/>
            </w:pPr>
            <w:r>
              <w:rPr/>
              <w:t> </w:t>
            </w:r>
          </w:p>
        </w:tc>
      </w:tr>
      <w:tr>
        <w:trPr/>
        <w:tc>
          <w:tcPr>
            <w:tcW w:w="29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Carrying</w:t>
              <w:br/>
              <w:t>Value</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 Per</w:t>
              <w:br/>
              <w:t>Share</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Liquidation</w:t>
              <w:br/>
              <w:t>Preference</w:t>
            </w:r>
          </w:p>
        </w:tc>
        <w:tc>
          <w:tcPr>
            <w:tcW w:w="67" w:type="dxa"/>
            <w:tcBorders/>
            <w:vAlign w:val="bottom"/>
          </w:tcPr>
          <w:p>
            <w:pPr>
              <w:pStyle w:val="TableContents"/>
              <w:bidi w:val="0"/>
              <w:spacing w:before="0" w:after="283"/>
              <w:jc w:val="left"/>
              <w:rPr/>
            </w:pPr>
            <w:r>
              <w:rPr/>
              <w:t> </w:t>
            </w:r>
          </w:p>
        </w:tc>
      </w:tr>
      <w:tr>
        <w:trPr/>
        <w:tc>
          <w:tcPr>
            <w:tcW w:w="2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E-1</w:t>
            </w:r>
          </w:p>
        </w:tc>
        <w:tc>
          <w:tcPr>
            <w:tcW w:w="18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7,324,607</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5,348,050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49,186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9.17</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 </w:t>
            </w:r>
            <w:r>
              <w:rPr/>
              <w:t>49,042</w:t>
            </w:r>
          </w:p>
        </w:tc>
        <w:tc>
          <w:tcPr>
            <w:tcW w:w="67" w:type="dxa"/>
            <w:tcBorders/>
            <w:shd w:fill="CCEEFF" w:val="clear"/>
            <w:vAlign w:val="bottom"/>
          </w:tcPr>
          <w:p>
            <w:pPr>
              <w:pStyle w:val="TableContents"/>
              <w:bidi w:val="0"/>
              <w:spacing w:before="0" w:after="283"/>
              <w:jc w:val="left"/>
              <w:rPr/>
            </w:pPr>
            <w:r>
              <w:rPr/>
              <w:t> </w:t>
            </w:r>
          </w:p>
        </w:tc>
      </w:tr>
      <w:tr>
        <w:trPr/>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Series D-1</w:t>
            </w:r>
          </w:p>
        </w:tc>
        <w:tc>
          <w:tcPr>
            <w:tcW w:w="18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375,801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C-1</w:t>
            </w:r>
          </w:p>
        </w:tc>
        <w:tc>
          <w:tcPr>
            <w:tcW w:w="18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1,509,508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1,509,508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13,060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8.66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13,072</w:t>
            </w:r>
          </w:p>
        </w:tc>
        <w:tc>
          <w:tcPr>
            <w:tcW w:w="67" w:type="dxa"/>
            <w:tcBorders/>
            <w:shd w:fill="CCEEFF" w:val="clear"/>
            <w:vAlign w:val="bottom"/>
          </w:tcPr>
          <w:p>
            <w:pPr>
              <w:pStyle w:val="TableContents"/>
              <w:bidi w:val="0"/>
              <w:spacing w:before="0" w:after="283"/>
              <w:jc w:val="left"/>
              <w:rPr/>
            </w:pPr>
            <w:r>
              <w:rPr/>
              <w:t> </w:t>
            </w:r>
          </w:p>
        </w:tc>
      </w:tr>
      <w:tr>
        <w:trPr/>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18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785,471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785,471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4,237</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5.40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4,242</w:t>
            </w:r>
          </w:p>
        </w:tc>
        <w:tc>
          <w:tcPr>
            <w:tcW w:w="67" w:type="dxa"/>
            <w:tcBorders/>
            <w:vAlign w:val="bottom"/>
          </w:tcPr>
          <w:p>
            <w:pPr>
              <w:pStyle w:val="TableContents"/>
              <w:bidi w:val="0"/>
              <w:spacing w:before="0" w:after="283"/>
              <w:jc w:val="left"/>
              <w:rPr/>
            </w:pPr>
            <w:r>
              <w:rPr/>
              <w:t> </w:t>
            </w:r>
          </w:p>
        </w:tc>
      </w:tr>
      <w:tr>
        <w:trPr/>
        <w:tc>
          <w:tcPr>
            <w:tcW w:w="2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18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3,504,898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3,504,898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5,578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1.52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5,327</w:t>
            </w:r>
          </w:p>
        </w:tc>
        <w:tc>
          <w:tcPr>
            <w:tcW w:w="67" w:type="dxa"/>
            <w:tcBorders/>
            <w:shd w:fill="CCEEFF" w:val="clear"/>
            <w:vAlign w:val="bottom"/>
          </w:tcPr>
          <w:p>
            <w:pPr>
              <w:pStyle w:val="TableContents"/>
              <w:bidi w:val="0"/>
              <w:spacing w:before="0" w:after="283"/>
              <w:jc w:val="left"/>
              <w:rPr/>
            </w:pPr>
            <w:r>
              <w:rPr/>
              <w:t> </w:t>
            </w:r>
          </w:p>
        </w:tc>
      </w:tr>
      <w:tr>
        <w:trPr/>
        <w:tc>
          <w:tcPr>
            <w:tcW w:w="299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9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23" w:type="dxa"/>
            <w:gridSpan w:val="2"/>
            <w:tcBorders/>
            <w:vAlign w:val="bottom"/>
          </w:tcPr>
          <w:p>
            <w:pPr>
              <w:pStyle w:val="TableContents"/>
              <w:bidi w:val="0"/>
              <w:spacing w:before="0" w:after="283"/>
              <w:jc w:val="center"/>
              <w:rPr/>
            </w:pPr>
            <w:r>
              <w:rPr/>
              <w:t>13,500,285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bidi w:val="0"/>
              <w:spacing w:before="0" w:after="283"/>
              <w:jc w:val="center"/>
              <w:rPr/>
            </w:pPr>
            <w:r>
              <w:rPr/>
              <w:t>11,147,927</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74" w:type="dxa"/>
            <w:gridSpan w:val="2"/>
            <w:tcBorders/>
            <w:vAlign w:val="bottom"/>
          </w:tcPr>
          <w:p>
            <w:pPr>
              <w:pStyle w:val="TableContents"/>
              <w:bidi w:val="0"/>
              <w:spacing w:before="0" w:after="283"/>
              <w:jc w:val="center"/>
              <w:rPr/>
            </w:pPr>
            <w:r>
              <w:rPr/>
              <w:t>$72,061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center"/>
              <w:rPr/>
            </w:pPr>
            <w:r>
              <w:rPr/>
              <w:t>$ 71,683</w:t>
            </w:r>
          </w:p>
        </w:tc>
        <w:tc>
          <w:tcPr>
            <w:tcW w:w="67" w:type="dxa"/>
            <w:tcBorders/>
            <w:vAlign w:val="bottom"/>
          </w:tcPr>
          <w:p>
            <w:pPr>
              <w:pStyle w:val="TableContents"/>
              <w:bidi w:val="0"/>
              <w:spacing w:before="0" w:after="283"/>
              <w:jc w:val="left"/>
              <w:rPr/>
            </w:pPr>
            <w:r>
              <w:rPr/>
              <w:t> </w:t>
            </w:r>
          </w:p>
        </w:tc>
      </w:tr>
      <w:tr>
        <w:trPr/>
        <w:tc>
          <w:tcPr>
            <w:tcW w:w="299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March 2021, the Company issued 211,270 Series A-1 preferred stock and 35,294 Series B-1 preferred stock in connection with the exercise of warrants discussed in Note 7.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Preferred Stock have the following rights, preferences, privileges, and restrictions: </w:t>
      </w:r>
    </w:p>
    <w:p>
      <w:pPr>
        <w:pStyle w:val="TextBody"/>
        <w:bidi w:val="0"/>
        <w:spacing w:before="120" w:after="0"/>
        <w:jc w:val="left"/>
        <w:rPr>
          <w:rFonts w:ascii="Times New Roman" w:hAnsi="Times New Roman"/>
          <w:sz w:val="20"/>
        </w:rPr>
      </w:pPr>
      <w:r>
        <w:rPr>
          <w:rFonts w:ascii="Times New Roman" w:hAnsi="Times New Roman"/>
          <w:b/>
          <w:sz w:val="20"/>
        </w:rPr>
        <w:t>Dividends</w:t>
      </w:r>
      <w:r>
        <w:rPr>
          <w:rFonts w:ascii="Times New Roman" w:hAnsi="Times New Roman"/>
          <w:i/>
          <w:sz w:val="20"/>
        </w:rPr>
        <w:t xml:space="preserve"> </w:t>
      </w:r>
      <w:r>
        <w:rPr>
          <w:rFonts w:ascii="Times New Roman" w:hAnsi="Times New Roman"/>
          <w:sz w:val="20"/>
        </w:rPr>
        <w:t xml:space="preserve">The holders of the outstanding shares of Preferred Stock are entitled to receive, when and if declared by the Board of Directors, noncumulative dividends at the annual rate of 8% per share of Preferred Stock. Dividends on Preferred Stock are payable in preference to any dividends on common stock or Class B common stock. In any year, after payment of dividends on Preferred Stock, any additional dividends declared by the Board of Directors will be paid among the holders of Preferred Stock, common stock, and Class B common stock pro rata on an if-converted basis. No dividends have been declared or paid during the nine months ended September 30, 2022 and 2021. </w:t>
      </w:r>
    </w:p>
    <w:p>
      <w:pPr>
        <w:pStyle w:val="TextBody"/>
        <w:bidi w:val="0"/>
        <w:spacing w:before="120" w:after="0"/>
        <w:jc w:val="left"/>
        <w:rPr>
          <w:rFonts w:ascii="Times New Roman" w:hAnsi="Times New Roman"/>
          <w:sz w:val="20"/>
        </w:rPr>
      </w:pPr>
      <w:r>
        <w:rPr>
          <w:rFonts w:ascii="Times New Roman" w:hAnsi="Times New Roman"/>
          <w:b/>
          <w:sz w:val="20"/>
        </w:rPr>
        <w:t>Liquidation</w:t>
      </w:r>
      <w:r>
        <w:rPr>
          <w:rFonts w:ascii="Times New Roman" w:hAnsi="Times New Roman"/>
          <w:i/>
          <w:sz w:val="20"/>
        </w:rPr>
        <w:t xml:space="preserve"> </w:t>
      </w:r>
      <w:r>
        <w:rPr>
          <w:rFonts w:ascii="Times New Roman" w:hAnsi="Times New Roman"/>
          <w:sz w:val="20"/>
        </w:rPr>
        <w:t xml:space="preserve">Upon liquidation, dissolution, or winding up of the Company, including a change of control of the Company, holders of Preferred Stock will be entitled to receive, on a pro rata basis, prior and in preference to any distribution to holders of any series of common stock, an amount equal to $9.17 per share of Series E-1, $8.66 per share of Series D-1, $8.66 per share of Series C-1, $5.40 per share of Series B-1 and $1.52 per share of Series A-1, plus any declared but unpaid dividends on such shares. If the assets and funds thus available for distribution among holders of Preferred Stock are insufficient to provide such holders their full aforesaid preferential amount, then the entire amount of the assets and funds of the Company legally available for distribution will be distributed ratably among all holders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After the distribution to the holders of Preferred Stock, any remaining assets of the Company legally available for distribution will be distributed pro rata, on an if-converted basis, to all holders of common stock and Class 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Conversion</w:t>
      </w:r>
      <w:r>
        <w:rPr>
          <w:rFonts w:ascii="Times New Roman" w:hAnsi="Times New Roman"/>
          <w:i/>
          <w:sz w:val="20"/>
        </w:rPr>
        <w:t xml:space="preserve"> </w:t>
      </w:r>
      <w:r>
        <w:rPr>
          <w:rFonts w:ascii="Times New Roman" w:hAnsi="Times New Roman"/>
          <w:sz w:val="20"/>
        </w:rPr>
        <w:t xml:space="preserve">Each share of Preferred Stock is convertible at the option of the holder into that number of common shares that is equal to the original issuance price of the Preferred Stock divided by the conversion price, as defined in the Companys Certificate of Incorporation, subject to adjustment for events of dilution. Holders of Preferred Stock may elect to convert their shares into common stock at any time. </w:t>
      </w:r>
    </w:p>
    <w:p>
      <w:pPr>
        <w:pStyle w:val="TextBody"/>
        <w:bidi w:val="0"/>
        <w:spacing w:before="120" w:after="0"/>
        <w:jc w:val="left"/>
        <w:rPr>
          <w:rFonts w:ascii="Times New Roman" w:hAnsi="Times New Roman"/>
          <w:sz w:val="20"/>
        </w:rPr>
      </w:pPr>
      <w:r>
        <w:rPr>
          <w:rFonts w:ascii="Times New Roman" w:hAnsi="Times New Roman"/>
          <w:sz w:val="20"/>
        </w:rPr>
        <w:t xml:space="preserve">Each share of Preferred Stock will automatically convert into shares of common stock at the then effective conversion rate for each such share (i) immediately prior to the closing of a qualified public offering of the Companys common stock in which gross proceeds exceed $15.0 million or (ii) upon the receipt by the Company of a written request for such conversion from the holders of a majority of the then outstanding Preferred Stock. </w:t>
      </w:r>
    </w:p>
    <w:p>
      <w:pPr>
        <w:pStyle w:val="TextBody"/>
        <w:bidi w:val="0"/>
        <w:spacing w:before="120" w:after="0"/>
        <w:jc w:val="left"/>
        <w:rPr>
          <w:rFonts w:ascii="Times New Roman" w:hAnsi="Times New Roman"/>
          <w:sz w:val="20"/>
        </w:rPr>
      </w:pPr>
      <w:r>
        <w:rPr>
          <w:rFonts w:ascii="Times New Roman" w:hAnsi="Times New Roman"/>
          <w:b/>
          <w:sz w:val="20"/>
        </w:rPr>
        <w:t>Voting</w:t>
      </w:r>
      <w:r>
        <w:rPr>
          <w:rFonts w:ascii="Times New Roman" w:hAnsi="Times New Roman"/>
          <w:i/>
          <w:sz w:val="20"/>
        </w:rPr>
        <w:t xml:space="preserve"> </w:t>
      </w:r>
      <w:r>
        <w:rPr>
          <w:rFonts w:ascii="Times New Roman" w:hAnsi="Times New Roman"/>
          <w:sz w:val="20"/>
        </w:rPr>
        <w:t xml:space="preserve">Each share of Preferred Stock has voting rights equivalent to the number of shares of common stock into which it is convertible. </w:t>
      </w:r>
    </w:p>
    <w:p>
      <w:pPr>
        <w:pStyle w:val="TextBody"/>
        <w:bidi w:val="0"/>
        <w:spacing w:before="120" w:after="0"/>
        <w:jc w:val="left"/>
        <w:rPr>
          <w:rFonts w:ascii="Times New Roman" w:hAnsi="Times New Roman"/>
          <w:sz w:val="20"/>
        </w:rPr>
      </w:pPr>
      <w:r>
        <w:rPr>
          <w:rFonts w:ascii="Times New Roman" w:hAnsi="Times New Roman"/>
          <w:b/>
          <w:sz w:val="20"/>
        </w:rPr>
        <w:t>Protective Provisions</w:t>
      </w:r>
      <w:r>
        <w:rPr>
          <w:rFonts w:ascii="Times New Roman" w:hAnsi="Times New Roman"/>
          <w:i/>
          <w:sz w:val="20"/>
        </w:rPr>
        <w:t xml:space="preserve"> </w:t>
      </w:r>
      <w:r>
        <w:rPr>
          <w:rFonts w:ascii="Times New Roman" w:hAnsi="Times New Roman"/>
          <w:sz w:val="20"/>
        </w:rPr>
        <w:t xml:space="preserve">As long as 250,000 shares of Preferred Stock remain outstanding, the majority vote of the holders of the then outstanding shares of Preferred Stock is necessary for consummation of certain transactions, including but not limited to: increasing or decreasing the authorized capital stock; creating any senior or </w:t>
      </w:r>
      <w:r>
        <w:rPr>
          <w:rFonts w:ascii="Times New Roman" w:hAnsi="Times New Roman"/>
          <w:i/>
          <w:sz w:val="20"/>
        </w:rPr>
        <w:t>pari passu</w:t>
      </w:r>
      <w:r>
        <w:rPr>
          <w:rFonts w:ascii="Times New Roman" w:hAnsi="Times New Roman"/>
          <w:sz w:val="20"/>
        </w:rPr>
        <w:t xml:space="preserve"> security, privileges, preferences or voting rights senior to or on parity with those granted to the Preferred Stock; altering or changing the preferred series rights; redeeming or repurchasing the Companys equity securities; and entering into any transaction deemed to be a liquidation or dissolution of the Company. </w:t>
      </w:r>
    </w:p>
    <w:p>
      <w:pPr>
        <w:pStyle w:val="TextBody"/>
        <w:bidi w:val="0"/>
        <w:spacing w:before="120" w:after="0"/>
        <w:jc w:val="left"/>
        <w:rPr>
          <w:rFonts w:ascii="Times New Roman" w:hAnsi="Times New Roman"/>
          <w:sz w:val="20"/>
        </w:rPr>
      </w:pPr>
      <w:r>
        <w:rPr>
          <w:rFonts w:ascii="Times New Roman" w:hAnsi="Times New Roman"/>
          <w:b/>
          <w:sz w:val="20"/>
        </w:rPr>
        <w:t>Redemption</w:t>
      </w:r>
      <w:r>
        <w:rPr>
          <w:rFonts w:ascii="Times New Roman" w:hAnsi="Times New Roman"/>
          <w:i/>
          <w:sz w:val="20"/>
        </w:rPr>
        <w:t xml:space="preserve"> </w:t>
      </w:r>
      <w:r>
        <w:rPr>
          <w:rFonts w:ascii="Times New Roman" w:hAnsi="Times New Roman"/>
          <w:sz w:val="20"/>
        </w:rPr>
        <w:t xml:space="preserve">At any time after 7 years from the issuance of respective series of Preferred Shares, the holders of a majority of the outstanding voting Preferred Stock Series may vote to require the Company to redeem all outstanding shares of Preferred Stock Series in three equal annual installments by paying in cash an amount per share equal to the original issuance price of the Preferred Stock Series, plus any accrued but unpaid dividends. If the Company does not have sufficient funds legally available to redeem all shares of Preferred Stock, then the Company will redeem the maximum possible number of shares ratably among the holders of such shares and will redeem the remaining shares as soon as sufficient funds are legally available. After 7 years from the issuance of respective series of Preferred Shares, the Preferred shares are then currently redeemable at the option of the holder and have been classified in the mezzanine section of the Unaudited Condensed Consolidated Balance Sheets. </w:t>
      </w:r>
    </w:p>
    <w:p>
      <w:pPr>
        <w:pStyle w:val="TextBody"/>
        <w:bidi w:val="0"/>
        <w:spacing w:before="120" w:after="0"/>
        <w:jc w:val="left"/>
        <w:rPr>
          <w:rFonts w:ascii="Times New Roman" w:hAnsi="Times New Roman"/>
          <w:sz w:val="20"/>
        </w:rPr>
      </w:pPr>
      <w:r>
        <w:rPr>
          <w:rFonts w:ascii="Times New Roman" w:hAnsi="Times New Roman"/>
          <w:sz w:val="20"/>
        </w:rPr>
        <w:t xml:space="preserve">Preferred Shares are also contingently redeemable upon liquidation and certain deemed liquidation events such as acquisition, merger, consolidation or the sale, lease transfer, exclusive license or other disposition by the Company of all or substantially all of the assets of the Company. These events are outside the control of the Company and therefore the Preferred Stock have been classified in the mezzanine section of the Unaudited Condensed Consolidated Balance Sheets.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its redeemable convertible preferred stock at the amount of cash proceeds received on the date of issuance, net of issuance costs. Since the preferred stock is probable of becoming redeemable at the option of the holder at a future date, accretion of the preferred stock will be recognized over the period of time from the date of issuance to the earliest redemption date. The accretion is recorded as additional paid-in capital. Accretion of preferred stock was $0.01 million and $0.02 million for the nine months ended September 30, 2022 and 2021,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COMMON STOCK</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September 30, 2022 and December 31, 2021, the Company is authorized to issue two classes of common stock, designated as common stock and Class B common stock. The two classes of common stock have similar rights, except holders of common stock are entitled to one vote per share while holders of Class B common stock have no voting rights. Each share of Class B common stock will automatically convert into one share of common stock immediately prior to a qualified initial public offering of the Companys common stock or upon the consummation of a liquidation event (as defined in the Certificate of Incorporation). As of September 30, 2022 and December 31, 2021, the Company is authorized to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27,000,000 shares of common stock with a par value of $0.001 per share and 815 shares are designated as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April 2021, 25,000 warrants to purchase common stock were exercised. In March 2021, 12,674 warrants to purchase common stock expired unexercised. </w:t>
      </w:r>
    </w:p>
    <w:p>
      <w:pPr>
        <w:pStyle w:val="TextBody"/>
        <w:bidi w:val="0"/>
        <w:spacing w:before="120" w:after="0"/>
        <w:jc w:val="left"/>
        <w:rPr>
          <w:rFonts w:ascii="Times New Roman" w:hAnsi="Times New Roman"/>
          <w:sz w:val="20"/>
        </w:rPr>
      </w:pPr>
      <w:r>
        <w:rPr>
          <w:rFonts w:ascii="Times New Roman" w:hAnsi="Times New Roman"/>
          <w:sz w:val="20"/>
        </w:rPr>
        <w:t xml:space="preserve">During the nine months ended September 30, 2022, 1,311,651 warrants to purchase common stock were exercised and 505,672 warrants to purchase common stock expired unexercised. As of September 30, 2022 and December 31, 2021, 1,156,624 units and 2,973,947 units, respectively, of common stock warrants are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RELATED PARTY TRANSACTIONS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defines related parties as directors, executive officers, nominees for director, stockholders that have significant influence over the Company, or are a greater than 5% beneficial owner of the Companys capital and their affiliates or immediate family members. As of September 30, 2022 and December 31, 2021 and during the nine months ended September 30, 2022 and September 30, 2021 there were no significant transactions with related parties other than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6, in May 2022, the Company issued a $6.5 million secured promissory note to a trust affiliated with Thurman J. (T.J.) Rodgers, a director of Solaria amounting in exchange for cash. The secured promissory note with the original principal value of $6.5 million and paid-in-kind interest of $0.2 million was terminated in October 2022, in exchange for the issuance of a new convertible note by Complete Solar.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6, in December 2018, the Company issued the 2018 Notes totaling approximately $3.4 million in exchange for cash. Three of the notes with aggregate principal of $0.2 million were issued to related parties including two officers and a trust affiliated with a Board member. The aggregate liability, inclusive of interest and principal accretion totaled $0.5 million and $0.4 million as of September 30, 2022 and December 31, 2021, respectively. These amounts are included in the Unaudited Condensed Consolidated Balance Sheets as Notes Payable, Net.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did not record income tax expense during the nine months ended September 30, 2022 and 2021, respectively due to losses incurred and a full valuation allowance recorded against net deferred tax assets. The Companys tax loss carryforwards differ from financial statement losses primarily due to stock-based compensation which is not deductible for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deferred tax assets principally result from net operating loss carryforwards. Utilization of the Companys net operating loss carryforwards is dependent upon future levels of taxable income and may be subject to limitation due to the change in ownership provisions under Section 382 of the Internal Revenue Code and similar foreign provisions. Such limitations may result in the expiration of these carryforwards before their utilization.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nine months ended September 30, 2022, there were no significant changes to the total amount of unrecognized tax benefits. As of December 31, 2021, the Company had unrecognized tax benefits of $1.3 million for federal and $1.3 million for state related to R&amp;D credits generated as of December 31,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STOCK-BASED COMPENSATION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two stock option plans: the 2006 Stock Option Plan and the 2016 Stock Option Plan (collectively, the Plans). Options granted under the Plans may be either incentive stock options (ISOs) or nonqualified stock options (NSOs). ISOs may be granted only to Company employees (including officers and directors who are also employees). NSOs may be granted to Company employees, directors and consultants. Options under the Plans may be granted with contractual terms of up to ten years (five years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granted to holders of more than 10% of the Companys vesting stock). All options issued through September 30, 2022 have a ten-year contractual term. The exercise price of an ISO and NSO will not be less than 100% and 85% of the estimated fair value of the shares on the date of grant, respectively, as determined by the Companys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of an ISO and NSO granted to a 10% stockholder will not be less than 110% of the estimated fair value of the shares on the date of grant, as determined by the Board of Directors. Options generally vest over four to five years at a rate of 20% to 25% upon the first anniversary of the commencement date and monthly thereafter.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2022 and December 31, 2021, there were 926,435 and 335,538 shares of common stock available to be granted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estimated the fair values of each option awarded on the date of grant using the Black-Scholes-Merton option pricing model utilizing the assumptions noted below. The expected term of the options is based on the average period the stock options are expected to remain outstanding calculated as the midpoint of the options vesting term, and contractual expiration period, as the Company did not have sufficient historical information to develop reasonable expectations about future exercise patterns and post vesting employment termination behavior. The expected stock price volatility for the Companys stock was determined by examining the historical volatilities of its industry peers as the Company did not have any trading history of its common stock. The risk-free interest rate was calculated using the average of the published interest rates for U.S. Treasury issues with maturities that approximate the expected term. The dividend yield assumption is zero as the Company has no history of, nor plans of, dividend payments. The estimated forfeiture rates are based on the Companys historical forfeiture activity of unvested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assumptions used under the Black-Scholes-Merton option pricing model and the weighted average calculated fair value of the options granted to employees for the nine months ended September 30, 2022 and 2021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37"/>
        <w:gridCol w:w="352"/>
        <w:gridCol w:w="194"/>
        <w:gridCol w:w="613"/>
        <w:gridCol w:w="401"/>
        <w:gridCol w:w="270"/>
        <w:gridCol w:w="194"/>
        <w:gridCol w:w="615"/>
        <w:gridCol w:w="279"/>
      </w:tblGrid>
      <w:tr>
        <w:trPr/>
        <w:tc>
          <w:tcPr>
            <w:tcW w:w="4837"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83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287"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279" w:type="dxa"/>
            <w:tcBorders/>
            <w:vAlign w:val="bottom"/>
          </w:tcPr>
          <w:p>
            <w:pPr>
              <w:pStyle w:val="TableContents"/>
              <w:bidi w:val="0"/>
              <w:spacing w:before="0" w:after="283"/>
              <w:jc w:val="left"/>
              <w:rPr/>
            </w:pPr>
            <w:r>
              <w:rPr/>
              <w:t> </w:t>
            </w:r>
          </w:p>
        </w:tc>
      </w:tr>
      <w:tr>
        <w:trPr/>
        <w:tc>
          <w:tcPr>
            <w:tcW w:w="483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401"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79" w:type="dxa"/>
            <w:tcBorders/>
            <w:vAlign w:val="bottom"/>
          </w:tcPr>
          <w:p>
            <w:pPr>
              <w:pStyle w:val="TableContents"/>
              <w:bidi w:val="0"/>
              <w:spacing w:before="0" w:after="283"/>
              <w:jc w:val="left"/>
              <w:rPr/>
            </w:pPr>
            <w:r>
              <w:rPr/>
              <w:t> </w:t>
            </w:r>
          </w:p>
        </w:tc>
      </w:tr>
      <w:tr>
        <w:trPr/>
        <w:tc>
          <w:tcPr>
            <w:tcW w:w="48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 date fair value</w:t>
            </w:r>
          </w:p>
        </w:tc>
        <w:tc>
          <w:tcPr>
            <w:tcW w:w="35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13" w:type="dxa"/>
            <w:tcBorders/>
            <w:shd w:fill="CCEEFF" w:val="clear"/>
            <w:vAlign w:val="bottom"/>
          </w:tcPr>
          <w:p>
            <w:pPr>
              <w:pStyle w:val="TableContents"/>
              <w:bidi w:val="0"/>
              <w:spacing w:before="0" w:after="283"/>
              <w:jc w:val="right"/>
              <w:rPr/>
            </w:pPr>
            <w:r>
              <w:rPr/>
              <w:t>1.03</w:t>
            </w:r>
          </w:p>
        </w:tc>
        <w:tc>
          <w:tcPr>
            <w:tcW w:w="4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615" w:type="dxa"/>
            <w:tcBorders/>
            <w:shd w:fill="CCEEFF" w:val="clear"/>
            <w:vAlign w:val="bottom"/>
          </w:tcPr>
          <w:p>
            <w:pPr>
              <w:pStyle w:val="TableContents"/>
              <w:bidi w:val="0"/>
              <w:spacing w:before="0" w:after="283"/>
              <w:jc w:val="right"/>
              <w:rPr/>
            </w:pPr>
            <w:r>
              <w:rPr/>
              <w:t>1.34</w:t>
            </w:r>
          </w:p>
        </w:tc>
        <w:tc>
          <w:tcPr>
            <w:tcW w:w="279" w:type="dxa"/>
            <w:tcBorders/>
            <w:shd w:fill="CCEEFF" w:val="clear"/>
            <w:vAlign w:val="bottom"/>
          </w:tcPr>
          <w:p>
            <w:pPr>
              <w:pStyle w:val="TableContents"/>
              <w:bidi w:val="0"/>
              <w:spacing w:before="0" w:after="283"/>
              <w:jc w:val="left"/>
              <w:rPr/>
            </w:pPr>
            <w:r>
              <w:rPr/>
              <w:t> </w:t>
            </w:r>
          </w:p>
        </w:tc>
      </w:tr>
      <w:tr>
        <w:trPr/>
        <w:tc>
          <w:tcPr>
            <w:tcW w:w="4837"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5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6.21</w:t>
            </w:r>
          </w:p>
        </w:tc>
        <w:tc>
          <w:tcPr>
            <w:tcW w:w="401"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6.13</w:t>
            </w:r>
          </w:p>
        </w:tc>
        <w:tc>
          <w:tcPr>
            <w:tcW w:w="279" w:type="dxa"/>
            <w:tcBorders/>
            <w:vAlign w:val="bottom"/>
          </w:tcPr>
          <w:p>
            <w:pPr>
              <w:pStyle w:val="TableContents"/>
              <w:bidi w:val="0"/>
              <w:spacing w:before="0" w:after="283"/>
              <w:jc w:val="left"/>
              <w:rPr/>
            </w:pPr>
            <w:r>
              <w:rPr/>
              <w:t> </w:t>
            </w:r>
          </w:p>
        </w:tc>
      </w:tr>
      <w:tr>
        <w:trPr/>
        <w:tc>
          <w:tcPr>
            <w:tcW w:w="48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5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60</w:t>
            </w:r>
          </w:p>
        </w:tc>
        <w:tc>
          <w:tcPr>
            <w:tcW w:w="4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60</w:t>
            </w:r>
          </w:p>
        </w:tc>
        <w:tc>
          <w:tcPr>
            <w:tcW w:w="279" w:type="dxa"/>
            <w:tcBorders/>
            <w:shd w:fill="CCEEFF" w:val="clear"/>
            <w:vAlign w:val="bottom"/>
          </w:tcPr>
          <w:p>
            <w:pPr>
              <w:pStyle w:val="TableContents"/>
              <w:bidi w:val="0"/>
              <w:spacing w:before="0" w:after="283"/>
              <w:jc w:val="left"/>
              <w:rPr/>
            </w:pPr>
            <w:r>
              <w:rPr/>
              <w:t>% </w:t>
            </w:r>
          </w:p>
        </w:tc>
      </w:tr>
      <w:tr>
        <w:trPr/>
        <w:tc>
          <w:tcPr>
            <w:tcW w:w="4837" w:type="dxa"/>
            <w:tcBorders/>
          </w:tcPr>
          <w:p>
            <w:pPr>
              <w:pStyle w:val="TableContents"/>
              <w:bidi w:val="0"/>
              <w:spacing w:before="0" w:after="0"/>
              <w:jc w:val="left"/>
              <w:rPr>
                <w:rFonts w:ascii="Times New Roman" w:hAnsi="Times New Roman"/>
                <w:sz w:val="20"/>
              </w:rPr>
            </w:pPr>
            <w:r>
              <w:rPr>
                <w:rFonts w:ascii="Times New Roman" w:hAnsi="Times New Roman"/>
                <w:sz w:val="20"/>
              </w:rPr>
              <w:t>Risk- free interest rate</w:t>
            </w:r>
          </w:p>
        </w:tc>
        <w:tc>
          <w:tcPr>
            <w:tcW w:w="35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1.98</w:t>
            </w:r>
          </w:p>
        </w:tc>
        <w:tc>
          <w:tcPr>
            <w:tcW w:w="401"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1.01</w:t>
            </w:r>
          </w:p>
        </w:tc>
        <w:tc>
          <w:tcPr>
            <w:tcW w:w="279" w:type="dxa"/>
            <w:tcBorders/>
            <w:vAlign w:val="bottom"/>
          </w:tcPr>
          <w:p>
            <w:pPr>
              <w:pStyle w:val="TableContents"/>
              <w:bidi w:val="0"/>
              <w:spacing w:before="0" w:after="283"/>
              <w:jc w:val="left"/>
              <w:rPr/>
            </w:pPr>
            <w:r>
              <w:rPr/>
              <w:t>% </w:t>
            </w:r>
          </w:p>
        </w:tc>
      </w:tr>
      <w:tr>
        <w:trPr/>
        <w:tc>
          <w:tcPr>
            <w:tcW w:w="48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5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0</w:t>
            </w:r>
          </w:p>
        </w:tc>
        <w:tc>
          <w:tcPr>
            <w:tcW w:w="401"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the Companys stock option and restricted stock unit activity and related information for the nine months ended September 30, 2022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63"/>
        <w:gridCol w:w="142"/>
        <w:gridCol w:w="60"/>
        <w:gridCol w:w="996"/>
        <w:gridCol w:w="155"/>
        <w:gridCol w:w="84"/>
        <w:gridCol w:w="244"/>
        <w:gridCol w:w="766"/>
        <w:gridCol w:w="60"/>
        <w:gridCol w:w="142"/>
        <w:gridCol w:w="141"/>
        <w:gridCol w:w="1048"/>
        <w:gridCol w:w="60"/>
        <w:gridCol w:w="141"/>
        <w:gridCol w:w="214"/>
        <w:gridCol w:w="864"/>
        <w:gridCol w:w="60"/>
        <w:gridCol w:w="142"/>
        <w:gridCol w:w="78"/>
        <w:gridCol w:w="1152"/>
        <w:gridCol w:w="155"/>
        <w:gridCol w:w="84"/>
        <w:gridCol w:w="356"/>
        <w:gridCol w:w="1130"/>
        <w:gridCol w:w="68"/>
      </w:tblGrid>
      <w:tr>
        <w:trPr/>
        <w:tc>
          <w:tcPr>
            <w:tcW w:w="186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8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9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Options outstanding</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Restricted stock units</w:t>
            </w:r>
          </w:p>
        </w:tc>
        <w:tc>
          <w:tcPr>
            <w:tcW w:w="68" w:type="dxa"/>
            <w:tcBorders/>
            <w:vAlign w:val="bottom"/>
          </w:tcPr>
          <w:p>
            <w:pPr>
              <w:pStyle w:val="TableContents"/>
              <w:bidi w:val="0"/>
              <w:spacing w:before="0" w:after="283"/>
              <w:jc w:val="left"/>
              <w:rPr/>
            </w:pPr>
            <w:r>
              <w:rPr/>
              <w:t> </w:t>
            </w:r>
          </w:p>
        </w:tc>
      </w:tr>
      <w:tr>
        <w:trPr/>
        <w:tc>
          <w:tcPr>
            <w:tcW w:w="18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values</w:t>
              <w:br/>
              <w:t>($000s)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plan shares</w:t>
              <w:br/>
              <w:t>outstanding</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 value</w:t>
              <w:br/>
              <w:t>per share</w:t>
            </w:r>
          </w:p>
        </w:tc>
        <w:tc>
          <w:tcPr>
            <w:tcW w:w="68" w:type="dxa"/>
            <w:tcBorders/>
            <w:vAlign w:val="bottom"/>
          </w:tcPr>
          <w:p>
            <w:pPr>
              <w:pStyle w:val="TableContents"/>
              <w:bidi w:val="0"/>
              <w:spacing w:before="0" w:after="283"/>
              <w:jc w:val="left"/>
              <w:rPr/>
            </w:pPr>
            <w:r>
              <w:rPr/>
              <w:t> </w:t>
            </w:r>
          </w:p>
        </w:tc>
      </w:tr>
      <w:tr>
        <w:trPr/>
        <w:tc>
          <w:tcPr>
            <w:tcW w:w="1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Balances, December 31, 2021</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6,884,913</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2.62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8.01</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288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120,000</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3.91</w:t>
            </w:r>
          </w:p>
        </w:tc>
        <w:tc>
          <w:tcPr>
            <w:tcW w:w="68" w:type="dxa"/>
            <w:tcBorders/>
            <w:shd w:fill="CCEEFF" w:val="clear"/>
            <w:vAlign w:val="bottom"/>
          </w:tcPr>
          <w:p>
            <w:pPr>
              <w:pStyle w:val="TableContents"/>
              <w:bidi w:val="0"/>
              <w:spacing w:before="0" w:after="283"/>
              <w:jc w:val="left"/>
              <w:rPr/>
            </w:pPr>
            <w:r>
              <w:rPr/>
              <w:t> </w:t>
            </w:r>
          </w:p>
        </w:tc>
      </w:tr>
      <w:tr>
        <w:trPr/>
        <w:tc>
          <w:tcPr>
            <w:tcW w:w="1863" w:type="dxa"/>
            <w:tcBorders/>
          </w:tcPr>
          <w:p>
            <w:pPr>
              <w:pStyle w:val="TableContents"/>
              <w:bidi w:val="0"/>
              <w:spacing w:before="0" w:after="0"/>
              <w:jc w:val="left"/>
              <w:rPr>
                <w:rFonts w:ascii="Times New Roman" w:hAnsi="Times New Roman"/>
                <w:sz w:val="20"/>
              </w:rPr>
            </w:pPr>
            <w:r>
              <w:rPr>
                <w:rFonts w:ascii="Times New Roman" w:hAnsi="Times New Roman"/>
                <w:sz w:val="20"/>
              </w:rPr>
              <w:t>Options granted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756,060</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1.78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63" w:type="dxa"/>
            <w:tcBorders/>
          </w:tcPr>
          <w:p>
            <w:pPr>
              <w:pStyle w:val="TableContents"/>
              <w:bidi w:val="0"/>
              <w:spacing w:before="0" w:after="0"/>
              <w:jc w:val="left"/>
              <w:rPr>
                <w:rFonts w:ascii="Times New Roman" w:hAnsi="Times New Roman"/>
                <w:sz w:val="20"/>
              </w:rPr>
            </w:pPr>
            <w:r>
              <w:rPr>
                <w:rFonts w:ascii="Times New Roman" w:hAnsi="Times New Roman"/>
                <w:sz w:val="20"/>
              </w:rPr>
              <w:t>Options forfeited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(702,426</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3.39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(120,000</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863"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1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Balances, September 30, 2022</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6,938,547</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2.18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7.94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9,441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63"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1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863"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vested and exercisable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2022</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3,770,809</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2.43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7.27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4,332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based compensation is allocated on a departmental basis, based on the classification of the option holder or grant recipient. No income tax benefits have been recognized in the statements of operations for stock- based compensation arrangements and no stock- based compensation costs are capitalized as part of inventory or property and equipment as of September 30, 2022 and December 31, 2021. </w:t>
      </w:r>
    </w:p>
    <w:p>
      <w:pPr>
        <w:pStyle w:val="TextBody"/>
        <w:bidi w:val="0"/>
        <w:spacing w:before="120" w:after="0"/>
        <w:jc w:val="left"/>
        <w:rPr>
          <w:rFonts w:ascii="Times New Roman" w:hAnsi="Times New Roman"/>
          <w:sz w:val="20"/>
        </w:rPr>
      </w:pPr>
      <w:r>
        <w:rPr>
          <w:rFonts w:ascii="Times New Roman" w:hAnsi="Times New Roman"/>
          <w:sz w:val="20"/>
        </w:rPr>
        <w:t xml:space="preserve">Stock- based compensation expense is as follows for the nine months ended September 30, 2022 and 2021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04"/>
        <w:gridCol w:w="244"/>
        <w:gridCol w:w="141"/>
        <w:gridCol w:w="827"/>
        <w:gridCol w:w="60"/>
        <w:gridCol w:w="244"/>
        <w:gridCol w:w="141"/>
        <w:gridCol w:w="829"/>
        <w:gridCol w:w="65"/>
      </w:tblGrid>
      <w:tr>
        <w:trPr/>
        <w:tc>
          <w:tcPr>
            <w:tcW w:w="5204"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242"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93</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339</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347</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466</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477</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1,169</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1,030</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 based compensation</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    </w:t>
            </w:r>
            <w:r>
              <w:rPr/>
              <w:t>2,011</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    </w:t>
            </w:r>
            <w:r>
              <w:rPr/>
              <w:t>1,947</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Repricing of Options </w:t>
      </w:r>
    </w:p>
    <w:p>
      <w:pPr>
        <w:pStyle w:val="TextBody"/>
        <w:bidi w:val="0"/>
        <w:spacing w:before="120" w:after="0"/>
        <w:jc w:val="left"/>
        <w:rPr>
          <w:rFonts w:ascii="Times New Roman" w:hAnsi="Times New Roman"/>
          <w:sz w:val="20"/>
        </w:rPr>
      </w:pPr>
      <w:r>
        <w:rPr>
          <w:rFonts w:ascii="Times New Roman" w:hAnsi="Times New Roman"/>
          <w:sz w:val="20"/>
        </w:rPr>
        <w:t xml:space="preserve">Effective March 23, 2022, the Companys board of directors approved an offer, to certain eligible employees, to exchange existing stock options, with an exercise price above $1.36, for new replacement stock options. The exercise price of the replacement stock options is $1.36 per share, which was the estimated fair market value on the exchange date, as determined with assistance from third- party valuation specialists. Eligible employees elected to exchange an aggregate of 991,195 outstanding stock options, with exercise prices ranging from $1.64 to $3.91 per share, for new replacement stock options. The replacement stock options have a grant date of March 23, 2022 and a contractual term of 10 years.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offer applied to both vested and unvested shares. Previously vested shares were exchanged for vested replacement stock options. Unvested shares were exchanged for shares which vest in accordance with the board-approved grant approval schedule with the service period ranging from 1.0 to 4.3 years. </w:t>
      </w:r>
    </w:p>
    <w:p>
      <w:pPr>
        <w:pStyle w:val="TextBody"/>
        <w:bidi w:val="0"/>
        <w:spacing w:before="120" w:after="0"/>
        <w:jc w:val="left"/>
        <w:rPr>
          <w:rFonts w:ascii="Times New Roman" w:hAnsi="Times New Roman"/>
          <w:sz w:val="20"/>
        </w:rPr>
      </w:pPr>
      <w:r>
        <w:rPr>
          <w:rFonts w:ascii="Times New Roman" w:hAnsi="Times New Roman"/>
          <w:sz w:val="20"/>
        </w:rPr>
        <w:t xml:space="preserve">The March 23, 2022 share exchange was accounted for as a modification and resulted in incremental stock-based compensation expense of $0.4 million of which $0.2 million related to vested options which was recognized immediately and $0.2 million related to unvested options which is being amortized on a straight-line basis over the 3.0 year weighted-average vesting period for those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June 2022, the Company filed a notice of arbitration with the Singapore International Arbitration Centre (SIAC) seeking approximately $47.0 million in damages against Solar Park Korea Co., LTD (Solar Park), a contract manufacturer of solar panels. The arbitration relates to write- downs recorded by the Company in December 2021 and other costs related to the loss of Solar Parks production and transition to a new provider. Solar Park filed a response with SIAC in June 2022 asserting damages of approximately $30.0 million against the Company. The arbitration is expected to occur during the first half of 2024. On March 16, 2023, Solar Park filed a lawsuit against the Company and Complete Solaria claiming misappropriation of trade secrets, defamation, and tortious interference with contractual relations, among other things, in the United States District Court for the Northern District of California. </w:t>
      </w:r>
    </w:p>
    <w:p>
      <w:pPr>
        <w:pStyle w:val="TextBody"/>
        <w:bidi w:val="0"/>
        <w:spacing w:before="120" w:after="0"/>
        <w:jc w:val="left"/>
        <w:rPr>
          <w:rFonts w:ascii="Times New Roman" w:hAnsi="Times New Roman"/>
          <w:sz w:val="20"/>
        </w:rPr>
      </w:pPr>
      <w:r>
        <w:rPr>
          <w:rFonts w:ascii="Times New Roman" w:hAnsi="Times New Roman"/>
          <w:sz w:val="20"/>
        </w:rPr>
        <w:t xml:space="preserve">The Company believes that Solar Parks allegations in the arbitration and the litigation lack merit and intends to vigorously defend all claims asserted. No liability has been recorded in the Companys unaudited condensed consolidated financial statements as the likelihood of a loss is not probable at this time, and the Company does not believe a reasonably possible loss would be material to, nor does it expect that the ultimate resolution of these cases will have a material adverse effect on the Companys financial condition, results of operations or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September 30, 2022, the Company was contesting a $1.8 million liability to a vendor for the purchase of factory equipment which was intended to be used in Solar Park. The liability was included in the September 30, 2022 Unaudited Condensed Consolidated Balance Sheet as Accounts Payable of $0.4 million and Accrued Expenses and Other Current Liabilities of $1.4 million. The liability was included in the December 31, 2021 Unaudited Condensed Consolidated Balance Sheet as Accrued Expenses and Other Current Liabilities of $1.7 million and Other Liabilities, noncurrent of $0.1 million. On January 2023, the Company reached a settlement agreement with the vendor which reduced the liability from $1.8 million to $0.9 million. </w:t>
      </w:r>
    </w:p>
    <w:p>
      <w:pPr>
        <w:pStyle w:val="TextBody"/>
        <w:bidi w:val="0"/>
        <w:spacing w:before="120" w:after="0"/>
        <w:jc w:val="left"/>
        <w:rPr>
          <w:rFonts w:ascii="Times New Roman" w:hAnsi="Times New Roman"/>
          <w:sz w:val="20"/>
        </w:rPr>
      </w:pPr>
      <w:r>
        <w:rPr>
          <w:rFonts w:ascii="Times New Roman" w:hAnsi="Times New Roman"/>
          <w:sz w:val="20"/>
        </w:rPr>
        <w:t xml:space="preserve">In July 2020, the Company became aware that it might be subject to Antidumping and Countervailing Duties (ADCVD) on certain components manufactured in China and used in the solar panel production process in Korea. The Company applied for a definitive ruling from the U.S. Department of Commerce (DoC) while in parallel shifting its component supply from China. The DoC issued its ruling in April 2021. Because of the specificity of the DoC ruling in the Solaria case and prior case law under similar circumstances, the Company concluded that such ADCVD was not probable to be incurred for purchases in periods prior to the DoC ruling and immediately started paying appropriate ADCVD deposits on all entries after April 2021. No liability has been recorded in the Companys consolidated financial statements as the likelihood of a loss is not probable at this time.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involved in other lawsuits and claims which arise in the normal course of business. These claims individually and in the aggregate are not expected to result in a material effect on the Companys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had $3.5 million of outstanding letters of credit related to normal business transactions as of September 30, 2022. These agreements require the Company to maintain specified amounts of cash as collateral in segregated accounts to support the letters of credit issued thereunder. As discussed in Note 4, the cash collateral in these restricted cash accounts was $3.7 million and $4.8 million as of September 30, 2022 and December 31, 2021,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EMPLOYEE BENEFIT PLAN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a 401(k) plan to provide defined contribution retirement benefits for all employees. Participants may contribute a portion of their compensation to the plan, subject to limitations under the Code. The Companys contributions to the plan are at the discretion of the Board of Directors. The Company has not made any contributions to the plan since inception.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GEOGRAPHIC INFORMATION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revenue by geographic area for the nine months ended September 30, 2022 and 2021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65"/>
        <w:gridCol w:w="256"/>
        <w:gridCol w:w="146"/>
        <w:gridCol w:w="740"/>
        <w:gridCol w:w="60"/>
        <w:gridCol w:w="256"/>
        <w:gridCol w:w="77"/>
        <w:gridCol w:w="748"/>
        <w:gridCol w:w="277"/>
        <w:gridCol w:w="153"/>
        <w:gridCol w:w="146"/>
        <w:gridCol w:w="740"/>
        <w:gridCol w:w="60"/>
        <w:gridCol w:w="256"/>
        <w:gridCol w:w="77"/>
        <w:gridCol w:w="748"/>
        <w:gridCol w:w="283"/>
      </w:tblGrid>
      <w:tr>
        <w:trPr/>
        <w:tc>
          <w:tcPr>
            <w:tcW w:w="4365"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36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448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83" w:type="dxa"/>
            <w:tcBorders/>
            <w:vAlign w:val="bottom"/>
          </w:tcPr>
          <w:p>
            <w:pPr>
              <w:pStyle w:val="TableContents"/>
              <w:bidi w:val="0"/>
              <w:spacing w:before="0" w:after="283"/>
              <w:jc w:val="left"/>
              <w:rPr/>
            </w:pPr>
            <w:r>
              <w:rPr/>
              <w:t> </w:t>
            </w:r>
          </w:p>
        </w:tc>
      </w:tr>
      <w:tr>
        <w:trPr/>
        <w:tc>
          <w:tcPr>
            <w:tcW w:w="436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0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0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83" w:type="dxa"/>
            <w:tcBorders/>
            <w:vAlign w:val="bottom"/>
          </w:tcPr>
          <w:p>
            <w:pPr>
              <w:pStyle w:val="TableContents"/>
              <w:bidi w:val="0"/>
              <w:spacing w:before="0" w:after="283"/>
              <w:jc w:val="left"/>
              <w:rPr/>
            </w:pPr>
            <w:r>
              <w:rPr/>
              <w:t> </w:t>
            </w:r>
          </w:p>
        </w:tc>
      </w:tr>
      <w:tr>
        <w:trPr/>
        <w:tc>
          <w:tcPr>
            <w:tcW w:w="436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3" w:type="dxa"/>
            <w:tcBorders/>
            <w:vAlign w:val="bottom"/>
          </w:tcPr>
          <w:p>
            <w:pPr>
              <w:pStyle w:val="TableContents"/>
              <w:bidi w:val="0"/>
              <w:spacing w:before="0" w:after="283"/>
              <w:jc w:val="left"/>
              <w:rPr/>
            </w:pPr>
            <w:r>
              <w:rPr/>
              <w:t> </w:t>
            </w:r>
          </w:p>
        </w:tc>
      </w:tr>
      <w:tr>
        <w:trPr/>
        <w:tc>
          <w:tcPr>
            <w:tcW w:w="4365"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Total revenue, net</w:t>
            </w:r>
          </w:p>
        </w:tc>
        <w:tc>
          <w:tcPr>
            <w:tcW w:w="2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4365"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26,566</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86.2</w:t>
            </w:r>
          </w:p>
        </w:tc>
        <w:tc>
          <w:tcPr>
            <w:tcW w:w="27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46,159</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96.2</w:t>
            </w:r>
          </w:p>
        </w:tc>
        <w:tc>
          <w:tcPr>
            <w:tcW w:w="283" w:type="dxa"/>
            <w:tcBorders/>
            <w:vAlign w:val="bottom"/>
          </w:tcPr>
          <w:p>
            <w:pPr>
              <w:pStyle w:val="TableContents"/>
              <w:bidi w:val="0"/>
              <w:spacing w:before="0" w:after="283"/>
              <w:jc w:val="left"/>
              <w:rPr/>
            </w:pPr>
            <w:r>
              <w:rPr/>
              <w:t>% </w:t>
            </w:r>
          </w:p>
        </w:tc>
      </w:tr>
      <w:tr>
        <w:trPr/>
        <w:tc>
          <w:tcPr>
            <w:tcW w:w="4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2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4,260</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13.8</w:t>
            </w:r>
          </w:p>
        </w:tc>
        <w:tc>
          <w:tcPr>
            <w:tcW w:w="27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1,674</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3.5</w:t>
            </w:r>
          </w:p>
        </w:tc>
        <w:tc>
          <w:tcPr>
            <w:tcW w:w="283" w:type="dxa"/>
            <w:tcBorders/>
            <w:shd w:fill="CCEEFF" w:val="clear"/>
            <w:vAlign w:val="bottom"/>
          </w:tcPr>
          <w:p>
            <w:pPr>
              <w:pStyle w:val="TableContents"/>
              <w:bidi w:val="0"/>
              <w:spacing w:before="0" w:after="283"/>
              <w:jc w:val="left"/>
              <w:rPr/>
            </w:pPr>
            <w:r>
              <w:rPr/>
              <w:t>% </w:t>
            </w:r>
          </w:p>
        </w:tc>
      </w:tr>
      <w:tr>
        <w:trPr/>
        <w:tc>
          <w:tcPr>
            <w:tcW w:w="4365" w:type="dxa"/>
            <w:tcBorders/>
          </w:tcPr>
          <w:p>
            <w:pPr>
              <w:pStyle w:val="TableContents"/>
              <w:bidi w:val="0"/>
              <w:spacing w:before="0" w:after="0"/>
              <w:jc w:val="left"/>
              <w:rPr>
                <w:rFonts w:ascii="Times New Roman" w:hAnsi="Times New Roman"/>
                <w:sz w:val="20"/>
              </w:rPr>
            </w:pPr>
            <w:r>
              <w:rPr>
                <w:rFonts w:ascii="Times New Roman" w:hAnsi="Times New Roman"/>
                <w:sz w:val="20"/>
              </w:rPr>
              <w:t>Australia</w:t>
            </w:r>
          </w:p>
        </w:tc>
        <w:tc>
          <w:tcPr>
            <w:tcW w:w="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0.0</w:t>
            </w:r>
          </w:p>
        </w:tc>
        <w:tc>
          <w:tcPr>
            <w:tcW w:w="27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0.3</w:t>
            </w:r>
          </w:p>
        </w:tc>
        <w:tc>
          <w:tcPr>
            <w:tcW w:w="283" w:type="dxa"/>
            <w:tcBorders/>
            <w:vAlign w:val="bottom"/>
          </w:tcPr>
          <w:p>
            <w:pPr>
              <w:pStyle w:val="TableContents"/>
              <w:bidi w:val="0"/>
              <w:spacing w:before="0" w:after="283"/>
              <w:jc w:val="left"/>
              <w:rPr/>
            </w:pPr>
            <w:r>
              <w:rPr/>
              <w:t>% </w:t>
            </w:r>
          </w:p>
        </w:tc>
      </w:tr>
      <w:tr>
        <w:trPr/>
        <w:tc>
          <w:tcPr>
            <w:tcW w:w="4365"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4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30,826</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100.0</w:t>
            </w:r>
          </w:p>
        </w:tc>
        <w:tc>
          <w:tcPr>
            <w:tcW w:w="27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47,961</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100.0</w:t>
            </w:r>
          </w:p>
        </w:tc>
        <w:tc>
          <w:tcPr>
            <w:tcW w:w="283" w:type="dxa"/>
            <w:tcBorders/>
            <w:shd w:fill="CCEEFF" w:val="clear"/>
            <w:vAlign w:val="bottom"/>
          </w:tcPr>
          <w:p>
            <w:pPr>
              <w:pStyle w:val="TableContents"/>
              <w:bidi w:val="0"/>
              <w:spacing w:before="0" w:after="283"/>
              <w:jc w:val="left"/>
              <w:rPr/>
            </w:pPr>
            <w:r>
              <w:rPr/>
              <w:t>% </w:t>
            </w:r>
          </w:p>
        </w:tc>
      </w:tr>
      <w:tr>
        <w:trPr/>
        <w:tc>
          <w:tcPr>
            <w:tcW w:w="4365"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48"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48"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SUBSEQUENT EVENTS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subsequent events through February 9, 2023, the date of issuance of these financial statements and has determined that there are no subsequent events outside the ordinary scope of business that require adjustment to, or disclosure in, the financial statements other than those described below.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the Company entered into an Agreement and Plan of Merger (the Merger Agreement) with Complete Solar and formed Complete Solaria. As a result, the Company became a wholly-owned indirect subsidiary of Complete Solaria effective on the date of consummation of merger in November 2022.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the Company entered into an amendment to the Original Agreement (Sixth Amendment) related to SCI which resulted in removal of quarterly revenue and contribution margin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in conjunction with the Merger Agreement with Complete Solar discussed above, the secured promissory note, issued in May 2022, to a trust affiliated with Thurman J. (T.J.) Rodgers, was terminated in exchange for issuance of a convertible note by Complete Solar.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2022 Complete Solaria entered into a definitive business combination agreement with Freedom Acquisition I Corp. (NYSE: FACT) (Freedom), a Special Purpose Acquisition Company (SPAC). Upon closing of the business combination, which is expected in the first half of 2023, the combined Company is expected to be listed on the New York Stock Exchange under the new ticker CSLR.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2022, the Company entered into an amendment to the 2018 Notes extending the maturity date from December 13, 2022 to December 13, 2023. In connection with the amendment, the terms of the notes will continue to bear interest at 8% per annum and are entitled to a repayment premium of 120% of the principal and accrued interest due. Additionally, in connection with the amendment and cancellation of 196,462 shares of Series E-1 warrants of Solaria, Complete Solaria issued warrants to purchase 304,234 shares of Series D-7 preferred stock at $3.84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115</Pages>
  <Words>107741</Words>
  <Characters>580201</Characters>
  <CharactersWithSpaces>706385</CharactersWithSpaces>
  <Paragraphs>32357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