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30142107-424b3_sunpower.htm"/>
      <w:bookmarkStart w:id="1" w:name="ksea030142107424b3_sunpower"/>
      <w:bookmarkEnd w:id="0"/>
      <w:bookmarkEnd w:id="1"/>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333-297660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1</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Prospectus dated August 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45,571,137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supplements the prospectus dated August 4, 2026 (as amended or supplemented,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which forms a part of our registration statement on Form S-1 (No. 333-297660). This prospectus supplement is being filed to update and supplement the information in the prospectus with the information contained in our Current Report on Form 8-K filed with the Securities and Exchange Commission on August 10, 2026 (the “</w:t>
      </w: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and such information, the “</w:t>
      </w:r>
      <w:r>
        <w:rPr>
          <w:rFonts w:ascii="Times New Roman;Times;Serif" w:hAnsi="Times New Roman;Times;Serif"/>
          <w:b/>
          <w:i w:val="false"/>
          <w:caps w:val="false"/>
          <w:smallCaps w:val="false"/>
          <w:sz w:val="20"/>
        </w:rPr>
        <w:t>Supplemental Information</w:t>
      </w:r>
      <w:r>
        <w:rPr>
          <w:rFonts w:ascii="Times New Roman;Times;Serif" w:hAnsi="Times New Roman;Times;Serif"/>
          <w:b w:val="false"/>
          <w:i w:val="false"/>
          <w:caps w:val="false"/>
          <w:smallCaps w:val="false"/>
          <w:sz w:val="20"/>
        </w:rPr>
        <w:t>”). Accordingly, we have attached the Current Report to this prospectus supplement with respect to the Supplemental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and this prospectus supplement relate to the offer and sale from time to time by the selling securityholders named in the prospectus or their permitted transferees (the “</w:t>
      </w:r>
      <w:r>
        <w:rPr>
          <w:rFonts w:ascii="Times New Roman;Times;Serif" w:hAnsi="Times New Roman;Times;Serif"/>
          <w:b/>
          <w:i w:val="false"/>
          <w:caps w:val="false"/>
          <w:smallCaps w:val="false"/>
          <w:sz w:val="20"/>
        </w:rPr>
        <w:t>Selling Securityholders</w:t>
      </w:r>
      <w:r>
        <w:rPr>
          <w:rFonts w:ascii="Times New Roman;Times;Serif" w:hAnsi="Times New Roman;Times;Serif"/>
          <w:b w:val="false"/>
          <w:i w:val="false"/>
          <w:caps w:val="false"/>
          <w:smallCaps w:val="false"/>
          <w:sz w:val="20"/>
        </w:rPr>
        <w:t>”) of up to 45,571,137 shares of our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consisting of (i) 19,300,991 shares of common stock (the “</w:t>
      </w:r>
      <w:r>
        <w:rPr>
          <w:rFonts w:ascii="Times New Roman;Times;Serif" w:hAnsi="Times New Roman;Times;Serif"/>
          <w:b/>
          <w:i w:val="false"/>
          <w:caps w:val="false"/>
          <w:smallCaps w:val="false"/>
          <w:sz w:val="20"/>
        </w:rPr>
        <w:t>Exchange Shares</w:t>
      </w:r>
      <w:r>
        <w:rPr>
          <w:rFonts w:ascii="Times New Roman;Times;Serif" w:hAnsi="Times New Roman;Times;Serif"/>
          <w:b w:val="false"/>
          <w:i w:val="false"/>
          <w:caps w:val="false"/>
          <w:smallCaps w:val="false"/>
          <w:sz w:val="20"/>
        </w:rPr>
        <w:t>”) issued by us pursuant to separately- and privately-negotiated agreements (the “</w:t>
      </w:r>
      <w:r>
        <w:rPr>
          <w:rFonts w:ascii="Times New Roman;Times;Serif" w:hAnsi="Times New Roman;Times;Serif"/>
          <w:b/>
          <w:i w:val="false"/>
          <w:caps w:val="false"/>
          <w:smallCaps w:val="false"/>
          <w:sz w:val="20"/>
        </w:rPr>
        <w:t>Exchange Agreements</w:t>
      </w:r>
      <w:r>
        <w:rPr>
          <w:rFonts w:ascii="Times New Roman;Times;Serif" w:hAnsi="Times New Roman;Times;Serif"/>
          <w:b w:val="false"/>
          <w:i w:val="false"/>
          <w:caps w:val="false"/>
          <w:smallCaps w:val="false"/>
          <w:sz w:val="20"/>
        </w:rPr>
        <w:t>”) with certain holders of our 12.0% Convertible Senior Notes due 2029 (the “</w:t>
      </w:r>
      <w:r>
        <w:rPr>
          <w:rFonts w:ascii="Times New Roman;Times;Serif" w:hAnsi="Times New Roman;Times;Serif"/>
          <w:b/>
          <w:i w:val="false"/>
          <w:caps w:val="false"/>
          <w:smallCaps w:val="false"/>
          <w:sz w:val="20"/>
        </w:rPr>
        <w:t>12.0% Notes</w:t>
      </w:r>
      <w:r>
        <w:rPr>
          <w:rFonts w:ascii="Times New Roman;Times;Serif" w:hAnsi="Times New Roman;Times;Serif"/>
          <w:b w:val="false"/>
          <w:i w:val="false"/>
          <w:caps w:val="false"/>
          <w:smallCaps w:val="false"/>
          <w:sz w:val="20"/>
        </w:rPr>
        <w:t>”), 10.0% Convertible Senior Secured Notes due 2029 (the “</w:t>
      </w:r>
      <w:r>
        <w:rPr>
          <w:rFonts w:ascii="Times New Roman;Times;Serif" w:hAnsi="Times New Roman;Times;Serif"/>
          <w:b/>
          <w:i w:val="false"/>
          <w:caps w:val="false"/>
          <w:smallCaps w:val="false"/>
          <w:sz w:val="20"/>
        </w:rPr>
        <w:t>10.0% Notes</w:t>
      </w:r>
      <w:r>
        <w:rPr>
          <w:rFonts w:ascii="Times New Roman;Times;Serif" w:hAnsi="Times New Roman;Times;Serif"/>
          <w:b w:val="false"/>
          <w:i w:val="false"/>
          <w:caps w:val="false"/>
          <w:smallCaps w:val="false"/>
          <w:sz w:val="20"/>
        </w:rPr>
        <w:t>”) and 7.0% Convertible Senior Notes due 2029 (the “</w:t>
      </w:r>
      <w:r>
        <w:rPr>
          <w:rFonts w:ascii="Times New Roman;Times;Serif" w:hAnsi="Times New Roman;Times;Serif"/>
          <w:b/>
          <w:i w:val="false"/>
          <w:caps w:val="false"/>
          <w:smallCaps w:val="false"/>
          <w:sz w:val="20"/>
        </w:rPr>
        <w:t>7.0% Notes</w:t>
      </w:r>
      <w:r>
        <w:rPr>
          <w:rFonts w:ascii="Times New Roman;Times;Serif" w:hAnsi="Times New Roman;Times;Serif"/>
          <w:b w:val="false"/>
          <w:i w:val="false"/>
          <w:caps w:val="false"/>
          <w:smallCaps w:val="false"/>
          <w:sz w:val="20"/>
        </w:rPr>
        <w:t>” and together with the 12.0% Notes and the 10.0% Notes, collectively,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in exchange for approximately $10.7 million of cash interest otherwise payable on July 1, 2026, October 1, 2026 and January 1, 2027, and (ii) 26,270,146 shares of common stock (the “</w:t>
      </w:r>
      <w:r>
        <w:rPr>
          <w:rFonts w:ascii="Times New Roman;Times;Serif" w:hAnsi="Times New Roman;Times;Serif"/>
          <w:b/>
          <w:i w:val="false"/>
          <w:caps w:val="false"/>
          <w:smallCaps w:val="false"/>
          <w:sz w:val="20"/>
        </w:rPr>
        <w:t>FPA Shares</w:t>
      </w:r>
      <w:r>
        <w:rPr>
          <w:rFonts w:ascii="Times New Roman;Times;Serif" w:hAnsi="Times New Roman;Times;Serif"/>
          <w:b w:val="false"/>
          <w:i w:val="false"/>
          <w:caps w:val="false"/>
          <w:smallCaps w:val="false"/>
          <w:sz w:val="20"/>
        </w:rPr>
        <w:t>”) issued or issuable by us pursuant to the terms of separately- and privately-negotiated OTC Equity Prepaid Forward Transaction Settlement Agreements (the “</w:t>
      </w:r>
      <w:r>
        <w:rPr>
          <w:rFonts w:ascii="Times New Roman;Times;Serif" w:hAnsi="Times New Roman;Times;Serif"/>
          <w:b/>
          <w:i w:val="false"/>
          <w:caps w:val="false"/>
          <w:smallCaps w:val="false"/>
          <w:sz w:val="20"/>
        </w:rPr>
        <w:t>FPA Settlement Agreements</w:t>
      </w:r>
      <w:r>
        <w:rPr>
          <w:rFonts w:ascii="Times New Roman;Times;Serif" w:hAnsi="Times New Roman;Times;Serif"/>
          <w:b w:val="false"/>
          <w:i w:val="false"/>
          <w:caps w:val="false"/>
          <w:smallCaps w:val="false"/>
          <w:sz w:val="20"/>
        </w:rPr>
        <w:t>”) and related Forward Purchase Agreements. The Exchange Shares were issued by us to the Selling Securityholders pursuant to the Exchange Agreements on July 1, 2026. A total of 17,900,462 FPA Shares were issued by us to the Selling Securityholders pursuant to FPA Settlement Agreements, and up to an additional 8,369,684 FPA Shares are issuable pursuant to the FPA Settlement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Prospectus Summary</w:t>
      </w:r>
      <w:r>
        <w:rPr>
          <w:rFonts w:ascii="Times New Roman;Times;Serif" w:hAnsi="Times New Roman;Times;Serif"/>
          <w:b w:val="false"/>
          <w:i w:val="false"/>
          <w:caps w:val="false"/>
          <w:smallCaps w:val="false"/>
          <w:sz w:val="20"/>
        </w:rPr>
        <w:t>” for a description of the Exchange Agreements, the Notes, and the FPA Settlement Agreements and related Forward Purchase Agreements and “</w:t>
      </w:r>
      <w:r>
        <w:rPr>
          <w:rFonts w:ascii="Times New Roman;Times;Serif" w:hAnsi="Times New Roman;Times;Serif"/>
          <w:b w:val="false"/>
          <w:i/>
          <w:caps w:val="false"/>
          <w:smallCaps w:val="false"/>
          <w:sz w:val="20"/>
        </w:rPr>
        <w:t>Selling Securityholders</w:t>
      </w:r>
      <w:r>
        <w:rPr>
          <w:rFonts w:ascii="Times New Roman;Times;Serif" w:hAnsi="Times New Roman;Times;Serif"/>
          <w:b w:val="false"/>
          <w:i w:val="false"/>
          <w:caps w:val="false"/>
          <w:smallCaps w:val="false"/>
          <w:sz w:val="20"/>
        </w:rPr>
        <w:t>” for additional information regarding the Selling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securities under the prospectus or this prospectus supplement and will not receive any of the proceeds from the sale of shares of common stock by the Selling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sell or otherwise dispose of the shares of common stock described in the prospectus and this prospectus supplement in a number of different ways and at varying prices.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for more information about how the Selling Securityholders may sell or otherwise dispose of the shares of common stock being registered pursuant to the prospectus and this prospectus supplement. None of the Selling Securityholders are an “underwriter” with respect to the securities registered hereunder within the meaning of Section 2(a)(11) of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will pay all brokerage fees and commissions and similar expenses attributable to the sales of its common stock. We will pay the expenses (except brokerage fees and commissions and similar expenses) incurred in registering the shares of common stock offered hereby, including legal and accounting fees.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common stock are listed on the Nasdaq Global Market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under the symbol “SPWR”. On August 7, 2026, the closing price of our common stock was $0.2675.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should be read in conjunction with the prospectus, including any amendments or supplements thereto, which is to be delivered with this prospectus supplement. This prospectus supplement is qualified by reference to the prospectus, including any amendments or supplements thereto, except to the extent that the information in this prospectus supplement updates and supersedes the information contained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not complete without, and may not be delivered or utilized except in connection with, the prospectus, including any amendments or supplements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defined under U.S. federal securities laws and, as such, have elected to comply with reduced public company reporting requirements. The prospectus and this prospectus supplement comply with the requirements that apply to an issuer that is an 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in the section titled “Risk Factors” beginning on page 9 of the prospectus, and under similar headings in any amendments or supplements to the prospectus and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accuracy or adequacy of the prospectus and this prospectus supplement.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dated August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August 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990" w:type="dxa"/>
        <w:jc w:val="left"/>
        <w:tblInd w:w="0" w:type="dxa"/>
        <w:tblLayout w:type="fixed"/>
        <w:tblCellMar>
          <w:top w:w="0" w:type="dxa"/>
          <w:left w:w="0" w:type="dxa"/>
          <w:bottom w:w="28" w:type="dxa"/>
          <w:right w:w="0" w:type="dxa"/>
        </w:tblCellMar>
      </w:tblPr>
      <w:tblGrid>
        <w:gridCol w:w="2480"/>
        <w:gridCol w:w="60"/>
        <w:gridCol w:w="2615"/>
        <w:gridCol w:w="60"/>
        <w:gridCol w:w="1775"/>
      </w:tblGrid>
      <w:tr>
        <w:trPr/>
        <w:tc>
          <w:tcPr>
            <w:tcW w:w="2480" w:type="dxa"/>
            <w:tcBorders>
              <w:bottom w:val="single" w:sz="12" w:space="0" w:color="000000"/>
            </w:tcBorders>
            <w:vAlign w:val="center"/>
          </w:tcPr>
          <w:p>
            <w:pPr>
              <w:pStyle w:val="TableContents"/>
              <w:bidi w:val="0"/>
              <w:spacing w:before="0" w:after="283"/>
              <w:jc w:val="center"/>
              <w:rPr>
                <w:b/>
              </w:rPr>
            </w:pPr>
            <w:r>
              <w:rPr>
                <w:b/>
              </w:rPr>
              <w:t>Delaware</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12" w:space="0" w:color="000000"/>
            </w:tcBorders>
            <w:vAlign w:val="center"/>
          </w:tcPr>
          <w:p>
            <w:pPr>
              <w:pStyle w:val="TableContents"/>
              <w:bidi w:val="0"/>
              <w:spacing w:before="0" w:after="283"/>
              <w:jc w:val="center"/>
              <w:rPr>
                <w:b/>
              </w:rPr>
            </w:pPr>
            <w:r>
              <w:rPr>
                <w:b/>
              </w:rPr>
              <w:t>001-40117</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rPr>
            </w:pPr>
            <w:r>
              <w:rPr>
                <w:b/>
              </w:rPr>
              <w:t>93-2279786</w:t>
            </w:r>
          </w:p>
        </w:tc>
      </w:tr>
      <w:tr>
        <w:trPr/>
        <w:tc>
          <w:tcPr>
            <w:tcW w:w="248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755"/>
        <w:gridCol w:w="60"/>
        <w:gridCol w:w="1085"/>
      </w:tblGrid>
      <w:tr>
        <w:trPr/>
        <w:tc>
          <w:tcPr>
            <w:tcW w:w="3755" w:type="dxa"/>
            <w:tcBorders>
              <w:bottom w:val="single" w:sz="12" w:space="0" w:color="000000"/>
            </w:tcBorders>
            <w:vAlign w:val="center"/>
          </w:tcPr>
          <w:p>
            <w:pPr>
              <w:pStyle w:val="TableContents"/>
              <w:bidi w:val="0"/>
              <w:spacing w:before="0" w:after="283"/>
              <w:jc w:val="center"/>
              <w:rPr>
                <w:b/>
              </w:rPr>
            </w:pPr>
            <w:r>
              <w:rPr>
                <w:b/>
              </w:rPr>
              <w:t>1403 N. Research Way, Orem UT</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12" w:space="0" w:color="000000"/>
            </w:tcBorders>
            <w:vAlign w:val="center"/>
          </w:tcPr>
          <w:p>
            <w:pPr>
              <w:pStyle w:val="TableContents"/>
              <w:bidi w:val="0"/>
              <w:spacing w:before="0" w:after="283"/>
              <w:jc w:val="center"/>
              <w:rPr>
                <w:b/>
              </w:rPr>
            </w:pPr>
            <w:r>
              <w:rPr>
                <w:b/>
              </w:rPr>
              <w:t>84097</w:t>
            </w:r>
          </w:p>
        </w:tc>
      </w:tr>
      <w:tr>
        <w:trPr/>
        <w:tc>
          <w:tcPr>
            <w:tcW w:w="375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(877) 299-4943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45700 Northport Loop East, Fremont CA 94538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245"/>
        <w:gridCol w:w="8585"/>
      </w:tblGrid>
      <w:tr>
        <w:trPr/>
        <w:tc>
          <w:tcPr>
            <w:tcW w:w="245" w:type="dxa"/>
            <w:tcBorders/>
            <w:vAlign w:val="center"/>
          </w:tcPr>
          <w:p>
            <w:pPr>
              <w:pStyle w:val="TableContents"/>
              <w:bidi w:val="0"/>
              <w:spacing w:before="0" w:after="283"/>
              <w:jc w:val="left"/>
              <w:rPr/>
            </w:pPr>
            <w:r>
              <w:rPr/>
              <w:t>☐</w:t>
            </w:r>
          </w:p>
        </w:tc>
        <w:tc>
          <w:tcPr>
            <w:tcW w:w="8585" w:type="dxa"/>
            <w:tcBorders/>
            <w:vAlign w:val="center"/>
          </w:tcPr>
          <w:p>
            <w:pPr>
              <w:pStyle w:val="TableContents"/>
              <w:bidi w:val="0"/>
              <w:spacing w:before="0" w:after="283"/>
              <w:jc w:val="both"/>
              <w:rPr/>
            </w:pPr>
            <w:r>
              <w:rPr/>
              <w:t> </w:t>
            </w: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245"/>
        <w:gridCol w:w="8615"/>
      </w:tblGrid>
      <w:tr>
        <w:trPr/>
        <w:tc>
          <w:tcPr>
            <w:tcW w:w="245" w:type="dxa"/>
            <w:tcBorders/>
            <w:vAlign w:val="center"/>
          </w:tcPr>
          <w:p>
            <w:pPr>
              <w:pStyle w:val="TableContents"/>
              <w:bidi w:val="0"/>
              <w:spacing w:before="0" w:after="283"/>
              <w:jc w:val="left"/>
              <w:rPr/>
            </w:pPr>
            <w:r>
              <w:rPr/>
              <w:t>☐</w:t>
            </w:r>
          </w:p>
        </w:tc>
        <w:tc>
          <w:tcPr>
            <w:tcW w:w="8615" w:type="dxa"/>
            <w:tcBorders/>
            <w:vAlign w:val="center"/>
          </w:tcPr>
          <w:p>
            <w:pPr>
              <w:pStyle w:val="TableContents"/>
              <w:bidi w:val="0"/>
              <w:spacing w:before="0" w:after="283"/>
              <w:jc w:val="both"/>
              <w:rPr/>
            </w:pPr>
            <w:r>
              <w:rPr/>
              <w:t> </w:t>
            </w: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w:t>
            </w: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w:t>
            </w: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29"/>
        <w:gridCol w:w="60"/>
        <w:gridCol w:w="1412"/>
        <w:gridCol w:w="60"/>
        <w:gridCol w:w="2644"/>
      </w:tblGrid>
      <w:tr>
        <w:trPr/>
        <w:tc>
          <w:tcPr>
            <w:tcW w:w="6029"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12"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2644"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6029" w:type="dxa"/>
            <w:tcBorders/>
            <w:shd w:fill="CCEEFF" w:val="clear"/>
            <w:tcMar>
              <w:bottom w:w="0" w:type="dxa"/>
            </w:tcMar>
            <w:vAlign w:val="center"/>
          </w:tcPr>
          <w:p>
            <w:pPr>
              <w:pStyle w:val="TableContents"/>
              <w:bidi w:val="0"/>
              <w:spacing w:before="0" w:after="283"/>
              <w:jc w:val="center"/>
              <w:rPr>
                <w:b/>
              </w:rPr>
            </w:pPr>
            <w:r>
              <w:rPr>
                <w:b/>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r>
              <w:rPr>
                <w:b/>
              </w:rPr>
              <w:t>SPWR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The Nasdaq Global Market</w:t>
            </w:r>
          </w:p>
        </w:tc>
      </w:tr>
      <w:tr>
        <w:trPr/>
        <w:tc>
          <w:tcPr>
            <w:tcW w:w="602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1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644" w:type="dxa"/>
            <w:tcBorders/>
            <w:shd w:fill="FFFFFF" w:val="clear"/>
            <w:tcMar>
              <w:bottom w:w="0" w:type="dxa"/>
            </w:tcMar>
            <w:vAlign w:val="center"/>
          </w:tcPr>
          <w:p>
            <w:pPr>
              <w:pStyle w:val="TableContents"/>
              <w:bidi w:val="0"/>
              <w:spacing w:before="0" w:after="283"/>
              <w:jc w:val="center"/>
              <w:rPr/>
            </w:pPr>
            <w:r>
              <w:rPr/>
              <w:t> </w:t>
            </w:r>
          </w:p>
        </w:tc>
      </w:tr>
      <w:tr>
        <w:trPr/>
        <w:tc>
          <w:tcPr>
            <w:tcW w:w="6029" w:type="dxa"/>
            <w:tcBorders/>
            <w:shd w:fill="CCEEFF" w:val="clear"/>
            <w:tcMar>
              <w:bottom w:w="0" w:type="dxa"/>
            </w:tcMar>
            <w:vAlign w:val="center"/>
          </w:tcPr>
          <w:p>
            <w:pPr>
              <w:pStyle w:val="TableContents"/>
              <w:bidi w:val="0"/>
              <w:spacing w:before="0" w:after="283"/>
              <w:jc w:val="center"/>
              <w:rPr>
                <w:b/>
              </w:rPr>
            </w:pPr>
            <w:r>
              <w:rPr>
                <w:b/>
              </w:rPr>
              <w:t>Warrants, each whole warrant exercisable for one share of Common Stock at an exercise price of $11.50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r>
              <w:rPr>
                <w:b/>
              </w:rPr>
              <w:t>SPWRW</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SunPower Inc. (the “Company”) entered into a simple agreement for future equity (the “SAFE”) with an institutional investor in connection with its investment of $3,500,000 (the “Purchase Amount”) in the Company. The SAFE is convertible into equity securities of the Company in an amount equal to the Purchase Amount divided by the applicable price per share, unit or other increment of the securities issued by the Company in its next equity financing transaction, and without any discount.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3.02.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Unregistered Sales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above in Item 1.01 of this Current Report on Form 8-K relating to the issuance of the SAFE is incorporated by reference herein in its entirety. The offer and sale of the SAFE was made in reliance upon the exemption from registration contained in Section 4(a)(2)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980" w:type="dxa"/>
        <w:jc w:val="left"/>
        <w:tblInd w:w="0" w:type="dxa"/>
        <w:tblLayout w:type="fixed"/>
        <w:tblCellMar>
          <w:top w:w="0" w:type="dxa"/>
          <w:left w:w="0" w:type="dxa"/>
          <w:bottom w:w="0" w:type="dxa"/>
          <w:right w:w="0" w:type="dxa"/>
        </w:tblCellMar>
      </w:tblPr>
      <w:tblGrid>
        <w:gridCol w:w="2315"/>
        <w:gridCol w:w="365"/>
        <w:gridCol w:w="2300"/>
      </w:tblGrid>
      <w:tr>
        <w:trPr/>
        <w:tc>
          <w:tcPr>
            <w:tcW w:w="2315" w:type="dxa"/>
            <w:tcBorders/>
            <w:vAlign w:val="center"/>
          </w:tcPr>
          <w:p>
            <w:pPr>
              <w:pStyle w:val="TableContents"/>
              <w:bidi w:val="0"/>
              <w:spacing w:before="0" w:after="283"/>
              <w:ind w:left="0" w:right="0" w:hanging="200"/>
              <w:jc w:val="left"/>
              <w:rPr/>
            </w:pPr>
            <w:r>
              <w:rPr/>
              <w:t> </w:t>
            </w:r>
          </w:p>
        </w:tc>
        <w:tc>
          <w:tcPr>
            <w:tcW w:w="2665" w:type="dxa"/>
            <w:gridSpan w:val="2"/>
            <w:tcBorders/>
            <w:vAlign w:val="center"/>
          </w:tcPr>
          <w:p>
            <w:pPr>
              <w:pStyle w:val="TableContents"/>
              <w:bidi w:val="0"/>
              <w:spacing w:before="0" w:after="283"/>
              <w:ind w:left="0" w:right="0" w:hanging="200"/>
              <w:jc w:val="left"/>
              <w:rPr>
                <w:b/>
                <w:smallCaps/>
              </w:rPr>
            </w:pPr>
            <w:r>
              <w:rPr>
                <w:b/>
                <w:smallCaps/>
              </w:rPr>
              <w:t>SunPower Inc.</w:t>
            </w:r>
          </w:p>
        </w:tc>
      </w:tr>
      <w:tr>
        <w:trPr/>
        <w:tc>
          <w:tcPr>
            <w:tcW w:w="2315" w:type="dxa"/>
            <w:tcBorders/>
            <w:vAlign w:val="center"/>
          </w:tcPr>
          <w:p>
            <w:pPr>
              <w:pStyle w:val="TableContents"/>
              <w:bidi w:val="0"/>
              <w:spacing w:before="0" w:after="283"/>
              <w:jc w:val="left"/>
              <w:rPr/>
            </w:pPr>
            <w:r>
              <w:rPr/>
              <w:t>Dated: August 10, 2026</w:t>
            </w:r>
          </w:p>
        </w:tc>
        <w:tc>
          <w:tcPr>
            <w:tcW w:w="2665" w:type="dxa"/>
            <w:gridSpan w:val="2"/>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ind w:left="0" w:right="0" w:hanging="200"/>
              <w:jc w:val="left"/>
              <w:rPr/>
            </w:pPr>
            <w:r>
              <w:rPr/>
              <w:t> </w:t>
            </w:r>
          </w:p>
        </w:tc>
        <w:tc>
          <w:tcPr>
            <w:tcW w:w="365"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Thurman J. Rodgers</w:t>
            </w:r>
          </w:p>
        </w:tc>
      </w:tr>
      <w:tr>
        <w:trPr/>
        <w:tc>
          <w:tcPr>
            <w:tcW w:w="23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ind w:left="0" w:right="0" w:hanging="200"/>
              <w:jc w:val="left"/>
              <w:rPr/>
            </w:pPr>
            <w:r>
              <w:rPr/>
              <w:t> </w:t>
            </w:r>
          </w:p>
        </w:tc>
        <w:tc>
          <w:tcPr>
            <w:tcW w:w="2300" w:type="dxa"/>
            <w:tcBorders/>
            <w:vAlign w:val="center"/>
          </w:tcPr>
          <w:p>
            <w:pPr>
              <w:pStyle w:val="TableContents"/>
              <w:bidi w:val="0"/>
              <w:spacing w:before="0" w:after="283"/>
              <w:jc w:val="left"/>
              <w:rPr/>
            </w:pPr>
            <w:r>
              <w:rPr/>
              <w:t>Thurman J. Rodgers</w:t>
            </w:r>
          </w:p>
        </w:tc>
      </w:tr>
      <w:tr>
        <w:trPr/>
        <w:tc>
          <w:tcPr>
            <w:tcW w:w="23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ind w:left="0" w:right="0" w:hanging="200"/>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1357</Words>
  <Characters>7537</Characters>
  <CharactersWithSpaces>8902</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