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333-293093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June 1,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22,381,878 Shares of Common Stock</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June 1, 2026 (as amended or supplemented,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333-293093). This prospectus supplement is being filed to update and supplement the information in the prospectus with the information contained in Item 1.01, Item 3.01 and Exhibit 10.1 of Item 9.01 (the “</w:t>
      </w:r>
      <w:r>
        <w:rPr>
          <w:rFonts w:ascii="Times New Roman" w:cs="Times New Roman" w:eastAsia="Times New Roman" w:hAnsi="Times New Roman"/>
          <w:sz w:val="18"/>
          <w:szCs w:val="18"/>
          <w:b w:val="1"/>
          <w:bCs w:val="1"/>
          <w:color w:val="auto"/>
        </w:rPr>
        <w:t>Supplemental Information</w:t>
      </w:r>
      <w:r>
        <w:rPr>
          <w:rFonts w:ascii="Times New Roman" w:cs="Times New Roman" w:eastAsia="Times New Roman" w:hAnsi="Times New Roman"/>
          <w:sz w:val="18"/>
          <w:szCs w:val="18"/>
          <w:color w:val="auto"/>
        </w:rPr>
        <w:t>”) of our Current Report on Form 8-K filed with the Securities and Exchange Commission on July 1, 2026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 with respect to the Supplemental Information, and the information contained in Item 7.01 of the Current Report is expressly excluded from this prospectus supplement and are not filed for any purposes under the prospectus or this prospectus supplement.</w:t>
      </w:r>
    </w:p>
    <w:p>
      <w:pPr>
        <w:spacing w:after="0" w:line="18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registration of the resale or other disposition of up to 22,381,878 shares of our common stock by YA II PN, LTD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Yorkville is also referred to in the prospectus and this prospectus supplement as the Selling Securityholder. The shares of our common stock to which the prospectus and this prospectus supplement relate have been or may be issued by us to Yorkville pursuant to a standby equity purchase agreement, dated as of January 27, 2026, by and between us and Yorkville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Such shares of common stock include (i) up to 22,206,878 shares of common stock that may be issued to Yorkville pursuant to a convertible promissory note issued by us to Yorkville pursuant to the SEPA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and (ii) 175,000 shares of common stock we issued to Yorkville as consideration for its commitment to purchase shares of our common stock pursuant to the SEPA (the “</w:t>
      </w:r>
      <w:r>
        <w:rPr>
          <w:rFonts w:ascii="Times New Roman" w:cs="Times New Roman" w:eastAsia="Times New Roman" w:hAnsi="Times New Roman"/>
          <w:sz w:val="18"/>
          <w:szCs w:val="18"/>
          <w:b w:val="1"/>
          <w:bCs w:val="1"/>
          <w:color w:val="auto"/>
        </w:rPr>
        <w:t>Commitment Shares</w:t>
      </w:r>
      <w:r>
        <w:rPr>
          <w:rFonts w:ascii="Times New Roman" w:cs="Times New Roman" w:eastAsia="Times New Roman" w:hAnsi="Times New Roman"/>
          <w:sz w:val="18"/>
          <w:szCs w:val="18"/>
          <w:color w:val="auto"/>
        </w:rPr>
        <w:t>” and, collectively with the Conversion Shares,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w:t>
      </w:r>
    </w:p>
    <w:p>
      <w:pPr>
        <w:spacing w:after="0" w:line="189"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“SELLING SECURITYHOLDER” on page 99 of the prospectus for additional information regarding the Selling Securityholder.</w:t>
      </w:r>
    </w:p>
    <w:p>
      <w:pPr>
        <w:spacing w:after="0" w:line="188"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only with respect to advances under the SEPA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by Yorkville of the convertible promissory notes issued to Yorkville pursuant to the SEPA.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114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any applicable prospectus supplement before you invest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We engaged Northland Capital Markets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114 of the prospectus for additional information regarding this arrangement.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Shares of our common stock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“SPWR”. On June 30, 2026, the closing price of our common stock was $0.6873.</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11 of the prospectus, and under similar headings in any amendments or supplements to the prospectus or this prospectus supplement.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29, 2026 and June 30, 2026,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separately- and privately- negotiated agreements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holders of its 12.0% Convertible Senior Notes due 2029 (the “</w:t>
      </w:r>
      <w:r>
        <w:rPr>
          <w:rFonts w:ascii="Times New Roman" w:cs="Times New Roman" w:eastAsia="Times New Roman" w:hAnsi="Times New Roman"/>
          <w:sz w:val="18"/>
          <w:szCs w:val="18"/>
          <w:b w:val="1"/>
          <w:bCs w:val="1"/>
          <w:i w:val="1"/>
          <w:iCs w:val="1"/>
          <w:color w:val="auto"/>
        </w:rPr>
        <w:t>12.0% Notes</w:t>
      </w:r>
      <w:r>
        <w:rPr>
          <w:rFonts w:ascii="Times New Roman" w:cs="Times New Roman" w:eastAsia="Times New Roman" w:hAnsi="Times New Roman"/>
          <w:sz w:val="18"/>
          <w:szCs w:val="18"/>
          <w:color w:val="auto"/>
        </w:rPr>
        <w:t>”), 10.0% Convertible Senior Secured Notes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10.0% Notes</w:t>
      </w:r>
      <w:r>
        <w:rPr>
          <w:rFonts w:ascii="Times New Roman" w:cs="Times New Roman" w:eastAsia="Times New Roman" w:hAnsi="Times New Roman"/>
          <w:sz w:val="18"/>
          <w:szCs w:val="18"/>
          <w:color w:val="auto"/>
        </w:rPr>
        <w:t>”) and 7.0% Convertible Senior Notes due 2029 (the “</w:t>
      </w:r>
      <w:r>
        <w:rPr>
          <w:rFonts w:ascii="Times New Roman" w:cs="Times New Roman" w:eastAsia="Times New Roman" w:hAnsi="Times New Roman"/>
          <w:sz w:val="18"/>
          <w:szCs w:val="18"/>
          <w:b w:val="1"/>
          <w:bCs w:val="1"/>
          <w:i w:val="1"/>
          <w:iCs w:val="1"/>
          <w:color w:val="auto"/>
        </w:rPr>
        <w:t>7.0% Notes</w:t>
      </w:r>
      <w:r>
        <w:rPr>
          <w:rFonts w:ascii="Times New Roman" w:cs="Times New Roman" w:eastAsia="Times New Roman" w:hAnsi="Times New Roman"/>
          <w:sz w:val="18"/>
          <w:szCs w:val="18"/>
          <w:color w:val="auto"/>
        </w:rPr>
        <w:t>” and together with the 12.0% Notes and the 10.0% Notes,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Exchange Agreements, the applicable holders of Notes agreed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approximately $10.7 million of cash interest otherwise payable on July 1, 2026, October 1, 2026 and January 1, 2027 (the “</w:t>
      </w:r>
      <w:r>
        <w:rPr>
          <w:rFonts w:ascii="Times New Roman" w:cs="Times New Roman" w:eastAsia="Times New Roman" w:hAnsi="Times New Roman"/>
          <w:sz w:val="18"/>
          <w:szCs w:val="18"/>
          <w:b w:val="1"/>
          <w:bCs w:val="1"/>
          <w:i w:val="1"/>
          <w:iCs w:val="1"/>
          <w:color w:val="auto"/>
        </w:rPr>
        <w:t>Exchanged Interest Amounts</w:t>
      </w:r>
      <w:r>
        <w:rPr>
          <w:rFonts w:ascii="Times New Roman" w:cs="Times New Roman" w:eastAsia="Times New Roman" w:hAnsi="Times New Roman"/>
          <w:sz w:val="18"/>
          <w:szCs w:val="18"/>
          <w:color w:val="auto"/>
        </w:rPr>
        <w:t>”) for 19,300,991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transactions under the Exchange Agreements 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Exchange Agreements is qualified in its entirety by reference to the copy of the form of Exchange Agreement attached as Exhibit 10.1 to this Current Report on Form 8-K, and such Exhibit 10.1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Exchange Shares in reliance upon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Shares have not been registered under the Securities Act and may not be offered or sold in the United States absent registration or an applicable exemption from registration requirements. 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Exchange.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1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74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Form of Equity for Interest Exchange Agreement+*</w:t>
              </w:r>
            </w:hyperlink>
          </w:p>
        </w:tc>
        <w:tc>
          <w:tcPr>
            <w:tcW w:w="6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3"/>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Press Release, dated July 1,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39"/>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80" w:right="408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s://www.sec.gov/Archives/edgar/data/1838987/000121390026073995/ea029660301ex10-1.htm" TargetMode="External"/><Relationship Id="rId16" Type="http://schemas.openxmlformats.org/officeDocument/2006/relationships/hyperlink" Target="https://www.sec.gov/Archives/edgar/data/1838987/000121390026073995/ea0296603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2026-07-01T07:20:41Z</dcterms:created>
  <dcterms:modified xsi:type="dcterms:W3CDTF">2026-07-01T07:20:41Z</dcterms:modified>
</cp:coreProperties>
</file>