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As filed with the United States Securities and Exchange Commission on February 2, 2026.</w:t>
      </w:r>
    </w:p>
    <w:p>
      <w:pPr>
        <w:spacing w:after="0" w:line="29" w:lineRule="exact"/>
        <w:rPr>
          <w:sz w:val="24"/>
          <w:szCs w:val="24"/>
          <w:color w:val="auto"/>
        </w:rPr>
      </w:pPr>
    </w:p>
    <w:p>
      <w:pPr>
        <w:ind w:left="9500"/>
        <w:spacing w:after="0"/>
        <w:rPr>
          <w:sz w:val="20"/>
          <w:szCs w:val="20"/>
          <w:color w:val="auto"/>
        </w:rPr>
      </w:pPr>
      <w:r>
        <w:rPr>
          <w:rFonts w:ascii="Times New Roman" w:cs="Times New Roman" w:eastAsia="Times New Roman" w:hAnsi="Times New Roman"/>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14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FORM S-1</w:t>
            </w:r>
          </w:p>
        </w:tc>
        <w:tc>
          <w:tcPr>
            <w:tcW w:w="3600" w:type="dxa"/>
            <w:vAlign w:val="bottom"/>
          </w:tcPr>
          <w:p>
            <w:pPr>
              <w:spacing w:after="0"/>
              <w:rPr>
                <w:sz w:val="17"/>
                <w:szCs w:val="17"/>
                <w:color w:val="auto"/>
              </w:rPr>
            </w:pPr>
          </w:p>
        </w:tc>
      </w:tr>
      <w:tr>
        <w:trPr>
          <w:trHeight w:val="345"/>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REGISTRATION STATEMENT</w:t>
            </w:r>
          </w:p>
        </w:tc>
        <w:tc>
          <w:tcPr>
            <w:tcW w:w="3600" w:type="dxa"/>
            <w:vAlign w:val="bottom"/>
          </w:tcPr>
          <w:p>
            <w:pPr>
              <w:spacing w:after="0"/>
              <w:rPr>
                <w:sz w:val="24"/>
                <w:szCs w:val="24"/>
                <w:color w:val="auto"/>
              </w:rPr>
            </w:pPr>
          </w:p>
        </w:tc>
      </w:tr>
      <w:tr>
        <w:trPr>
          <w:trHeight w:val="182"/>
        </w:trPr>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i w:val="1"/>
                <w:iCs w:val="1"/>
                <w:color w:val="auto"/>
                <w:w w:val="98"/>
              </w:rPr>
              <w:t>UNDER</w:t>
            </w:r>
          </w:p>
        </w:tc>
        <w:tc>
          <w:tcPr>
            <w:tcW w:w="3600" w:type="dxa"/>
            <w:vAlign w:val="bottom"/>
          </w:tcPr>
          <w:p>
            <w:pPr>
              <w:spacing w:after="0"/>
              <w:rPr>
                <w:sz w:val="15"/>
                <w:szCs w:val="15"/>
                <w:color w:val="auto"/>
              </w:rPr>
            </w:pPr>
          </w:p>
        </w:tc>
      </w:tr>
      <w:tr>
        <w:trPr>
          <w:trHeight w:val="201"/>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tc>
        <w:tc>
          <w:tcPr>
            <w:tcW w:w="3600" w:type="dxa"/>
            <w:vAlign w:val="bottom"/>
          </w:tcPr>
          <w:p>
            <w:pPr>
              <w:spacing w:after="0"/>
              <w:rPr>
                <w:sz w:val="17"/>
                <w:szCs w:val="17"/>
                <w:color w:val="auto"/>
              </w:rPr>
            </w:pPr>
          </w:p>
        </w:tc>
      </w:tr>
      <w:tr>
        <w:trPr>
          <w:trHeight w:val="345"/>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SunPower Inc.</w:t>
            </w:r>
          </w:p>
        </w:tc>
        <w:tc>
          <w:tcPr>
            <w:tcW w:w="3600" w:type="dxa"/>
            <w:vAlign w:val="bottom"/>
          </w:tcPr>
          <w:p>
            <w:pPr>
              <w:spacing w:after="0"/>
              <w:rPr>
                <w:sz w:val="24"/>
                <w:szCs w:val="24"/>
                <w:color w:val="auto"/>
              </w:rPr>
            </w:pPr>
          </w:p>
        </w:tc>
      </w:tr>
      <w:tr>
        <w:trPr>
          <w:trHeight w:val="201"/>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3600" w:type="dxa"/>
            <w:vAlign w:val="bottom"/>
          </w:tcPr>
          <w:p>
            <w:pPr>
              <w:spacing w:after="0"/>
              <w:rPr>
                <w:sz w:val="17"/>
                <w:szCs w:val="17"/>
                <w:color w:val="auto"/>
              </w:rPr>
            </w:pPr>
          </w:p>
        </w:tc>
      </w:tr>
      <w:tr>
        <w:trPr>
          <w:trHeight w:val="366"/>
        </w:trPr>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001-40117</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93-2279786</w:t>
            </w:r>
          </w:p>
        </w:tc>
      </w:tr>
      <w:tr>
        <w:trPr>
          <w:trHeight w:val="163"/>
        </w:trPr>
        <w:tc>
          <w:tcPr>
            <w:tcW w:w="360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220" w:type="dxa"/>
            <w:vAlign w:val="bottom"/>
          </w:tcPr>
          <w:p>
            <w:pPr>
              <w:spacing w:after="0"/>
              <w:rPr>
                <w:sz w:val="14"/>
                <w:szCs w:val="14"/>
                <w:color w:val="auto"/>
              </w:rPr>
            </w:pPr>
          </w:p>
        </w:tc>
        <w:tc>
          <w:tcPr>
            <w:tcW w:w="362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rPr>
              <w:t>(Commission File Number)</w:t>
            </w:r>
          </w:p>
        </w:tc>
        <w:tc>
          <w:tcPr>
            <w:tcW w:w="220" w:type="dxa"/>
            <w:vAlign w:val="bottom"/>
          </w:tcPr>
          <w:p>
            <w:pPr>
              <w:spacing w:after="0"/>
              <w:rPr>
                <w:sz w:val="14"/>
                <w:szCs w:val="14"/>
                <w:color w:val="auto"/>
              </w:rPr>
            </w:pPr>
          </w:p>
        </w:tc>
        <w:tc>
          <w:tcPr>
            <w:tcW w:w="360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9"/>
              </w:rPr>
              <w:t>(I.R.S. Employer</w:t>
            </w:r>
          </w:p>
        </w:tc>
      </w:tr>
      <w:tr>
        <w:trPr>
          <w:trHeight w:val="201"/>
        </w:trPr>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Identification Number)</w:t>
            </w:r>
          </w:p>
        </w:tc>
      </w:tr>
    </w:tbl>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45700 Northport Loop East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Fremont, CA 94538</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(510) 270-2507</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(Address, Including Zip Code, and Telephone Number, Including Area Code, of Registrant’s Principal Executive Offices)</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Thurman J. Rodgers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45700 Northport Loop East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Fremont, CA 94538</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(510) 270-2507</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(Name, Address, Including Zip Code, and Telephone Number, Including Area Code, of Agent For Service)</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Michael Penney</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Arnold &amp; Porter Kaye Scholer LLP</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250 W. 55th Street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New York, NY 10019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Tel: (212) 836-8000</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From time to time on or after this registration statement is declared effective.</w:t>
      </w:r>
    </w:p>
    <w:p>
      <w:pPr>
        <w:spacing w:after="0" w:line="177" w:lineRule="exact"/>
        <w:rPr>
          <w:sz w:val="24"/>
          <w:szCs w:val="24"/>
          <w:color w:val="auto"/>
        </w:rPr>
      </w:pPr>
    </w:p>
    <w:p>
      <w:pPr>
        <w:jc w:val="both"/>
        <w:ind w:firstLine="273"/>
        <w:spacing w:after="0" w:line="202"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44" w:lineRule="exact"/>
        <w:rPr>
          <w:sz w:val="24"/>
          <w:szCs w:val="24"/>
          <w:color w:val="auto"/>
        </w:rPr>
      </w:pPr>
    </w:p>
    <w:p>
      <w:pPr>
        <w:jc w:val="both"/>
        <w:ind w:firstLine="273"/>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4" w:lineRule="exact"/>
        <w:rPr>
          <w:sz w:val="24"/>
          <w:szCs w:val="24"/>
          <w:color w:val="auto"/>
        </w:rPr>
      </w:pPr>
    </w:p>
    <w:p>
      <w:pPr>
        <w:jc w:val="both"/>
        <w:ind w:firstLine="273"/>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4" w:lineRule="exact"/>
        <w:rPr>
          <w:sz w:val="24"/>
          <w:szCs w:val="24"/>
          <w:color w:val="auto"/>
        </w:rPr>
      </w:pPr>
    </w:p>
    <w:p>
      <w:pPr>
        <w:jc w:val="both"/>
        <w:ind w:firstLine="273"/>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220" w:type="dxa"/>
            <w:vAlign w:val="bottom"/>
          </w:tcPr>
          <w:p>
            <w:pPr>
              <w:ind w:left="74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Accelerated filer</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2"/>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220" w:type="dxa"/>
            <w:vAlign w:val="bottom"/>
          </w:tcPr>
          <w:p>
            <w:pPr>
              <w:ind w:left="74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7"/>
        </w:trPr>
        <w:tc>
          <w:tcPr>
            <w:tcW w:w="20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5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Emerging growth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38" w:lineRule="exact"/>
        <w:rPr>
          <w:sz w:val="24"/>
          <w:szCs w:val="24"/>
          <w:color w:val="auto"/>
        </w:rPr>
      </w:pPr>
    </w:p>
    <w:p>
      <w:pPr>
        <w:jc w:val="both"/>
        <w:ind w:firstLine="273"/>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40" w:lineRule="exact"/>
        <w:rPr>
          <w:sz w:val="24"/>
          <w:szCs w:val="24"/>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539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5391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910" cy="14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483235</wp:posOffset>
            </wp:positionV>
            <wp:extent cx="715391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212" w:right="319" w:bottom="1440" w:gutter="0" w:footer="0" w:header="0"/>
        </w:sectPr>
      </w:pPr>
    </w:p>
    <w:bookmarkStart w:id="1" w:name="page2"/>
    <w:bookmarkEnd w:id="1"/>
    <w:p>
      <w:pPr>
        <w:jc w:val="both"/>
        <w:spacing w:after="0" w:line="273" w:lineRule="auto"/>
        <w:rPr>
          <w:sz w:val="20"/>
          <w:szCs w:val="20"/>
          <w:color w:val="auto"/>
        </w:rPr>
      </w:pPr>
      <w:r>
        <w:rPr>
          <w:rFonts w:ascii="Times New Roman" w:cs="Times New Roman" w:eastAsia="Times New Roman" w:hAnsi="Times New Roman"/>
          <w:sz w:val="15"/>
          <w:szCs w:val="15"/>
          <w:b w:val="1"/>
          <w:bCs w:val="1"/>
          <w:color w:val="FF0000"/>
        </w:rPr>
        <w:t>The information in this preliminary prospectus is not complete and may be changed. The securities described herein may not be sold until the registration statement filed with the U.S. Securities and Exchange Commission is declared effective. This preliminary prospectus is not an offer to sell these securities and it is not soliciting an offer to buy these securities in any jurisdiction where the offer or sale is not permitted.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FF0000"/>
        </w:rPr>
        <w:t>PRELIMINARY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FF0000"/>
        </w:rPr>
        <w:t>SUBJECT TO COMPLETION, DATED FEBRUARY 2,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SUNPOWER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Up to 14,625,610 Shares of Common Stock</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Up to 50,760,218 Shares of Common Stock Issuable Upon Conversion of Convertible Notes</w:t>
      </w:r>
    </w:p>
    <w:p>
      <w:pPr>
        <w:spacing w:after="0" w:line="3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This prospectus relates to the offer and sale from time to time by the selling securityholders named in this prospectus or their permitted transferees (the “</w:t>
      </w:r>
      <w:r>
        <w:rPr>
          <w:rFonts w:ascii="Times New Roman" w:cs="Times New Roman" w:eastAsia="Times New Roman" w:hAnsi="Times New Roman"/>
          <w:sz w:val="15"/>
          <w:szCs w:val="15"/>
          <w:b w:val="1"/>
          <w:bCs w:val="1"/>
          <w:color w:val="auto"/>
        </w:rPr>
        <w:t>Selling Securityholders</w:t>
      </w:r>
      <w:r>
        <w:rPr>
          <w:rFonts w:ascii="Times New Roman" w:cs="Times New Roman" w:eastAsia="Times New Roman" w:hAnsi="Times New Roman"/>
          <w:sz w:val="15"/>
          <w:szCs w:val="15"/>
          <w:color w:val="auto"/>
        </w:rPr>
        <w:t>”) of up to 65,385,828 shares of our common stock, par value $0.0001 per share (the “</w:t>
      </w: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5"/>
          <w:szCs w:val="15"/>
          <w:color w:val="auto"/>
        </w:rPr>
        <w:t>”), consisting of (i) 10,243,924 shares of common stock (the “</w:t>
      </w:r>
      <w:r>
        <w:rPr>
          <w:rFonts w:ascii="Times New Roman" w:cs="Times New Roman" w:eastAsia="Times New Roman" w:hAnsi="Times New Roman"/>
          <w:sz w:val="15"/>
          <w:szCs w:val="15"/>
          <w:b w:val="1"/>
          <w:bCs w:val="1"/>
          <w:color w:val="auto"/>
        </w:rPr>
        <w:t>Ambia Shares</w:t>
      </w:r>
      <w:r>
        <w:rPr>
          <w:rFonts w:ascii="Times New Roman" w:cs="Times New Roman" w:eastAsia="Times New Roman" w:hAnsi="Times New Roman"/>
          <w:sz w:val="15"/>
          <w:szCs w:val="15"/>
          <w:color w:val="auto"/>
        </w:rPr>
        <w:t>”) previously issued by us pursuant to a Membership Interest Purchase Agreement (the “</w:t>
      </w:r>
      <w:r>
        <w:rPr>
          <w:rFonts w:ascii="Times New Roman" w:cs="Times New Roman" w:eastAsia="Times New Roman" w:hAnsi="Times New Roman"/>
          <w:sz w:val="15"/>
          <w:szCs w:val="15"/>
          <w:b w:val="1"/>
          <w:bCs w:val="1"/>
          <w:color w:val="auto"/>
        </w:rPr>
        <w:t>Ambia Purchase Agreement</w:t>
      </w:r>
      <w:r>
        <w:rPr>
          <w:rFonts w:ascii="Times New Roman" w:cs="Times New Roman" w:eastAsia="Times New Roman" w:hAnsi="Times New Roman"/>
          <w:sz w:val="15"/>
          <w:szCs w:val="15"/>
          <w:color w:val="auto"/>
        </w:rPr>
        <w:t>”), dated November 21, 2025, between the Company, Ambia Energy, LLC (“</w:t>
      </w:r>
      <w:r>
        <w:rPr>
          <w:rFonts w:ascii="Times New Roman" w:cs="Times New Roman" w:eastAsia="Times New Roman" w:hAnsi="Times New Roman"/>
          <w:sz w:val="15"/>
          <w:szCs w:val="15"/>
          <w:b w:val="1"/>
          <w:bCs w:val="1"/>
          <w:color w:val="auto"/>
        </w:rPr>
        <w:t>Ambia</w:t>
      </w:r>
      <w:r>
        <w:rPr>
          <w:rFonts w:ascii="Times New Roman" w:cs="Times New Roman" w:eastAsia="Times New Roman" w:hAnsi="Times New Roman"/>
          <w:sz w:val="15"/>
          <w:szCs w:val="15"/>
          <w:color w:val="auto"/>
        </w:rPr>
        <w:t>”) and Ambia Holdings, Inc., in connection with our acquisition of Ambia, (ii) 3,333,334 shares of common stock (the “</w:t>
      </w:r>
      <w:r>
        <w:rPr>
          <w:rFonts w:ascii="Times New Roman" w:cs="Times New Roman" w:eastAsia="Times New Roman" w:hAnsi="Times New Roman"/>
          <w:sz w:val="15"/>
          <w:szCs w:val="15"/>
          <w:b w:val="1"/>
          <w:bCs w:val="1"/>
          <w:color w:val="auto"/>
        </w:rPr>
        <w:t>Sunder Shares</w:t>
      </w:r>
      <w:r>
        <w:rPr>
          <w:rFonts w:ascii="Times New Roman" w:cs="Times New Roman" w:eastAsia="Times New Roman" w:hAnsi="Times New Roman"/>
          <w:sz w:val="15"/>
          <w:szCs w:val="15"/>
          <w:color w:val="auto"/>
        </w:rPr>
        <w:t>” and, collectively with the Ambia Shares, the “</w:t>
      </w:r>
      <w:r>
        <w:rPr>
          <w:rFonts w:ascii="Times New Roman" w:cs="Times New Roman" w:eastAsia="Times New Roman" w:hAnsi="Times New Roman"/>
          <w:sz w:val="15"/>
          <w:szCs w:val="15"/>
          <w:b w:val="1"/>
          <w:bCs w:val="1"/>
          <w:color w:val="auto"/>
        </w:rPr>
        <w:t>Acquisition Shares</w:t>
      </w:r>
      <w:r>
        <w:rPr>
          <w:rFonts w:ascii="Times New Roman" w:cs="Times New Roman" w:eastAsia="Times New Roman" w:hAnsi="Times New Roman"/>
          <w:sz w:val="15"/>
          <w:szCs w:val="15"/>
          <w:color w:val="auto"/>
        </w:rPr>
        <w:t>”) previously issued by us pursuant to a Membership Interest Purchase Agreement (the “</w:t>
      </w:r>
      <w:r>
        <w:rPr>
          <w:rFonts w:ascii="Times New Roman" w:cs="Times New Roman" w:eastAsia="Times New Roman" w:hAnsi="Times New Roman"/>
          <w:sz w:val="15"/>
          <w:szCs w:val="15"/>
          <w:b w:val="1"/>
          <w:bCs w:val="1"/>
          <w:color w:val="auto"/>
        </w:rPr>
        <w:t>Sunder Purchase Agreement</w:t>
      </w:r>
      <w:r>
        <w:rPr>
          <w:rFonts w:ascii="Times New Roman" w:cs="Times New Roman" w:eastAsia="Times New Roman" w:hAnsi="Times New Roman"/>
          <w:sz w:val="15"/>
          <w:szCs w:val="15"/>
          <w:color w:val="auto"/>
        </w:rPr>
        <w:t>” and, together with the Ambia Purchase Agreement, the “</w:t>
      </w:r>
      <w:r>
        <w:rPr>
          <w:rFonts w:ascii="Times New Roman" w:cs="Times New Roman" w:eastAsia="Times New Roman" w:hAnsi="Times New Roman"/>
          <w:sz w:val="15"/>
          <w:szCs w:val="15"/>
          <w:b w:val="1"/>
          <w:bCs w:val="1"/>
          <w:color w:val="auto"/>
        </w:rPr>
        <w:t>Acquisition Agreements</w:t>
      </w:r>
      <w:r>
        <w:rPr>
          <w:rFonts w:ascii="Times New Roman" w:cs="Times New Roman" w:eastAsia="Times New Roman" w:hAnsi="Times New Roman"/>
          <w:sz w:val="15"/>
          <w:szCs w:val="15"/>
          <w:color w:val="auto"/>
        </w:rPr>
        <w:t>”), dated September 21, 2025, by and among the Company, Complete Solar, Inc., Sunder Energy LLC (“</w:t>
      </w:r>
      <w:r>
        <w:rPr>
          <w:rFonts w:ascii="Times New Roman" w:cs="Times New Roman" w:eastAsia="Times New Roman" w:hAnsi="Times New Roman"/>
          <w:sz w:val="15"/>
          <w:szCs w:val="15"/>
          <w:b w:val="1"/>
          <w:bCs w:val="1"/>
          <w:color w:val="auto"/>
        </w:rPr>
        <w:t>Sunder</w:t>
      </w:r>
      <w:r>
        <w:rPr>
          <w:rFonts w:ascii="Times New Roman" w:cs="Times New Roman" w:eastAsia="Times New Roman" w:hAnsi="Times New Roman"/>
          <w:sz w:val="15"/>
          <w:szCs w:val="15"/>
          <w:color w:val="auto"/>
        </w:rPr>
        <w:t>”) and Chicken Parm Pizza LLC, in connection with our acquisition of Sunder, (iii) up to 50,760,218 shares of common stock (the “</w:t>
      </w:r>
      <w:r>
        <w:rPr>
          <w:rFonts w:ascii="Times New Roman" w:cs="Times New Roman" w:eastAsia="Times New Roman" w:hAnsi="Times New Roman"/>
          <w:sz w:val="15"/>
          <w:szCs w:val="15"/>
          <w:b w:val="1"/>
          <w:bCs w:val="1"/>
          <w:color w:val="auto"/>
        </w:rPr>
        <w:t>Conversion Shares</w:t>
      </w:r>
      <w:r>
        <w:rPr>
          <w:rFonts w:ascii="Times New Roman" w:cs="Times New Roman" w:eastAsia="Times New Roman" w:hAnsi="Times New Roman"/>
          <w:sz w:val="15"/>
          <w:szCs w:val="15"/>
          <w:color w:val="auto"/>
        </w:rPr>
        <w:t>”) issuable upon conversion of our 7% convertible senior notes due 2029 (the “</w:t>
      </w:r>
      <w:r>
        <w:rPr>
          <w:rFonts w:ascii="Times New Roman" w:cs="Times New Roman" w:eastAsia="Times New Roman" w:hAnsi="Times New Roman"/>
          <w:sz w:val="15"/>
          <w:szCs w:val="15"/>
          <w:b w:val="1"/>
          <w:bCs w:val="1"/>
          <w:color w:val="auto"/>
        </w:rPr>
        <w:t>7% Notes</w:t>
      </w:r>
      <w:r>
        <w:rPr>
          <w:rFonts w:ascii="Times New Roman" w:cs="Times New Roman" w:eastAsia="Times New Roman" w:hAnsi="Times New Roman"/>
          <w:sz w:val="15"/>
          <w:szCs w:val="15"/>
          <w:color w:val="auto"/>
        </w:rPr>
        <w:t>”), and (iv) 1,048,352 shares of common stock held by certain of our former affiliates (the “</w:t>
      </w:r>
      <w:r>
        <w:rPr>
          <w:rFonts w:ascii="Times New Roman" w:cs="Times New Roman" w:eastAsia="Times New Roman" w:hAnsi="Times New Roman"/>
          <w:sz w:val="15"/>
          <w:szCs w:val="15"/>
          <w:b w:val="1"/>
          <w:bCs w:val="1"/>
          <w:color w:val="auto"/>
        </w:rPr>
        <w:t>Former Affiliate Shares</w:t>
      </w:r>
      <w:r>
        <w:rPr>
          <w:rFonts w:ascii="Times New Roman" w:cs="Times New Roman" w:eastAsia="Times New Roman" w:hAnsi="Times New Roman"/>
          <w:sz w:val="15"/>
          <w:szCs w:val="15"/>
          <w:color w:val="auto"/>
        </w:rPr>
        <w:t>” and, collectively with the Acquisition Shares and the Conversion Shares, the “</w:t>
      </w:r>
      <w:r>
        <w:rPr>
          <w:rFonts w:ascii="Times New Roman" w:cs="Times New Roman" w:eastAsia="Times New Roman" w:hAnsi="Times New Roman"/>
          <w:sz w:val="15"/>
          <w:szCs w:val="15"/>
          <w:b w:val="1"/>
          <w:bCs w:val="1"/>
          <w:color w:val="auto"/>
        </w:rPr>
        <w:t>Offered Securities</w:t>
      </w:r>
      <w:r>
        <w:rPr>
          <w:rFonts w:ascii="Times New Roman" w:cs="Times New Roman" w:eastAsia="Times New Roman" w:hAnsi="Times New Roman"/>
          <w:sz w:val="15"/>
          <w:szCs w:val="15"/>
          <w:color w:val="auto"/>
        </w:rPr>
        <w:t>”). The Acquisition Shares were issued at the closing of the transactions contemplated by the Transaction Agreements on November 21, 2025, with respect to the acquisition of Ambia, and on September 24, 2025, with respect to the acquisition of Sunder. The 7% Notes were issued in multiple tranches in September 2024, December 2024, in the thirteen week period ended March 30, 2025, and on September 23, 2025. The Former Affiliate Shares were issued previously to former affiliates of Freedom Acquisition I Corp. and its sponsor, Freedom Acquisition I, LLC.</w:t>
      </w:r>
    </w:p>
    <w:p>
      <w:pPr>
        <w:spacing w:after="0" w:line="15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See “</w:t>
      </w:r>
      <w:r>
        <w:rPr>
          <w:rFonts w:ascii="Times New Roman" w:cs="Times New Roman" w:eastAsia="Times New Roman" w:hAnsi="Times New Roman"/>
          <w:sz w:val="15"/>
          <w:szCs w:val="15"/>
          <w:i w:val="1"/>
          <w:iCs w:val="1"/>
          <w:color w:val="auto"/>
        </w:rPr>
        <w:t>Prospectus Summary</w:t>
      </w:r>
      <w:r>
        <w:rPr>
          <w:rFonts w:ascii="Times New Roman" w:cs="Times New Roman" w:eastAsia="Times New Roman" w:hAnsi="Times New Roman"/>
          <w:sz w:val="15"/>
          <w:szCs w:val="15"/>
          <w:color w:val="auto"/>
        </w:rPr>
        <w:t>” below for a description of the Acquisition Agreements, the Ambia Acquisition and the Sunder Acquisition and the 7% Notes and “</w:t>
      </w:r>
      <w:r>
        <w:rPr>
          <w:rFonts w:ascii="Times New Roman" w:cs="Times New Roman" w:eastAsia="Times New Roman" w:hAnsi="Times New Roman"/>
          <w:sz w:val="15"/>
          <w:szCs w:val="15"/>
          <w:i w:val="1"/>
          <w:iCs w:val="1"/>
          <w:color w:val="auto"/>
        </w:rPr>
        <w:t>Selling Securityholders</w:t>
      </w:r>
      <w:r>
        <w:rPr>
          <w:rFonts w:ascii="Times New Roman" w:cs="Times New Roman" w:eastAsia="Times New Roman" w:hAnsi="Times New Roman"/>
          <w:sz w:val="15"/>
          <w:szCs w:val="15"/>
          <w:color w:val="auto"/>
        </w:rPr>
        <w:t>” for additional information regarding the Selling Securityholders.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not selling any securities under this prospectus and will not receive any of the proceeds from the sale of shares of common stock by the Selling Securityholders.</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Selling Securityholders may sell or otherwise dispose of the shares of common stock described in this prospectus in a number of different ways and at varying prices. See “</w:t>
      </w:r>
      <w:r>
        <w:rPr>
          <w:rFonts w:ascii="Times New Roman" w:cs="Times New Roman" w:eastAsia="Times New Roman" w:hAnsi="Times New Roman"/>
          <w:sz w:val="15"/>
          <w:szCs w:val="15"/>
          <w:i w:val="1"/>
          <w:iCs w:val="1"/>
          <w:color w:val="auto"/>
        </w:rPr>
        <w:t>Plan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Distribution</w:t>
      </w:r>
      <w:r>
        <w:rPr>
          <w:rFonts w:ascii="Times New Roman" w:cs="Times New Roman" w:eastAsia="Times New Roman" w:hAnsi="Times New Roman"/>
          <w:sz w:val="15"/>
          <w:szCs w:val="15"/>
          <w:color w:val="auto"/>
        </w:rPr>
        <w:t>” for more information about how the Selling Securityholders may sell or otherwise dispose of the shares of common stock being registered pursuant to this prospectus.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None of the Selling Securityholders are an “underwriter” with respect to the securities registered hereunder within the meaning of Section 2(a)(11) of the Securities Act of 1933, as amended.</w:t>
      </w:r>
    </w:p>
    <w:p>
      <w:pPr>
        <w:spacing w:after="0" w:line="3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 w:cs="Times New Roman" w:eastAsia="Times New Roman" w:hAnsi="Times New Roman"/>
          <w:sz w:val="15"/>
          <w:szCs w:val="15"/>
          <w:i w:val="1"/>
          <w:iCs w:val="1"/>
          <w:color w:val="auto"/>
        </w:rPr>
        <w:t>Plan of Distribution</w:t>
      </w:r>
      <w:r>
        <w:rPr>
          <w:rFonts w:ascii="Times New Roman" w:cs="Times New Roman" w:eastAsia="Times New Roman" w:hAnsi="Times New Roman"/>
          <w:sz w:val="15"/>
          <w:szCs w:val="15"/>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of our common stock are listed on the Nasdaq Global Market (“Nasdaq”) under the symbol “SPWR”. On January 30, 2026, the closing price of our common stock was $1.72.</w:t>
      </w:r>
    </w:p>
    <w:p>
      <w:pPr>
        <w:spacing w:after="0" w:line="18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b w:val="1"/>
          <w:bCs w:val="1"/>
          <w:color w:val="auto"/>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spacing w:after="0" w:line="12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b w:val="1"/>
          <w:bCs w:val="1"/>
          <w:color w:val="auto"/>
        </w:rPr>
        <w:t>Investing in our securities involves a high degree of risk. You should review carefully the risks and uncertainties described in the section titled “Risk Factors” beginning on page 9 of this prospectus, and under similar headings in any amendments or supplements to this prospectus.</w:t>
      </w:r>
    </w:p>
    <w:p>
      <w:pPr>
        <w:spacing w:after="0" w:line="12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80" w:type="dxa"/>
            <w:vAlign w:val="bottom"/>
          </w:tcPr>
          <w:p>
            <w:pPr>
              <w:ind w:left="4700"/>
              <w:spacing w:after="0"/>
              <w:rPr>
                <w:sz w:val="20"/>
                <w:szCs w:val="20"/>
                <w:color w:val="auto"/>
              </w:rPr>
            </w:pPr>
            <w:r>
              <w:rPr>
                <w:rFonts w:ascii="Times New Roman" w:cs="Times New Roman" w:eastAsia="Times New Roman" w:hAnsi="Times New Roman"/>
                <w:sz w:val="15"/>
                <w:szCs w:val="15"/>
                <w:b w:val="1"/>
                <w:bCs w:val="1"/>
                <w:color w:val="auto"/>
              </w:rPr>
              <w:t>Prospectus dated</w:t>
            </w:r>
          </w:p>
        </w:tc>
        <w:tc>
          <w:tcPr>
            <w:tcW w:w="5280" w:type="dxa"/>
            <w:vAlign w:val="bottom"/>
          </w:tcPr>
          <w:p>
            <w:pPr>
              <w:jc w:val="right"/>
              <w:ind w:right="4624"/>
              <w:spacing w:after="0"/>
              <w:rPr>
                <w:sz w:val="20"/>
                <w:szCs w:val="20"/>
                <w:color w:val="auto"/>
              </w:rPr>
            </w:pPr>
            <w:r>
              <w:rPr>
                <w:rFonts w:ascii="Times New Roman" w:cs="Times New Roman" w:eastAsia="Times New Roman" w:hAnsi="Times New Roman"/>
                <w:sz w:val="15"/>
                <w:szCs w:val="15"/>
                <w:b w:val="1"/>
                <w:bCs w:val="1"/>
                <w:color w:val="auto"/>
              </w:rPr>
              <w:t>, 2026</w:t>
            </w:r>
          </w:p>
        </w:tc>
      </w:tr>
      <w:tr>
        <w:trPr>
          <w:trHeight w:val="549"/>
        </w:trPr>
        <w:tc>
          <w:tcPr>
            <w:tcW w:w="59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5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92"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color w:val="auto"/>
        </w:rPr>
        <w:t>This prospectus is part of a registration statement on Form S-1 that we filed with the Securities and Exchange Commission (the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using the “shelf” registration process. Under this shelf registration process, the Selling Securityholders may, from time to time, sell the securities offered by it described in this prospectus. We will not receive any proceeds from the sale by the Selling Securityholders of the securities offered by them described in this prospectus.</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51"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 xml:space="preserve">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 xml:space="preserve"> before deciding to invest in any of the securities being offered. The information contained in this prospectus and any supplement to this prospectus is accurate only as of the respective dates thereof, regardless of the time of delivery of this prospectus or of any sale of our securities. Our business, financial condition, results of operations and prospects may have changed since those dates.</w:t>
      </w:r>
    </w:p>
    <w:p>
      <w:pPr>
        <w:spacing w:after="0" w:line="155"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On July 17, 2023, FACT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FACT was domesticated and continues as a Delaware corporation, changing its name to “Complete Solaria, Inc.”</w:t>
      </w:r>
    </w:p>
    <w:p>
      <w:pPr>
        <w:spacing w:after="0" w:line="142"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Legacy Complete Solaria, Inc. (f/k/a Complete Solar Holding Corporation), a Delaware corporation (“</w:t>
      </w:r>
      <w:r>
        <w:rPr>
          <w:rFonts w:ascii="Times New Roman" w:cs="Times New Roman" w:eastAsia="Times New Roman" w:hAnsi="Times New Roman"/>
          <w:sz w:val="15"/>
          <w:szCs w:val="15"/>
          <w:b w:val="1"/>
          <w:bCs w:val="1"/>
          <w:color w:val="auto"/>
        </w:rPr>
        <w:t>Legacy Complete Solaria</w:t>
      </w:r>
      <w:r>
        <w:rPr>
          <w:rFonts w:ascii="Times New Roman" w:cs="Times New Roman" w:eastAsia="Times New Roman" w:hAnsi="Times New Roman"/>
          <w:sz w:val="15"/>
          <w:szCs w:val="15"/>
          <w:color w:val="auto"/>
        </w:rPr>
        <w:t>”), FACT, Jupiter Merger Sub I Corp., a Delaware corporation and wholly-owned subsidiary of FACT (“</w:t>
      </w:r>
      <w:r>
        <w:rPr>
          <w:rFonts w:ascii="Times New Roman" w:cs="Times New Roman" w:eastAsia="Times New Roman" w:hAnsi="Times New Roman"/>
          <w:sz w:val="15"/>
          <w:szCs w:val="15"/>
          <w:b w:val="1"/>
          <w:bCs w:val="1"/>
          <w:color w:val="auto"/>
        </w:rPr>
        <w:t>First Merger Sub</w:t>
      </w:r>
      <w:r>
        <w:rPr>
          <w:rFonts w:ascii="Times New Roman" w:cs="Times New Roman" w:eastAsia="Times New Roman" w:hAnsi="Times New Roman"/>
          <w:sz w:val="15"/>
          <w:szCs w:val="15"/>
          <w:color w:val="auto"/>
        </w:rPr>
        <w:t>”), Jupiter Merger Sub II LLC, a Delaware limited liability company and a wholly-owned subsidiary of FACT (“</w:t>
      </w:r>
      <w:r>
        <w:rPr>
          <w:rFonts w:ascii="Times New Roman" w:cs="Times New Roman" w:eastAsia="Times New Roman" w:hAnsi="Times New Roman"/>
          <w:sz w:val="15"/>
          <w:szCs w:val="15"/>
          <w:b w:val="1"/>
          <w:bCs w:val="1"/>
          <w:color w:val="auto"/>
        </w:rPr>
        <w:t>Second Merger Sub</w:t>
      </w:r>
      <w:r>
        <w:rPr>
          <w:rFonts w:ascii="Times New Roman" w:cs="Times New Roman" w:eastAsia="Times New Roman" w:hAnsi="Times New Roman"/>
          <w:sz w:val="15"/>
          <w:szCs w:val="15"/>
          <w:color w:val="auto"/>
        </w:rPr>
        <w:t>”) and The Solaria Corporation, a Delaware corporation and a wholly-owned indirect subsidiary of Legacy Complete Solaria (“</w:t>
      </w:r>
      <w:r>
        <w:rPr>
          <w:rFonts w:ascii="Times New Roman" w:cs="Times New Roman" w:eastAsia="Times New Roman" w:hAnsi="Times New Roman"/>
          <w:sz w:val="15"/>
          <w:szCs w:val="15"/>
          <w:b w:val="1"/>
          <w:bCs w:val="1"/>
          <w:color w:val="auto"/>
        </w:rPr>
        <w:t>Solaria</w:t>
      </w:r>
      <w:r>
        <w:rPr>
          <w:rFonts w:ascii="Times New Roman" w:cs="Times New Roman" w:eastAsia="Times New Roman" w:hAnsi="Times New Roman"/>
          <w:sz w:val="15"/>
          <w:szCs w:val="15"/>
          <w:color w:val="auto"/>
        </w:rPr>
        <w:t>”), entered into that certain Amended and Restated Business Combination Agreement, dated as of May 26, 2023 (as may be further amended, supplemented or otherwise modified from time to time, the “</w:t>
      </w:r>
      <w:r>
        <w:rPr>
          <w:rFonts w:ascii="Times New Roman" w:cs="Times New Roman" w:eastAsia="Times New Roman" w:hAnsi="Times New Roman"/>
          <w:sz w:val="15"/>
          <w:szCs w:val="15"/>
          <w:b w:val="1"/>
          <w:bCs w:val="1"/>
          <w:color w:val="auto"/>
        </w:rPr>
        <w:t>Business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Combination Agreement</w:t>
      </w:r>
      <w:r>
        <w:rPr>
          <w:rFonts w:ascii="Times New Roman" w:cs="Times New Roman" w:eastAsia="Times New Roman" w:hAnsi="Times New Roman"/>
          <w:sz w:val="15"/>
          <w:szCs w:val="15"/>
          <w:color w:val="auto"/>
        </w:rPr>
        <w:t>”). Pursuant to the terms and subject to the conditions of the Business Combination, on July 18, 2023, (i) First Merger Sub merged with and into Legacy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Complete Solaria with Legacy Complete Solaria surviving as a wholly-owned subsidiary of FACT (the “</w:t>
      </w:r>
      <w:r>
        <w:rPr>
          <w:rFonts w:ascii="Times New Roman" w:cs="Times New Roman" w:eastAsia="Times New Roman" w:hAnsi="Times New Roman"/>
          <w:sz w:val="15"/>
          <w:szCs w:val="15"/>
          <w:b w:val="1"/>
          <w:bCs w:val="1"/>
          <w:color w:val="auto"/>
        </w:rPr>
        <w:t>First Merger</w:t>
      </w:r>
      <w:r>
        <w:rPr>
          <w:rFonts w:ascii="Times New Roman" w:cs="Times New Roman" w:eastAsia="Times New Roman" w:hAnsi="Times New Roman"/>
          <w:sz w:val="15"/>
          <w:szCs w:val="15"/>
          <w:color w:val="auto"/>
        </w:rPr>
        <w:t>”), (ii) immediately thereafter and as part of the same overall transaction, Legacy Complete Solaria merged with and into Second Merger Sub, with Second Merger Sub surviving as a wholly-owned subsidiary of FACT (the “</w:t>
      </w:r>
      <w:r>
        <w:rPr>
          <w:rFonts w:ascii="Times New Roman" w:cs="Times New Roman" w:eastAsia="Times New Roman" w:hAnsi="Times New Roman"/>
          <w:sz w:val="15"/>
          <w:szCs w:val="15"/>
          <w:b w:val="1"/>
          <w:bCs w:val="1"/>
          <w:color w:val="auto"/>
        </w:rPr>
        <w:t>Second Merger</w:t>
      </w:r>
      <w:r>
        <w:rPr>
          <w:rFonts w:ascii="Times New Roman" w:cs="Times New Roman" w:eastAsia="Times New Roman" w:hAnsi="Times New Roman"/>
          <w:sz w:val="15"/>
          <w:szCs w:val="15"/>
          <w:color w:val="auto"/>
        </w:rPr>
        <w:t>”), and FACT changed its name to “Complete Solaria, Inc.” and Second Merger Sub changed its name to “CS, LLC” and (iii) immediately after the consummation of the Second Merger and as part of the same overall transaction, Solaria merged with and into a newly-formed Delaware limited liability company and wholly-owned subsidiary of FACT and changed its name to “SolarCA LLC” (“</w:t>
      </w:r>
      <w:r>
        <w:rPr>
          <w:rFonts w:ascii="Times New Roman" w:cs="Times New Roman" w:eastAsia="Times New Roman" w:hAnsi="Times New Roman"/>
          <w:sz w:val="15"/>
          <w:szCs w:val="15"/>
          <w:b w:val="1"/>
          <w:bCs w:val="1"/>
          <w:color w:val="auto"/>
        </w:rPr>
        <w:t>Third Merger Sub</w:t>
      </w:r>
      <w:r>
        <w:rPr>
          <w:rFonts w:ascii="Times New Roman" w:cs="Times New Roman" w:eastAsia="Times New Roman" w:hAnsi="Times New Roman"/>
          <w:sz w:val="15"/>
          <w:szCs w:val="15"/>
          <w:color w:val="auto"/>
        </w:rPr>
        <w:t>”), with Third Merger Sub surviving as a wholly-owned subsidiary of FACT (together with the First Merger and the Second Merger, the “Mergers”).</w:t>
      </w:r>
    </w:p>
    <w:p>
      <w:pPr>
        <w:spacing w:after="0" w:line="342"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On October 16, 2025, the Company filed with the Secretary of State of Delaware a Certificate of Amendment to its Certificate of Incorporation to change its corporate name from “Complete Solaria, Inc.” to “SunPower Inc.”, effective as of 4:30 PM Eastern Time on October 17, 2025.</w:t>
      </w:r>
    </w:p>
    <w:p>
      <w:pPr>
        <w:spacing w:after="0" w:line="134"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Unless the context indicates otherwise, references in this prospectus to “SunPower,” “we,” “us,” “our,” the “Company” and similar terms refer to SunPower Inc. (f/k/a “Complete Solaria, Inc.” and, previously, “Freedom Acquisition I Corp.”) and its consolidated subsidiaries. References to “FACT” refer to the predecessor company prior to the consummation of the Business Combination.</w:t>
      </w:r>
    </w:p>
    <w:p>
      <w:pPr>
        <w:spacing w:after="0" w:line="14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5"/>
          <w:szCs w:val="15"/>
          <w:i w:val="1"/>
          <w:iCs w:val="1"/>
          <w:color w:val="auto"/>
        </w:rPr>
        <w:t>Where You</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Can Find More Information</w:t>
      </w:r>
      <w:r>
        <w:rPr>
          <w:rFonts w:ascii="Times New Roman" w:cs="Times New Roman" w:eastAsia="Times New Roman" w:hAnsi="Times New Roman"/>
          <w:sz w:val="15"/>
          <w:szCs w:val="15"/>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92"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This prospectus contains forward-looking statements within the meaning of Section 27A of the Securities Act of 1933, as amended (the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and Section 21E of the Securities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The statements contained in this prospectus that are not purely historical are forward-looking statements.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include, without limitation, statements about:</w:t>
      </w:r>
    </w:p>
    <w:p>
      <w:pPr>
        <w:spacing w:after="0" w:line="158" w:lineRule="exact"/>
        <w:rPr>
          <w:sz w:val="20"/>
          <w:szCs w:val="20"/>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direct and indirect exposure to companies in the solar and renewable energy industries that are facing financial difficulties and potential bankruptcies;</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in our supply chains and distribution channels, tariffs and trade barriers, export regulations, bank failures, geopolitical conflicts and other macroeconomic conditions on our business and operations, results of operations and financial position;</w:t>
      </w:r>
    </w:p>
    <w:p>
      <w:pPr>
        <w:spacing w:after="0" w:line="133" w:lineRule="exact"/>
        <w:rPr>
          <w:rFonts w:ascii="Times New Roman" w:cs="Times New Roman" w:eastAsia="Times New Roman" w:hAnsi="Times New Roman"/>
          <w:sz w:val="15"/>
          <w:szCs w:val="15"/>
          <w:color w:val="auto"/>
        </w:rPr>
      </w:pPr>
    </w:p>
    <w:p>
      <w:pPr>
        <w:jc w:val="both"/>
        <w:ind w:left="540" w:hanging="276"/>
        <w:spacing w:after="0" w:line="270" w:lineRule="auto"/>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leverage our acquisition under the asset purchase agreement with the SunPower Debtors, our acquisitions of Sunder (as defined below), Ambia (as defined below) and Cobalt (as defined below) and other acquisitions, including our ability to integrate these and other acquired businesses, to fund and meet the liquidity needs of the acquired businesses, to retain key employees of the acquired businesses, to take advantage of growth opportunities and to realize the expected benefits of such acquisitions;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impact of changes to and developments relating to the regulations and policies applicable to our business, customers and the industry;</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availability of rebates, tax credits and other incentives;</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and the volatility of interest rates;</w:t>
      </w:r>
    </w:p>
    <w:p>
      <w:pPr>
        <w:spacing w:after="0" w:line="191"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and business performance following the Business Combination, the acquisition of the SunPower Businesses and our acquisitions of Sunder, Ambia and Cobalt, including financial projections and business metrics, and our ability to manage our costs;</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strategy, future operations, financial position, estimated revenues and losses, projected costs, prospects and plans;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capital requirements, the sufficiency of our cash, and sources and uses of cash, including cash required to service our current and future borrowings;</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funding for our operations and future growth, including in connection with the integration of our acquisitions, and our ability to raise capital and refinance our existing debt;</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meet the expectations of new and current customers, and our ability to achieve market acceptance for our products and services, especially in light of the intense competition faced in our industry;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4" w:name="page5"/>
    <w:bookmarkEnd w:id="4"/>
    <w:p>
      <w:pPr>
        <w:ind w:left="540" w:hanging="276"/>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and forecasts with respect to market opportunity and market growth;</w:t>
      </w:r>
    </w:p>
    <w:p>
      <w:pPr>
        <w:spacing w:after="0" w:line="191"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and plans relating to cost control efforts (including headcount management and potential reductions) and expectations with respect to when we achieve breakeven operating income;</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products and services to meet customers’ compliance and regulatory needs;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qualified employees and management;</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and maintain our brand and reputation, and our ability to maintain our relationships with key suppliers, installers and build partners;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and projections relating to our competitors and industry;</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general economic and financial conditions, inflationary pressures and the resulting impact demand, and our ability to plan for and respond to the impact of those changes;</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our ability to obtain and maintain intellectual property protection and not infringe on the rights of others;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expansion plans and opportunities.</w:t>
      </w:r>
    </w:p>
    <w:p>
      <w:pPr>
        <w:spacing w:after="0" w:line="192" w:lineRule="exact"/>
        <w:rPr>
          <w:sz w:val="20"/>
          <w:szCs w:val="20"/>
          <w:color w:val="auto"/>
        </w:rPr>
      </w:pPr>
    </w:p>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341"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gridSpan w:val="2"/>
          </w:tcPr>
          <w:p>
            <w:pPr>
              <w:ind w:left="15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1020" w:type="dxa"/>
            <w:vAlign w:val="bottom"/>
          </w:tcPr>
          <w:p>
            <w:pPr>
              <w:spacing w:after="0"/>
              <w:rPr>
                <w:sz w:val="17"/>
                <w:szCs w:val="17"/>
                <w:color w:val="auto"/>
              </w:rPr>
            </w:pPr>
          </w:p>
        </w:tc>
      </w:tr>
      <w:tr>
        <w:trPr>
          <w:trHeight w:val="378"/>
        </w:trPr>
        <w:tc>
          <w:tcPr>
            <w:tcW w:w="20" w:type="dxa"/>
            <w:vAlign w:val="bottom"/>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Page</w:t>
            </w:r>
          </w:p>
        </w:tc>
      </w:tr>
      <w:tr>
        <w:trPr>
          <w:trHeight w:val="162"/>
        </w:trPr>
        <w:tc>
          <w:tcPr>
            <w:tcW w:w="20" w:type="dxa"/>
            <w:vAlign w:val="bottom"/>
          </w:tcPr>
          <w:p>
            <w:pPr>
              <w:spacing w:after="0"/>
              <w:rPr>
                <w:sz w:val="14"/>
                <w:szCs w:val="14"/>
                <w:color w:val="auto"/>
              </w:rPr>
            </w:pPr>
          </w:p>
        </w:tc>
        <w:tc>
          <w:tcPr>
            <w:tcW w:w="1260" w:type="dxa"/>
            <w:vAlign w:val="bottom"/>
            <w:tcBorders>
              <w:bottom w:val="single" w:sz="8" w:color="0000EE"/>
            </w:tcBorders>
            <w:gridSpan w:val="6"/>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0000EE"/>
              </w:rPr>
              <w:t>Prospectus Summary</w:t>
            </w:r>
          </w:p>
        </w:tc>
        <w:tc>
          <w:tcPr>
            <w:tcW w:w="8960" w:type="dxa"/>
            <w:vAlign w:val="bottom"/>
            <w:tcBorders>
              <w:bottom w:val="single" w:sz="8" w:color="CCEEFF"/>
            </w:tcBorders>
            <w:gridSpan w:val="12"/>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1"/>
              </w:rPr>
              <w:t>1</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5"/>
                <w:szCs w:val="15"/>
                <w:color w:val="0000EE"/>
              </w:rPr>
              <w:t>Risk Factors</w:t>
            </w:r>
          </w:p>
        </w:tc>
        <w:tc>
          <w:tcPr>
            <w:tcW w:w="9400" w:type="dxa"/>
            <w:vAlign w:val="bottom"/>
            <w:gridSpan w:val="15"/>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79"/>
              </w:rPr>
              <w:t>9</w:t>
            </w:r>
          </w:p>
        </w:tc>
      </w:tr>
      <w:tr>
        <w:trPr>
          <w:trHeight w:val="176"/>
        </w:trPr>
        <w:tc>
          <w:tcPr>
            <w:tcW w:w="20" w:type="dxa"/>
            <w:vAlign w:val="bottom"/>
          </w:tcPr>
          <w:p>
            <w:pPr>
              <w:spacing w:after="0"/>
              <w:rPr>
                <w:sz w:val="15"/>
                <w:szCs w:val="15"/>
                <w:color w:val="auto"/>
              </w:rPr>
            </w:pPr>
          </w:p>
        </w:tc>
        <w:tc>
          <w:tcPr>
            <w:tcW w:w="1540" w:type="dxa"/>
            <w:vAlign w:val="bottom"/>
            <w:tcBorders>
              <w:bottom w:val="single" w:sz="8" w:color="0000EE"/>
            </w:tcBorders>
            <w:gridSpan w:val="9"/>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8"/>
              </w:rPr>
              <w:t>Market and Industry Data</w:t>
            </w:r>
          </w:p>
        </w:tc>
        <w:tc>
          <w:tcPr>
            <w:tcW w:w="8680" w:type="dxa"/>
            <w:vAlign w:val="bottom"/>
            <w:tcBorders>
              <w:bottom w:val="single" w:sz="8" w:color="CCEEFF"/>
            </w:tcBorders>
            <w:gridSpan w:val="9"/>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41</w:t>
            </w:r>
          </w:p>
        </w:tc>
      </w:tr>
      <w:tr>
        <w:trPr>
          <w:trHeight w:val="148"/>
        </w:trPr>
        <w:tc>
          <w:tcPr>
            <w:tcW w:w="20" w:type="dxa"/>
            <w:vAlign w:val="bottom"/>
          </w:tcPr>
          <w:p>
            <w:pPr>
              <w:spacing w:after="0"/>
              <w:rPr>
                <w:sz w:val="12"/>
                <w:szCs w:val="12"/>
                <w:color w:val="auto"/>
              </w:rPr>
            </w:pPr>
          </w:p>
        </w:tc>
        <w:tc>
          <w:tcPr>
            <w:tcW w:w="960" w:type="dxa"/>
            <w:vAlign w:val="bottom"/>
            <w:tcBorders>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5"/>
                <w:szCs w:val="15"/>
                <w:color w:val="0000EE"/>
                <w:w w:val="96"/>
              </w:rPr>
              <w:t>Use of Proceeds</w:t>
            </w:r>
          </w:p>
        </w:tc>
        <w:tc>
          <w:tcPr>
            <w:tcW w:w="9260" w:type="dxa"/>
            <w:vAlign w:val="bottom"/>
            <w:gridSpan w:val="14"/>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3"/>
              </w:rPr>
              <w:t>42</w:t>
            </w:r>
          </w:p>
        </w:tc>
      </w:tr>
      <w:tr>
        <w:trPr>
          <w:trHeight w:val="176"/>
        </w:trPr>
        <w:tc>
          <w:tcPr>
            <w:tcW w:w="20" w:type="dxa"/>
            <w:vAlign w:val="bottom"/>
          </w:tcPr>
          <w:p>
            <w:pPr>
              <w:spacing w:after="0"/>
              <w:rPr>
                <w:sz w:val="15"/>
                <w:szCs w:val="15"/>
                <w:color w:val="auto"/>
              </w:rPr>
            </w:pPr>
          </w:p>
        </w:tc>
        <w:tc>
          <w:tcPr>
            <w:tcW w:w="1920" w:type="dxa"/>
            <w:vAlign w:val="bottom"/>
            <w:tcBorders>
              <w:bottom w:val="single" w:sz="8" w:color="0000EE"/>
            </w:tcBorders>
            <w:gridSpan w:val="11"/>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8"/>
              </w:rPr>
              <w:t>Determination of Offering Price</w:t>
            </w:r>
          </w:p>
        </w:tc>
        <w:tc>
          <w:tcPr>
            <w:tcW w:w="8300" w:type="dxa"/>
            <w:vAlign w:val="bottom"/>
            <w:tcBorders>
              <w:bottom w:val="single" w:sz="8" w:color="CCEEFF"/>
            </w:tcBorders>
            <w:gridSpan w:val="7"/>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43</w:t>
            </w:r>
          </w:p>
        </w:tc>
      </w:tr>
      <w:tr>
        <w:trPr>
          <w:trHeight w:val="148"/>
        </w:trPr>
        <w:tc>
          <w:tcPr>
            <w:tcW w:w="20" w:type="dxa"/>
            <w:vAlign w:val="bottom"/>
          </w:tcPr>
          <w:p>
            <w:pPr>
              <w:spacing w:after="0"/>
              <w:rPr>
                <w:sz w:val="12"/>
                <w:szCs w:val="12"/>
                <w:color w:val="auto"/>
              </w:rPr>
            </w:pPr>
          </w:p>
        </w:tc>
        <w:tc>
          <w:tcPr>
            <w:tcW w:w="10220" w:type="dxa"/>
            <w:vAlign w:val="bottom"/>
            <w:gridSpan w:val="18"/>
          </w:tcPr>
          <w:p>
            <w:pPr>
              <w:spacing w:after="0" w:line="148" w:lineRule="exact"/>
              <w:rPr>
                <w:sz w:val="20"/>
                <w:szCs w:val="20"/>
                <w:color w:val="auto"/>
              </w:rPr>
            </w:pPr>
            <w:r>
              <w:rPr>
                <w:rFonts w:ascii="Times New Roman" w:cs="Times New Roman" w:eastAsia="Times New Roman" w:hAnsi="Times New Roman"/>
                <w:sz w:val="15"/>
                <w:szCs w:val="15"/>
                <w:color w:val="0000EE"/>
              </w:rPr>
              <w:t>Market Information for Securities and Dividend Policy</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3"/>
              </w:rPr>
              <w:t>43</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tcBorders>
              <w:bottom w:val="single" w:sz="8" w:color="0000EE"/>
            </w:tcBorders>
            <w:gridSpan w:val="17"/>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c>
          <w:tcPr>
            <w:tcW w:w="4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44</w:t>
            </w:r>
          </w:p>
        </w:tc>
      </w:tr>
      <w:tr>
        <w:trPr>
          <w:trHeight w:val="148"/>
        </w:trPr>
        <w:tc>
          <w:tcPr>
            <w:tcW w:w="20" w:type="dxa"/>
            <w:vAlign w:val="bottom"/>
          </w:tcPr>
          <w:p>
            <w:pPr>
              <w:spacing w:after="0"/>
              <w:rPr>
                <w:sz w:val="12"/>
                <w:szCs w:val="12"/>
                <w:color w:val="auto"/>
              </w:rPr>
            </w:pPr>
          </w:p>
        </w:tc>
        <w:tc>
          <w:tcPr>
            <w:tcW w:w="52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5"/>
                <w:szCs w:val="15"/>
                <w:color w:val="0000EE"/>
                <w:w w:val="93"/>
              </w:rPr>
              <w:t>Business</w:t>
            </w:r>
          </w:p>
        </w:tc>
        <w:tc>
          <w:tcPr>
            <w:tcW w:w="9700" w:type="dxa"/>
            <w:vAlign w:val="bottom"/>
            <w:gridSpan w:val="16"/>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3"/>
              </w:rPr>
              <w:t>72</w:t>
            </w:r>
          </w:p>
        </w:tc>
      </w:tr>
      <w:tr>
        <w:trPr>
          <w:trHeight w:val="162"/>
        </w:trPr>
        <w:tc>
          <w:tcPr>
            <w:tcW w:w="20" w:type="dxa"/>
            <w:vAlign w:val="bottom"/>
          </w:tcPr>
          <w:p>
            <w:pPr>
              <w:spacing w:after="0"/>
              <w:rPr>
                <w:sz w:val="14"/>
                <w:szCs w:val="14"/>
                <w:color w:val="auto"/>
              </w:rPr>
            </w:pPr>
          </w:p>
        </w:tc>
        <w:tc>
          <w:tcPr>
            <w:tcW w:w="10220" w:type="dxa"/>
            <w:vAlign w:val="bottom"/>
            <w:gridSpan w:val="1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Management</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80</w:t>
            </w:r>
          </w:p>
        </w:tc>
      </w:tr>
      <w:tr>
        <w:trPr>
          <w:trHeight w:val="3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1500" w:type="dxa"/>
            <w:vAlign w:val="bottom"/>
            <w:tcBorders>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5"/>
                <w:szCs w:val="15"/>
                <w:color w:val="0000EE"/>
                <w:w w:val="98"/>
              </w:rPr>
              <w:t>Executive Compensation</w:t>
            </w:r>
          </w:p>
        </w:tc>
        <w:tc>
          <w:tcPr>
            <w:tcW w:w="8720" w:type="dxa"/>
            <w:vAlign w:val="bottom"/>
            <w:gridSpan w:val="10"/>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3"/>
              </w:rPr>
              <w:t>87</w:t>
            </w:r>
          </w:p>
        </w:tc>
      </w:tr>
      <w:tr>
        <w:trPr>
          <w:trHeight w:val="176"/>
        </w:trPr>
        <w:tc>
          <w:tcPr>
            <w:tcW w:w="20" w:type="dxa"/>
            <w:vAlign w:val="bottom"/>
          </w:tcPr>
          <w:p>
            <w:pPr>
              <w:spacing w:after="0"/>
              <w:rPr>
                <w:sz w:val="15"/>
                <w:szCs w:val="15"/>
                <w:color w:val="auto"/>
              </w:rPr>
            </w:pPr>
          </w:p>
        </w:tc>
        <w:tc>
          <w:tcPr>
            <w:tcW w:w="10220" w:type="dxa"/>
            <w:vAlign w:val="bottom"/>
            <w:gridSpan w:val="1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Certain Relationships and Related Party Transactions</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100</w:t>
            </w:r>
          </w:p>
        </w:tc>
      </w:tr>
      <w:tr>
        <w:trPr>
          <w:trHeight w:val="148"/>
        </w:trPr>
        <w:tc>
          <w:tcPr>
            <w:tcW w:w="20" w:type="dxa"/>
            <w:vAlign w:val="bottom"/>
          </w:tcPr>
          <w:p>
            <w:pPr>
              <w:spacing w:after="0"/>
              <w:rPr>
                <w:sz w:val="12"/>
                <w:szCs w:val="12"/>
                <w:color w:val="auto"/>
              </w:rPr>
            </w:pPr>
          </w:p>
        </w:tc>
        <w:tc>
          <w:tcPr>
            <w:tcW w:w="3200" w:type="dxa"/>
            <w:vAlign w:val="bottom"/>
            <w:tcBorders>
              <w:top w:val="single" w:sz="8" w:color="0000EE"/>
            </w:tcBorders>
            <w:gridSpan w:val="15"/>
          </w:tcPr>
          <w:p>
            <w:pPr>
              <w:spacing w:after="0" w:line="148" w:lineRule="exact"/>
              <w:rPr>
                <w:sz w:val="20"/>
                <w:szCs w:val="20"/>
                <w:color w:val="auto"/>
              </w:rPr>
            </w:pPr>
            <w:r>
              <w:rPr>
                <w:rFonts w:ascii="Times New Roman" w:cs="Times New Roman" w:eastAsia="Times New Roman" w:hAnsi="Times New Roman"/>
                <w:sz w:val="15"/>
                <w:szCs w:val="15"/>
                <w:color w:val="0000EE"/>
              </w:rPr>
              <w:t>Principal Stockholders</w:t>
            </w:r>
          </w:p>
        </w:tc>
        <w:tc>
          <w:tcPr>
            <w:tcW w:w="7020" w:type="dxa"/>
            <w:vAlign w:val="bottom"/>
            <w:tcBorders>
              <w:top w:val="single" w:sz="8" w:color="CCEEFF"/>
            </w:tcBorders>
            <w:gridSpan w:val="3"/>
          </w:tcPr>
          <w:p>
            <w:pPr>
              <w:spacing w:after="0"/>
              <w:rPr>
                <w:sz w:val="12"/>
                <w:szCs w:val="12"/>
                <w:color w:val="auto"/>
              </w:rPr>
            </w:pPr>
          </w:p>
        </w:tc>
        <w:tc>
          <w:tcPr>
            <w:tcW w:w="102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w w:val="97"/>
              </w:rPr>
              <w:t>104</w:t>
            </w:r>
          </w:p>
        </w:tc>
      </w:tr>
      <w:tr>
        <w:trPr>
          <w:trHeight w:val="176"/>
        </w:trPr>
        <w:tc>
          <w:tcPr>
            <w:tcW w:w="2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7"/>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8"/>
              </w:rPr>
              <w:t>Selling Securityholder</w:t>
            </w:r>
          </w:p>
        </w:tc>
        <w:tc>
          <w:tcPr>
            <w:tcW w:w="8880" w:type="dxa"/>
            <w:vAlign w:val="bottom"/>
            <w:tcBorders>
              <w:bottom w:val="single" w:sz="8" w:color="CCEEFF"/>
            </w:tcBorders>
            <w:gridSpan w:val="11"/>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107</w:t>
            </w:r>
          </w:p>
        </w:tc>
      </w:tr>
      <w:tr>
        <w:trPr>
          <w:trHeight w:val="148"/>
        </w:trPr>
        <w:tc>
          <w:tcPr>
            <w:tcW w:w="20" w:type="dxa"/>
            <w:vAlign w:val="bottom"/>
          </w:tcPr>
          <w:p>
            <w:pPr>
              <w:spacing w:after="0"/>
              <w:rPr>
                <w:sz w:val="12"/>
                <w:szCs w:val="12"/>
                <w:color w:val="auto"/>
              </w:rPr>
            </w:pPr>
          </w:p>
        </w:tc>
        <w:tc>
          <w:tcPr>
            <w:tcW w:w="10220" w:type="dxa"/>
            <w:vAlign w:val="bottom"/>
            <w:gridSpan w:val="18"/>
          </w:tcPr>
          <w:p>
            <w:pPr>
              <w:spacing w:after="0" w:line="148"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7"/>
              </w:rPr>
              <w:t>111</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220" w:type="dxa"/>
            <w:vAlign w:val="bottom"/>
            <w:gridSpan w:val="1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Material U.S. Federal Income Tax Consequences</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119</w:t>
            </w:r>
          </w:p>
        </w:tc>
      </w:tr>
      <w:tr>
        <w:trPr>
          <w:trHeight w:val="148"/>
        </w:trPr>
        <w:tc>
          <w:tcPr>
            <w:tcW w:w="2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5"/>
                <w:szCs w:val="15"/>
                <w:color w:val="0000EE"/>
                <w:w w:val="97"/>
              </w:rPr>
              <w:t>Plan of Distribution</w:t>
            </w:r>
          </w:p>
        </w:tc>
        <w:tc>
          <w:tcPr>
            <w:tcW w:w="1760" w:type="dxa"/>
            <w:vAlign w:val="bottom"/>
            <w:tcBorders>
              <w:top w:val="single" w:sz="8" w:color="0000EE"/>
            </w:tcBorders>
            <w:gridSpan w:val="9"/>
          </w:tcPr>
          <w:p>
            <w:pPr>
              <w:spacing w:after="0"/>
              <w:rPr>
                <w:sz w:val="12"/>
                <w:szCs w:val="12"/>
                <w:color w:val="auto"/>
              </w:rPr>
            </w:pPr>
          </w:p>
        </w:tc>
        <w:tc>
          <w:tcPr>
            <w:tcW w:w="7280" w:type="dxa"/>
            <w:vAlign w:val="bottom"/>
            <w:tcBorders>
              <w:top w:val="single" w:sz="8" w:color="CCEEFF"/>
            </w:tcBorders>
            <w:gridSpan w:val="4"/>
          </w:tcPr>
          <w:p>
            <w:pPr>
              <w:spacing w:after="0"/>
              <w:rPr>
                <w:sz w:val="12"/>
                <w:szCs w:val="12"/>
                <w:color w:val="auto"/>
              </w:rPr>
            </w:pPr>
          </w:p>
        </w:tc>
        <w:tc>
          <w:tcPr>
            <w:tcW w:w="102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w w:val="97"/>
              </w:rPr>
              <w:t>124</w:t>
            </w:r>
          </w:p>
        </w:tc>
      </w:tr>
      <w:tr>
        <w:trPr>
          <w:trHeight w:val="176"/>
        </w:trPr>
        <w:tc>
          <w:tcPr>
            <w:tcW w:w="20" w:type="dxa"/>
            <w:vAlign w:val="bottom"/>
          </w:tcPr>
          <w:p>
            <w:pPr>
              <w:spacing w:after="0"/>
              <w:rPr>
                <w:sz w:val="15"/>
                <w:szCs w:val="15"/>
                <w:color w:val="auto"/>
              </w:rPr>
            </w:pPr>
          </w:p>
        </w:tc>
        <w:tc>
          <w:tcPr>
            <w:tcW w:w="820" w:type="dxa"/>
            <w:vAlign w:val="bottom"/>
            <w:tcBorders>
              <w:bottom w:val="single" w:sz="8" w:color="0000EE"/>
              <w:right w:val="single" w:sz="8" w:color="CCEEFF"/>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3"/>
              </w:rPr>
              <w:t>Legal Matters</w:t>
            </w:r>
          </w:p>
        </w:tc>
        <w:tc>
          <w:tcPr>
            <w:tcW w:w="9400" w:type="dxa"/>
            <w:vAlign w:val="bottom"/>
            <w:tcBorders>
              <w:bottom w:val="single" w:sz="8" w:color="CCEEFF"/>
            </w:tcBorders>
            <w:gridSpan w:val="15"/>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125</w:t>
            </w:r>
          </w:p>
        </w:tc>
      </w:tr>
      <w:tr>
        <w:trPr>
          <w:trHeight w:val="148"/>
        </w:trPr>
        <w:tc>
          <w:tcPr>
            <w:tcW w:w="20" w:type="dxa"/>
            <w:vAlign w:val="bottom"/>
          </w:tcPr>
          <w:p>
            <w:pPr>
              <w:spacing w:after="0"/>
              <w:rPr>
                <w:sz w:val="12"/>
                <w:szCs w:val="12"/>
                <w:color w:val="auto"/>
              </w:rPr>
            </w:pPr>
          </w:p>
        </w:tc>
        <w:tc>
          <w:tcPr>
            <w:tcW w:w="440" w:type="dxa"/>
            <w:vAlign w:val="bottom"/>
            <w:tcBorders>
              <w:bottom w:val="single" w:sz="8" w:color="0000EE"/>
            </w:tcBorders>
          </w:tcPr>
          <w:p>
            <w:pPr>
              <w:spacing w:after="0" w:line="148" w:lineRule="exact"/>
              <w:rPr>
                <w:sz w:val="20"/>
                <w:szCs w:val="20"/>
                <w:color w:val="auto"/>
              </w:rPr>
            </w:pPr>
            <w:r>
              <w:rPr>
                <w:rFonts w:ascii="Times New Roman" w:cs="Times New Roman" w:eastAsia="Times New Roman" w:hAnsi="Times New Roman"/>
                <w:sz w:val="15"/>
                <w:szCs w:val="15"/>
                <w:color w:val="0000EE"/>
                <w:w w:val="91"/>
              </w:rPr>
              <w:t>Experts</w:t>
            </w:r>
          </w:p>
        </w:tc>
        <w:tc>
          <w:tcPr>
            <w:tcW w:w="9780" w:type="dxa"/>
            <w:vAlign w:val="bottom"/>
            <w:gridSpan w:val="17"/>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7"/>
              </w:rPr>
              <w:t>125</w:t>
            </w:r>
          </w:p>
        </w:tc>
      </w:tr>
      <w:tr>
        <w:trPr>
          <w:trHeight w:val="162"/>
        </w:trPr>
        <w:tc>
          <w:tcPr>
            <w:tcW w:w="20" w:type="dxa"/>
            <w:vAlign w:val="bottom"/>
          </w:tcPr>
          <w:p>
            <w:pPr>
              <w:spacing w:after="0"/>
              <w:rPr>
                <w:sz w:val="14"/>
                <w:szCs w:val="14"/>
                <w:color w:val="auto"/>
              </w:rPr>
            </w:pPr>
          </w:p>
        </w:tc>
        <w:tc>
          <w:tcPr>
            <w:tcW w:w="10220" w:type="dxa"/>
            <w:vAlign w:val="bottom"/>
            <w:gridSpan w:val="18"/>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126</w:t>
            </w:r>
          </w:p>
        </w:tc>
      </w:tr>
      <w:tr>
        <w:trPr>
          <w:trHeight w:val="3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20" w:type="dxa"/>
            <w:vAlign w:val="bottom"/>
            <w:tcBorders>
              <w:bottom w:val="single" w:sz="8" w:color="0000EE"/>
            </w:tcBorders>
          </w:tcPr>
          <w:p>
            <w:pPr>
              <w:spacing w:after="0"/>
              <w:rPr>
                <w:sz w:val="12"/>
                <w:szCs w:val="12"/>
                <w:color w:val="auto"/>
              </w:rPr>
            </w:pPr>
          </w:p>
        </w:tc>
        <w:tc>
          <w:tcPr>
            <w:tcW w:w="2620" w:type="dxa"/>
            <w:vAlign w:val="bottom"/>
            <w:tcBorders>
              <w:bottom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5"/>
                <w:szCs w:val="15"/>
                <w:color w:val="0000EE"/>
                <w:w w:val="99"/>
              </w:rPr>
              <w:t>Index to Consolidated Financial Statements</w:t>
            </w:r>
          </w:p>
        </w:tc>
        <w:tc>
          <w:tcPr>
            <w:tcW w:w="7600" w:type="dxa"/>
            <w:vAlign w:val="bottom"/>
            <w:gridSpan w:val="5"/>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F-1</w:t>
            </w:r>
          </w:p>
        </w:tc>
      </w:tr>
    </w:tbl>
    <w:p>
      <w:pPr>
        <w:spacing w:after="0" w:line="190"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You should rely only on the information contained in this prospectus, any supplement to this prospectus or in any free writing prospectus, filed with the Securities and Exchange Commission. Neither we nor the Selling Securityholders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Securityholders are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spacing w:after="0" w:line="153"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6" w:name="page7"/>
    <w:bookmarkEnd w:id="6"/>
    <w:p>
      <w:pPr>
        <w:ind w:left="4600"/>
        <w:spacing w:after="0"/>
        <w:rPr>
          <w:sz w:val="20"/>
          <w:szCs w:val="20"/>
          <w:color w:val="auto"/>
        </w:rPr>
      </w:pPr>
      <w:r>
        <w:rPr>
          <w:rFonts w:ascii="Times New Roman" w:cs="Times New Roman" w:eastAsia="Times New Roman" w:hAnsi="Times New Roman"/>
          <w:sz w:val="15"/>
          <w:szCs w:val="15"/>
          <w:b w:val="1"/>
          <w:bCs w:val="1"/>
          <w:color w:val="auto"/>
        </w:rPr>
        <w:t>FREQUENTLY USED TERMS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Combination</w:t>
      </w:r>
      <w:r>
        <w:rPr>
          <w:rFonts w:ascii="Times New Roman" w:cs="Times New Roman" w:eastAsia="Times New Roman" w:hAnsi="Times New Roman"/>
          <w:sz w:val="15"/>
          <w:szCs w:val="15"/>
          <w:color w:val="auto"/>
        </w:rPr>
        <w:t>” means the transactions contemplated by the Business Combination Agreement.</w:t>
      </w:r>
    </w:p>
    <w:p>
      <w:pPr>
        <w:spacing w:after="0" w:line="192" w:lineRule="exact"/>
        <w:rPr>
          <w:sz w:val="20"/>
          <w:szCs w:val="20"/>
          <w:color w:val="auto"/>
        </w:rPr>
      </w:pPr>
    </w:p>
    <w:p>
      <w:pPr>
        <w:ind w:right="20" w:firstLine="273"/>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Combination Agreement</w:t>
      </w:r>
      <w:r>
        <w:rPr>
          <w:rFonts w:ascii="Times New Roman" w:cs="Times New Roman" w:eastAsia="Times New Roman" w:hAnsi="Times New Roman"/>
          <w:sz w:val="15"/>
          <w:szCs w:val="15"/>
          <w:color w:val="auto"/>
        </w:rPr>
        <w:t>” means the amended and restated business combination agreement, dated as of May 26, 2023, by and among FACT, First Merger Sub, Second Merger Sub, Legacy Complete Solaria and Solaria.</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means the closing of the Business Combination.</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Closing Date</w:t>
      </w:r>
      <w:r>
        <w:rPr>
          <w:rFonts w:ascii="Times New Roman" w:cs="Times New Roman" w:eastAsia="Times New Roman" w:hAnsi="Times New Roman"/>
          <w:sz w:val="15"/>
          <w:szCs w:val="15"/>
          <w:color w:val="auto"/>
        </w:rPr>
        <w:t>” means the date of the Closing.</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Internal Revenue Code of 1986, as amended.</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Complete Solar</w:t>
      </w:r>
      <w:r>
        <w:rPr>
          <w:rFonts w:ascii="Times New Roman" w:cs="Times New Roman" w:eastAsia="Times New Roman" w:hAnsi="Times New Roman"/>
          <w:sz w:val="15"/>
          <w:szCs w:val="15"/>
          <w:color w:val="auto"/>
        </w:rPr>
        <w:t>” means Complete Solar Holding Corporation, a Delaware corporation, prior to the consummation of the Required Transaction.</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SunPower</w:t>
      </w:r>
      <w:r>
        <w:rPr>
          <w:rFonts w:ascii="Times New Roman" w:cs="Times New Roman" w:eastAsia="Times New Roman" w:hAnsi="Times New Roman"/>
          <w:sz w:val="15"/>
          <w:szCs w:val="15"/>
          <w:color w:val="auto"/>
        </w:rPr>
        <w:t xml:space="preserve">” or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means SunPower Inc. (f/k/a Complete Solaria, Inc. and, previously, Freedom Acquisition I Corp.), a Delaware corporation and its subsidiaries.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SunPower Board</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SunPower Board of Directors</w:t>
      </w:r>
      <w:r>
        <w:rPr>
          <w:rFonts w:ascii="Times New Roman" w:cs="Times New Roman" w:eastAsia="Times New Roman" w:hAnsi="Times New Roman"/>
          <w:sz w:val="15"/>
          <w:szCs w:val="15"/>
          <w:color w:val="auto"/>
        </w:rPr>
        <w:t>” means the board of directors of SunPower.</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 means the Delaware General Corporation Law, as amended.</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Domestication</w:t>
      </w:r>
      <w:r>
        <w:rPr>
          <w:rFonts w:ascii="Times New Roman" w:cs="Times New Roman" w:eastAsia="Times New Roman" w:hAnsi="Times New Roman"/>
          <w:sz w:val="15"/>
          <w:szCs w:val="15"/>
          <w:color w:val="auto"/>
        </w:rPr>
        <w:t>” means the domestication of FACT as a corporation incorporated in the State of Delaware.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ESPP</w:t>
      </w:r>
      <w:r>
        <w:rPr>
          <w:rFonts w:ascii="Times New Roman" w:cs="Times New Roman" w:eastAsia="Times New Roman" w:hAnsi="Times New Roman"/>
          <w:sz w:val="15"/>
          <w:szCs w:val="15"/>
          <w:color w:val="auto"/>
        </w:rPr>
        <w:t>” means the 2023 Employee Stock Purchase Plan of SunPower Inc.</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U.S. Securities Exchange Act of 1934, as amended.</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FACT</w:t>
      </w:r>
      <w:r>
        <w:rPr>
          <w:rFonts w:ascii="Times New Roman" w:cs="Times New Roman" w:eastAsia="Times New Roman" w:hAnsi="Times New Roman"/>
          <w:sz w:val="15"/>
          <w:szCs w:val="15"/>
          <w:color w:val="auto"/>
        </w:rPr>
        <w:t>” means Freedom Acquisition I Corp., a Cayman Islands exempted company, prior to the consummation of the Domestication.</w:t>
      </w:r>
    </w:p>
    <w:p>
      <w:pPr>
        <w:spacing w:after="0" w:line="192" w:lineRule="exact"/>
        <w:rPr>
          <w:sz w:val="20"/>
          <w:szCs w:val="20"/>
          <w:color w:val="auto"/>
        </w:rPr>
      </w:pPr>
    </w:p>
    <w:p>
      <w:pPr>
        <w:ind w:right="20" w:firstLine="273"/>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FACT Class A Ordinary Shares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Class A Ordinary Shares</w:t>
      </w:r>
      <w:r>
        <w:rPr>
          <w:rFonts w:ascii="Times New Roman" w:cs="Times New Roman" w:eastAsia="Times New Roman" w:hAnsi="Times New Roman"/>
          <w:sz w:val="15"/>
          <w:szCs w:val="15"/>
          <w:color w:val="auto"/>
        </w:rPr>
        <w:t>” means the 34,500,000 Class A ordinary shares, par value $0.0001 per share, of FACT prior to the consummation of the Domestication.</w:t>
      </w:r>
    </w:p>
    <w:p>
      <w:pPr>
        <w:spacing w:after="0" w:line="125" w:lineRule="exact"/>
        <w:rPr>
          <w:sz w:val="20"/>
          <w:szCs w:val="20"/>
          <w:color w:val="auto"/>
        </w:rPr>
      </w:pPr>
    </w:p>
    <w:p>
      <w:pPr>
        <w:ind w:firstLine="273"/>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Private Warrants</w:t>
      </w:r>
      <w:r>
        <w:rPr>
          <w:rFonts w:ascii="Times New Roman" w:cs="Times New Roman" w:eastAsia="Times New Roman" w:hAnsi="Times New Roman"/>
          <w:sz w:val="15"/>
          <w:szCs w:val="15"/>
          <w:color w:val="auto"/>
        </w:rPr>
        <w:t>” means the 6,266,667 warrants held by the Sponsor that were issued in a private placement at the time of FACT’s IPO, each of which is exercisable for one Class A Ordinary Share at an exercise price of $11.50 per share.</w:t>
      </w:r>
    </w:p>
    <w:p>
      <w:pPr>
        <w:spacing w:after="0" w:line="125" w:lineRule="exact"/>
        <w:rPr>
          <w:sz w:val="20"/>
          <w:szCs w:val="20"/>
          <w:color w:val="auto"/>
        </w:rPr>
      </w:pPr>
    </w:p>
    <w:p>
      <w:pPr>
        <w:ind w:right="20" w:firstLine="273"/>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FACT Public Warrants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Public Warrants</w:t>
      </w:r>
      <w:r>
        <w:rPr>
          <w:rFonts w:ascii="Times New Roman" w:cs="Times New Roman" w:eastAsia="Times New Roman" w:hAnsi="Times New Roman"/>
          <w:sz w:val="15"/>
          <w:szCs w:val="15"/>
          <w:color w:val="auto"/>
        </w:rPr>
        <w:t>” means the 8,625,000 warrants to acquire FACT Class A Ordinary Shares, issued as part of the public units issued by FACT, at an initial exercise price of $11.50 per share.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GAAP</w:t>
      </w:r>
      <w:r>
        <w:rPr>
          <w:rFonts w:ascii="Times New Roman" w:cs="Times New Roman" w:eastAsia="Times New Roman" w:hAnsi="Times New Roman"/>
          <w:sz w:val="15"/>
          <w:szCs w:val="15"/>
          <w:color w:val="auto"/>
        </w:rPr>
        <w:t>” means U.S. generally accepted accounting principles.</w:t>
      </w:r>
    </w:p>
    <w:p>
      <w:pPr>
        <w:spacing w:after="0" w:line="192"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IPO</w:t>
      </w:r>
      <w:r>
        <w:rPr>
          <w:rFonts w:ascii="Times New Roman" w:cs="Times New Roman" w:eastAsia="Times New Roman" w:hAnsi="Times New Roman"/>
          <w:sz w:val="15"/>
          <w:szCs w:val="15"/>
          <w:color w:val="auto"/>
        </w:rPr>
        <w:t>” means FACT’s initial public offering of its units, ordinary shares and warrants pursuant to its registration statement on Form S-1 declared effective by the SEC on February 25, 2021 (SEC File No. 333-252940).</w:t>
      </w:r>
    </w:p>
    <w:p>
      <w:pPr>
        <w:spacing w:after="0" w:line="125"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Merger Warrants</w:t>
      </w:r>
      <w:r>
        <w:rPr>
          <w:rFonts w:ascii="Times New Roman" w:cs="Times New Roman" w:eastAsia="Times New Roman" w:hAnsi="Times New Roman"/>
          <w:sz w:val="15"/>
          <w:szCs w:val="15"/>
          <w:color w:val="auto"/>
        </w:rPr>
        <w:t>” means warrants issued to certain equityholders of Legacy Complete Solaria received as consideration in connection with the exchange of their capital stock held in Legacy Complete Solaria.</w:t>
      </w:r>
    </w:p>
    <w:p>
      <w:pPr>
        <w:spacing w:after="0" w:line="125"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Legacy Complete Solaria</w:t>
      </w:r>
      <w:r>
        <w:rPr>
          <w:rFonts w:ascii="Times New Roman" w:cs="Times New Roman" w:eastAsia="Times New Roman" w:hAnsi="Times New Roman"/>
          <w:sz w:val="15"/>
          <w:szCs w:val="15"/>
          <w:color w:val="auto"/>
        </w:rPr>
        <w:t>” means, prior to the Business Combination, Complete Solaria, Inc. (f/k/a Complete Solar Holding Corporation), a Delaware corporation which, pursuant to the Business Combination, became a direct, wholly owned subsidiary of SunPower Inc. (f/k/a Complete Solaria, Inc.) and was renamed CS, LLC.</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Nasdaq</w:t>
      </w:r>
      <w:r>
        <w:rPr>
          <w:rFonts w:ascii="Times New Roman" w:cs="Times New Roman" w:eastAsia="Times New Roman" w:hAnsi="Times New Roman"/>
          <w:sz w:val="15"/>
          <w:szCs w:val="15"/>
          <w:color w:val="auto"/>
        </w:rPr>
        <w:t>” means the Nasdaq Stock Market.</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NYSE</w:t>
      </w:r>
      <w:r>
        <w:rPr>
          <w:rFonts w:ascii="Times New Roman" w:cs="Times New Roman" w:eastAsia="Times New Roman" w:hAnsi="Times New Roman"/>
          <w:sz w:val="15"/>
          <w:szCs w:val="15"/>
          <w:color w:val="auto"/>
        </w:rPr>
        <w:t>” means the New York Stock Exchange.</w:t>
      </w:r>
    </w:p>
    <w:p>
      <w:pPr>
        <w:spacing w:after="0" w:line="192"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Required Transaction</w:t>
      </w:r>
      <w:r>
        <w:rPr>
          <w:rFonts w:ascii="Times New Roman" w:cs="Times New Roman" w:eastAsia="Times New Roman" w:hAnsi="Times New Roman"/>
          <w:sz w:val="15"/>
          <w:szCs w:val="15"/>
          <w:color w:val="auto"/>
        </w:rPr>
        <w:t>” means the transactions contemplated by that certain merger agreement by and among the Company, Complete Solaria Midco, LLC, a Delaware limited liability company and a wholly-owned subsidiary of Solaria, Complete Solaria Merger Sub, Inc., a Delaware corporation and a wholly-owned subsidiary of Complete Solaria Midco, LLC, Solaria, and Fortis Advisors LLC, a Delaware limited liability company, solely in its capacity as the representative of Solaria’s stockholders, including the merger of Solaria with and into a wholly-owned subsidiary of Legacy Complete Solaria, which were consummated on November 4, 2022.</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means the U.S. Securities and Exchange Commission.</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means the Securities Act of 1933, as amended.</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Solaria</w:t>
      </w:r>
      <w:r>
        <w:rPr>
          <w:rFonts w:ascii="Times New Roman" w:cs="Times New Roman" w:eastAsia="Times New Roman" w:hAnsi="Times New Roman"/>
          <w:sz w:val="15"/>
          <w:szCs w:val="15"/>
          <w:color w:val="auto"/>
        </w:rPr>
        <w:t>” means The Solaria Corporation, a Delaware corporation and a wholly-owned subsidiary of SunPower.</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Sponsor</w:t>
      </w:r>
      <w:r>
        <w:rPr>
          <w:rFonts w:ascii="Times New Roman" w:cs="Times New Roman" w:eastAsia="Times New Roman" w:hAnsi="Times New Roman"/>
          <w:sz w:val="15"/>
          <w:szCs w:val="15"/>
          <w:color w:val="auto"/>
        </w:rPr>
        <w:t>” means Freedom Acquisition I LLC, a Cayman Islands limited liability company.</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Transfer Agent</w:t>
      </w:r>
      <w:r>
        <w:rPr>
          <w:rFonts w:ascii="Times New Roman" w:cs="Times New Roman" w:eastAsia="Times New Roman" w:hAnsi="Times New Roman"/>
          <w:sz w:val="15"/>
          <w:szCs w:val="15"/>
          <w:color w:val="auto"/>
        </w:rPr>
        <w:t>” means Continental Stock Transfer &amp; Trust Company.</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Warrants</w:t>
      </w:r>
      <w:r>
        <w:rPr>
          <w:rFonts w:ascii="Times New Roman" w:cs="Times New Roman" w:eastAsia="Times New Roman" w:hAnsi="Times New Roman"/>
          <w:sz w:val="15"/>
          <w:szCs w:val="15"/>
          <w:color w:val="auto"/>
        </w:rPr>
        <w:t>” means, collectively, the Private Warrants, the Public Warrants and the Working Capital Warrants.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Working Capital Warrants</w:t>
      </w:r>
      <w:r>
        <w:rPr>
          <w:rFonts w:ascii="Times New Roman" w:cs="Times New Roman" w:eastAsia="Times New Roman" w:hAnsi="Times New Roman"/>
          <w:sz w:val="15"/>
          <w:szCs w:val="15"/>
          <w:color w:val="auto"/>
        </w:rPr>
        <w:t>” means up warrants issued to certain equityholders of Legacy Complete Solaria.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379095</wp:posOffset>
            </wp:positionV>
            <wp:extent cx="7137400" cy="5461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5461000"/>
                    </a:xfrm>
                    <a:prstGeom prst="rect">
                      <a:avLst/>
                    </a:prstGeom>
                    <a:noFill/>
                  </pic:spPr>
                </pic:pic>
              </a:graphicData>
            </a:graphic>
          </wp:anchor>
        </w:drawing>
        <w:t>PROSPECTUS SUMMARY</w:t>
      </w:r>
    </w:p>
    <w:p>
      <w:pPr>
        <w:spacing w:after="0" w:line="192"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i w:val="1"/>
          <w:iCs w:val="1"/>
          <w:color w:val="auto"/>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our financial statements and related notes appearing at the end of this prospectus and the information set forth in the sections titled “Risk Factors” and “Management’s Discussion and Analysis of Financial Condition and Results of Operations.” Unless the context otherwise requires, we use the terms “SunPower,” “company,” “we,” “us” and “our” in this prospectus to refer to SunPower Inc. and our wholly owned subsidiaries.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Mission</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mission is to deliver energy-efficient solutions to homeowners and small to medium-sized businesses that allow them to lower their energy bills while reducing their carbon footprint. We have created a unique, end-to-end offering that delivers a best-in-class customer experience with a robust technology platform, financing solutions, and high-performance solar modules.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Overview</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We offer solar system sales and installation through the following three reportable segments: Residential Solar Installation, New Homes Business and Sunder (as defined below). We believe the SunPower acquisition, as well of our acquisitions of Sunder, Ambia and Cobalt (as defined below) will allow us to accelerate our revenue growth, and expand our footprint to deliver solar system sales into regions where we might have not previously done business.</w:t>
      </w:r>
    </w:p>
    <w:p>
      <w:pPr>
        <w:spacing w:after="0" w:line="14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We sell solar systems to homeowners, home builders and small to medium-sized commercial customers through third-party sales partners. As a result of the Sunder Acquisition, which occurred late in the third quarter of fiscal 2025, we operate a solar energy sales force to initiate and execute contracts with customers throughout the United States. SunPower manages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SunPower establishes valuable customer relationships that can extend beyond the initial solar energy system purchase and provide SunPower with opportunities to offer additional products and services in the future.</w:t>
      </w:r>
    </w:p>
    <w:p>
      <w:pPr>
        <w:spacing w:after="0" w:line="154"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Since its inception, SunPower has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SunPower has built provides broad reach, and we believe it positions SunPower for sustained and rapid growth through a capital-efficient business model. The network of our partners continues to expand today.</w:t>
      </w:r>
    </w:p>
    <w:p>
      <w:pPr>
        <w:spacing w:after="0" w:line="151"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With the completion of the acquisition of the SunPower Businesses, we believe that our ability to fuel innovation and gain operational efficiencies through our priority platform, Albatross, will allow us to service not only our customers more effectively but our sales and installation partners will be able to access real-time data in order to run their business.</w:t>
      </w:r>
    </w:p>
    <w:p>
      <w:pPr>
        <w:spacing w:after="0" w:line="134"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Delivering a differentiated customer experience is core to SunPower’s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spacing w:after="0" w:line="14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acquisition of the SunPower Businesses. We increased our operations center that supports operations, order process, customer care and support, credit and collections, procurement, vendor management and accounting related functions, and have rationalized our headcount.</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15240</wp:posOffset>
            </wp:positionV>
            <wp:extent cx="715391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040"/>
          </w:cols>
          <w:pgMar w:left="400" w:top="78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37400" cy="5229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7400" cy="5229860"/>
                    </a:xfrm>
                    <a:prstGeom prst="rect">
                      <a:avLst/>
                    </a:prstGeom>
                    <a:noFill/>
                  </pic:spPr>
                </pic:pic>
              </a:graphicData>
            </a:graphic>
          </wp:anchor>
        </w:drawing>
        <w:t>Corporate Information</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were originally known as Freedom Acquisition I Corp. We are engaged in solar system sales and associated commerce. On July 18, 2023, Legacy Complete Solaria, FACT, First Merger Sub, Second Merger Sub and Third Merger Sub consummated the transactions contemplated under the Business Combination Agreement, following the approval at the special meeting of the stockholders of FACT held July 11, 2023. In connection with the closing of the Business Combination, we changed our name from Freedom Acquisition I Corp. to “Complete Solaria, Inc.” Effective October 17, 2025, we changed our name from “Complete Solaria, Inc.” to “SunPower Inc.”</w:t>
      </w:r>
    </w:p>
    <w:p>
      <w:pPr>
        <w:spacing w:after="0" w:line="151"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principal executive offices are located at 45700 Northport Loop E, Fremont, CA 94538, and our telephone number is (510) 270-2507. Our corporate website address is https://us.sunpower.com/. Information contained on or accessible through our website is not a part of this prospectus, and the inclusion of our website address in this prospectus is an inactive textual reference only.</w:t>
      </w:r>
    </w:p>
    <w:p>
      <w:pPr>
        <w:spacing w:after="0" w:line="14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“SunPower” and our other registered and common law trade names, trademarks and service marks are property of SunPower Inc. This prospectus contains additional trade names, trademarks and service marks of others, which are the property of their respective owners. Solely for convenience, trademarks and trade names referred to in this prospectus may appear without the ® or ™ symbols.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SunPower Acquisition Transaction</w:t>
      </w:r>
    </w:p>
    <w:p>
      <w:pPr>
        <w:spacing w:after="0" w:line="192"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August 5, 2024, we entered into an Asset Purchase Agreement (the “</w:t>
      </w:r>
      <w:r>
        <w:rPr>
          <w:rFonts w:ascii="Times New Roman" w:cs="Times New Roman" w:eastAsia="Times New Roman" w:hAnsi="Times New Roman"/>
          <w:sz w:val="15"/>
          <w:szCs w:val="15"/>
          <w:b w:val="1"/>
          <w:bCs w:val="1"/>
          <w:color w:val="auto"/>
        </w:rPr>
        <w:t>APA</w:t>
      </w:r>
      <w:r>
        <w:rPr>
          <w:rFonts w:ascii="Times New Roman" w:cs="Times New Roman" w:eastAsia="Times New Roman" w:hAnsi="Times New Roman"/>
          <w:sz w:val="15"/>
          <w:szCs w:val="15"/>
          <w:color w:val="auto"/>
        </w:rPr>
        <w:t>”) with SunPower Corporation and its direct and indirect subsidiaries (the “</w:t>
      </w:r>
      <w:r>
        <w:rPr>
          <w:rFonts w:ascii="Times New Roman" w:cs="Times New Roman" w:eastAsia="Times New Roman" w:hAnsi="Times New Roman"/>
          <w:sz w:val="15"/>
          <w:szCs w:val="15"/>
          <w:b w:val="1"/>
          <w:bCs w:val="1"/>
          <w:color w:val="auto"/>
        </w:rPr>
        <w:t>SunPower Debtors</w:t>
      </w:r>
      <w:r>
        <w:rPr>
          <w:rFonts w:ascii="Times New Roman" w:cs="Times New Roman" w:eastAsia="Times New Roman" w:hAnsi="Times New Roman"/>
          <w:sz w:val="15"/>
          <w:szCs w:val="15"/>
          <w:color w:val="auto"/>
        </w:rPr>
        <w:t>”) which provided for the purchase of certain assets relating to the Blue Raven Solar business, New Homes Business and Non-Installing Dealer network previously operated by the SunPower Debtors (the “</w:t>
      </w:r>
      <w:r>
        <w:rPr>
          <w:rFonts w:ascii="Times New Roman" w:cs="Times New Roman" w:eastAsia="Times New Roman" w:hAnsi="Times New Roman"/>
          <w:sz w:val="15"/>
          <w:szCs w:val="15"/>
          <w:b w:val="1"/>
          <w:bCs w:val="1"/>
          <w:color w:val="auto"/>
        </w:rPr>
        <w:t>Acquired SunPower Assets</w:t>
      </w:r>
      <w:r>
        <w:rPr>
          <w:rFonts w:ascii="Times New Roman" w:cs="Times New Roman" w:eastAsia="Times New Roman" w:hAnsi="Times New Roman"/>
          <w:sz w:val="15"/>
          <w:szCs w:val="15"/>
          <w:color w:val="auto"/>
        </w:rPr>
        <w:t>”). The sale by the SunPower Debtors was approved on September 23, 2024, by the United States Bankruptcy Court for the District of Delaware. We completed the acquisition (“</w:t>
      </w:r>
      <w:r>
        <w:rPr>
          <w:rFonts w:ascii="Times New Roman" w:cs="Times New Roman" w:eastAsia="Times New Roman" w:hAnsi="Times New Roman"/>
          <w:sz w:val="15"/>
          <w:szCs w:val="15"/>
          <w:b w:val="1"/>
          <w:bCs w:val="1"/>
          <w:color w:val="auto"/>
        </w:rPr>
        <w:t>SunPower Acquisition</w:t>
      </w:r>
      <w:r>
        <w:rPr>
          <w:rFonts w:ascii="Times New Roman" w:cs="Times New Roman" w:eastAsia="Times New Roman" w:hAnsi="Times New Roman"/>
          <w:sz w:val="15"/>
          <w:szCs w:val="15"/>
          <w:color w:val="auto"/>
        </w:rPr>
        <w:t>”) of the Acquired SunPower Assets (“</w:t>
      </w:r>
      <w:r>
        <w:rPr>
          <w:rFonts w:ascii="Times New Roman" w:cs="Times New Roman" w:eastAsia="Times New Roman" w:hAnsi="Times New Roman"/>
          <w:sz w:val="15"/>
          <w:szCs w:val="15"/>
          <w:b w:val="1"/>
          <w:bCs w:val="1"/>
          <w:color w:val="auto"/>
        </w:rPr>
        <w:t>SunPower Businesses</w:t>
      </w:r>
      <w:r>
        <w:rPr>
          <w:rFonts w:ascii="Times New Roman" w:cs="Times New Roman" w:eastAsia="Times New Roman" w:hAnsi="Times New Roman"/>
          <w:sz w:val="15"/>
          <w:szCs w:val="15"/>
          <w:color w:val="auto"/>
        </w:rPr>
        <w:t>”) effective September 30,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Sunder Energy acquisition transaction</w:t>
      </w:r>
    </w:p>
    <w:p>
      <w:pPr>
        <w:spacing w:after="0" w:line="192"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On September 21, 2025, we entered into an agreement to acquire Sunder Energy, LLC (“</w:t>
      </w:r>
      <w:r>
        <w:rPr>
          <w:rFonts w:ascii="Times New Roman" w:cs="Times New Roman" w:eastAsia="Times New Roman" w:hAnsi="Times New Roman"/>
          <w:sz w:val="15"/>
          <w:szCs w:val="15"/>
          <w:b w:val="1"/>
          <w:bCs w:val="1"/>
          <w:color w:val="auto"/>
        </w:rPr>
        <w:t>Sunder</w:t>
      </w:r>
      <w:r>
        <w:rPr>
          <w:rFonts w:ascii="Times New Roman" w:cs="Times New Roman" w:eastAsia="Times New Roman" w:hAnsi="Times New Roman"/>
          <w:sz w:val="15"/>
          <w:szCs w:val="15"/>
          <w:color w:val="auto"/>
        </w:rPr>
        <w:t>”) and completed the acquisition effective September 24, 2025 (“</w:t>
      </w:r>
      <w:r>
        <w:rPr>
          <w:rFonts w:ascii="Times New Roman" w:cs="Times New Roman" w:eastAsia="Times New Roman" w:hAnsi="Times New Roman"/>
          <w:sz w:val="15"/>
          <w:szCs w:val="15"/>
          <w:b w:val="1"/>
          <w:bCs w:val="1"/>
          <w:color w:val="auto"/>
        </w:rPr>
        <w:t>Sunder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Acquisition</w:t>
      </w:r>
      <w:r>
        <w:rPr>
          <w:rFonts w:ascii="Times New Roman" w:cs="Times New Roman" w:eastAsia="Times New Roman" w:hAnsi="Times New Roman"/>
          <w:sz w:val="15"/>
          <w:szCs w:val="15"/>
          <w:color w:val="auto"/>
        </w:rPr>
        <w:t>”). At the closing of the Sunder Acquisition, we acquired all of the outstanding membership interests of Sunder from the sole member of Sunder for: (i) $20,000,000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cash paid at closing, subject to certain working capital and other adjustments; (ii) a promissory note issued at the closing in the principal amount of $20,000,000 (the “</w:t>
      </w:r>
      <w:r>
        <w:rPr>
          <w:rFonts w:ascii="Times New Roman" w:cs="Times New Roman" w:eastAsia="Times New Roman" w:hAnsi="Times New Roman"/>
          <w:sz w:val="15"/>
          <w:szCs w:val="15"/>
          <w:b w:val="1"/>
          <w:bCs w:val="1"/>
          <w:u w:val="single" w:color="auto"/>
          <w:color w:val="auto"/>
        </w:rPr>
        <w:t>Seller Note</w:t>
      </w:r>
      <w:r>
        <w:rPr>
          <w:rFonts w:ascii="Times New Roman" w:cs="Times New Roman" w:eastAsia="Times New Roman" w:hAnsi="Times New Roman"/>
          <w:sz w:val="15"/>
          <w:szCs w:val="15"/>
          <w:color w:val="auto"/>
        </w:rPr>
        <w:t>”);</w:t>
      </w:r>
    </w:p>
    <w:p>
      <w:pPr>
        <w:jc w:val="both"/>
        <w:ind w:firstLine="10"/>
        <w:spacing w:after="0" w:line="255" w:lineRule="auto"/>
        <w:tabs>
          <w:tab w:leader="none" w:pos="273"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3,333,334 shares of our common stock issued at closing; and (iv) subject to approval of such issuances by our stockholders following closing in accordance with the rules and regulations of the Nasdaq Stock Market, (x) an additional 3,333,333 shares of common stock to be issued on the 12-month anniversary of the closing, and (y) a further 3,333,333 shares of common stock to be issued on the 18-month anniversary of the closing (such 6,666,666 shares of common stock issuable following closing, the “</w:t>
      </w:r>
      <w:r>
        <w:rPr>
          <w:rFonts w:ascii="Times New Roman" w:cs="Times New Roman" w:eastAsia="Times New Roman" w:hAnsi="Times New Roman"/>
          <w:sz w:val="15"/>
          <w:szCs w:val="15"/>
          <w:b w:val="1"/>
          <w:bCs w:val="1"/>
          <w:color w:val="auto"/>
        </w:rPr>
        <w:t>Deferred Consideration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In lieu of issuing the Deferred Consideration Shares, the Company, in its sole discretion, may elect to pay the Member a cash payment equal to the number of Deferred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Consideration Shares otherwise issuable by us multiplied by the volume-weighted average price of our common stock as quoted on Nasdaq for the 30-trading day period ending two business days prior to the date on which the applicable Deferred Consideration Shares were otherwise issuable (the “</w:t>
      </w:r>
      <w:r>
        <w:rPr>
          <w:rFonts w:ascii="Times New Roman" w:cs="Times New Roman" w:eastAsia="Times New Roman" w:hAnsi="Times New Roman"/>
          <w:sz w:val="15"/>
          <w:szCs w:val="15"/>
          <w:u w:val="single" w:color="auto"/>
          <w:color w:val="auto"/>
        </w:rPr>
        <w:t>Cash In Lieu Amount</w:t>
      </w:r>
      <w:r>
        <w:rPr>
          <w:rFonts w:ascii="Times New Roman" w:cs="Times New Roman" w:eastAsia="Times New Roman" w:hAnsi="Times New Roman"/>
          <w:sz w:val="15"/>
          <w:szCs w:val="15"/>
          <w:color w:val="auto"/>
        </w:rPr>
        <w:t>”). If we elect to pay the Cash In Lieu Amount, 50% of the Cash In Lieu Amount will be paid on the three-month anniversary of the date on which the applicable Deferred Consideration Shares were otherwise issuable, with the remaining 50% of the Cash In Lieu Amount payable on the 6-month anniversary of the date on which the applicable Deferred Consideration Shares were otherwise issuable.</w:t>
      </w:r>
    </w:p>
    <w:p>
      <w:pPr>
        <w:spacing w:after="0" w:line="157"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Sunder Acquisition agreement includes customary representations and warranties, covenants, and indemnities, in each case under the circumstances and subject to certain limitations set forth in the agreement. The indemnification obligations under the Sunder Acquisition agreement are subject to customary deductibles and caps. Our primary source of recovery for indemnifiable damages is set off of such damages against the amounts payable by us under the Seller Note and the Deferred Consideration Shares issuable by us following the closing of the Sunder Acquisition.</w:t>
      </w:r>
    </w:p>
    <w:p>
      <w:pPr>
        <w:spacing w:after="0" w:line="147"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color w:val="auto"/>
        </w:rPr>
        <w:t xml:space="preserve">This transaction was accounted for as a business combination in accordance with ASC 805,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The financial results of Sunder have been included in our unaudited condensed consolidated financial statements since the date of acquisition.</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15240</wp:posOffset>
            </wp:positionV>
            <wp:extent cx="715391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040"/>
          </w:cols>
          <w:pgMar w:left="400" w:top="326"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52005" cy="5576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005" cy="5576570"/>
                    </a:xfrm>
                    <a:prstGeom prst="rect">
                      <a:avLst/>
                    </a:prstGeom>
                    <a:noFill/>
                  </pic:spPr>
                </pic:pic>
              </a:graphicData>
            </a:graphic>
          </wp:anchor>
        </w:drawing>
        <w:t>Ambia Energy acquisition transaction</w:t>
      </w:r>
    </w:p>
    <w:p>
      <w:pPr>
        <w:spacing w:after="0" w:line="192"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On November 21, 2025, we entered into an agreement to acquire Ambia Energy, LLC (“</w:t>
      </w:r>
      <w:r>
        <w:rPr>
          <w:rFonts w:ascii="Times New Roman" w:cs="Times New Roman" w:eastAsia="Times New Roman" w:hAnsi="Times New Roman"/>
          <w:sz w:val="15"/>
          <w:szCs w:val="15"/>
          <w:b w:val="1"/>
          <w:bCs w:val="1"/>
          <w:color w:val="auto"/>
        </w:rPr>
        <w:t>Ambia</w:t>
      </w:r>
      <w:r>
        <w:rPr>
          <w:rFonts w:ascii="Times New Roman" w:cs="Times New Roman" w:eastAsia="Times New Roman" w:hAnsi="Times New Roman"/>
          <w:sz w:val="15"/>
          <w:szCs w:val="15"/>
          <w:color w:val="auto"/>
        </w:rPr>
        <w:t>”) and completed the acquisition on November 21, 2025 (the “</w:t>
      </w:r>
      <w:r>
        <w:rPr>
          <w:rFonts w:ascii="Times New Roman" w:cs="Times New Roman" w:eastAsia="Times New Roman" w:hAnsi="Times New Roman"/>
          <w:sz w:val="15"/>
          <w:szCs w:val="15"/>
          <w:b w:val="1"/>
          <w:bCs w:val="1"/>
          <w:color w:val="auto"/>
        </w:rPr>
        <w:t>Ambia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Acquisition</w:t>
      </w:r>
      <w:r>
        <w:rPr>
          <w:rFonts w:ascii="Times New Roman" w:cs="Times New Roman" w:eastAsia="Times New Roman" w:hAnsi="Times New Roman"/>
          <w:sz w:val="15"/>
          <w:szCs w:val="15"/>
          <w:color w:val="auto"/>
        </w:rPr>
        <w:t>”). The Ambia Acquisition was completed through the acquisition of all of the membership interests of Ambia for aggregate consideration of 10,243,924 shares of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issued as of the acquisition date plus our agreement to issue an additional $9.375 million of shares of our common stock on the six-month anniversary of the Ambia Acquisition closing and an additional $9.375 million of shares of our common stock on the 12-month anniversary of the Ambia Acquisition closing (such shares, the “</w:t>
      </w:r>
      <w:r>
        <w:rPr>
          <w:rFonts w:ascii="Times New Roman" w:cs="Times New Roman" w:eastAsia="Times New Roman" w:hAnsi="Times New Roman"/>
          <w:sz w:val="15"/>
          <w:szCs w:val="15"/>
          <w:b w:val="1"/>
          <w:bCs w:val="1"/>
          <w:color w:val="auto"/>
        </w:rPr>
        <w:t>Ambia Post-Closing Consideration Shares</w:t>
      </w:r>
      <w:r>
        <w:rPr>
          <w:rFonts w:ascii="Times New Roman" w:cs="Times New Roman" w:eastAsia="Times New Roman" w:hAnsi="Times New Roman"/>
          <w:sz w:val="15"/>
          <w:szCs w:val="15"/>
          <w:color w:val="auto"/>
        </w:rPr>
        <w:t>”). The issuance of the Ambia Post-Closing Consideration Shares is subject to approval by our stockholders following the Ambia Acquisition closing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accordance with the rules and regulations of the Nasdaq Stock Market (including Nasdaq Listing Rule 5635(a)). The actual number of Ambia Post-Closing Consideration Shares issuable on the six- and 12-month anniversaries of the Ambia Acquisition closing will be determined based on the 20-day trailing volume-weighted average price of our common stock after market close on the business day immediately prior to the issuance date of the applicable shares (the “</w:t>
      </w:r>
      <w:r>
        <w:rPr>
          <w:rFonts w:ascii="Times New Roman" w:cs="Times New Roman" w:eastAsia="Times New Roman" w:hAnsi="Times New Roman"/>
          <w:sz w:val="15"/>
          <w:szCs w:val="15"/>
          <w:b w:val="1"/>
          <w:bCs w:val="1"/>
          <w:color w:val="auto"/>
        </w:rPr>
        <w:t>VWAP Value</w:t>
      </w:r>
      <w:r>
        <w:rPr>
          <w:rFonts w:ascii="Times New Roman" w:cs="Times New Roman" w:eastAsia="Times New Roman" w:hAnsi="Times New Roman"/>
          <w:sz w:val="15"/>
          <w:szCs w:val="15"/>
          <w:color w:val="auto"/>
        </w:rPr>
        <w:t>”); provided that the VWAP Value for the calculation of the actual number of the Ambia Post-Closing Consideration Shares issuable will not be more than $2.8102 per share or less than $1.4988 per share. Additionally, the number of Ambia Post-Closing Consideration Shares issuable by the Company is subject to adjustment pursuant to customary working capital and balance sheet adjustment terms and subject to offset for certain indemnifiable damages in accordance with the Ambia acquisition agreement.</w:t>
      </w:r>
    </w:p>
    <w:p>
      <w:pPr>
        <w:spacing w:after="0" w:line="157"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Ambia Acquisition agreement includes customary representations and warranties, covenants, and indemnities, in each case under the circumstances and subject to certain limitations set forth in the agreement. The indemnification obligations under the Ambia Acquisition agreement are subject to customary baskets and caps. Our primary source of recovery for indemnifiable damages is set off of such damages against the Ambia Post-Closing Consideration Shares issuable by us following closing of the Ambia Acquisition.</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 xml:space="preserve">This transaction was accounted for as a business combination in accordance with ASC 805,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Cobalt Acquisition</w:t>
      </w:r>
    </w:p>
    <w:p>
      <w:pPr>
        <w:spacing w:after="0" w:line="192"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On January 30, 2026, we entered into a stock purchase agreement to acquire Cobalt Power Systems, Inc. (“</w:t>
      </w:r>
      <w:r>
        <w:rPr>
          <w:rFonts w:ascii="Times New Roman" w:cs="Times New Roman" w:eastAsia="Times New Roman" w:hAnsi="Times New Roman"/>
          <w:sz w:val="15"/>
          <w:szCs w:val="15"/>
          <w:b w:val="1"/>
          <w:bCs w:val="1"/>
          <w:color w:val="auto"/>
        </w:rPr>
        <w:t>Cobalt</w:t>
      </w:r>
      <w:r>
        <w:rPr>
          <w:rFonts w:ascii="Times New Roman" w:cs="Times New Roman" w:eastAsia="Times New Roman" w:hAnsi="Times New Roman"/>
          <w:sz w:val="15"/>
          <w:szCs w:val="15"/>
          <w:color w:val="auto"/>
        </w:rPr>
        <w:t>”) and completed the acquisition on February 2, 2026 (the “</w:t>
      </w:r>
      <w:r>
        <w:rPr>
          <w:rFonts w:ascii="Times New Roman" w:cs="Times New Roman" w:eastAsia="Times New Roman" w:hAnsi="Times New Roman"/>
          <w:sz w:val="15"/>
          <w:szCs w:val="15"/>
          <w:b w:val="1"/>
          <w:bCs w:val="1"/>
          <w:color w:val="auto"/>
        </w:rPr>
        <w:t>Cobalt Acquisition</w:t>
      </w:r>
      <w:r>
        <w:rPr>
          <w:rFonts w:ascii="Times New Roman" w:cs="Times New Roman" w:eastAsia="Times New Roman" w:hAnsi="Times New Roman"/>
          <w:sz w:val="15"/>
          <w:szCs w:val="15"/>
          <w:color w:val="auto"/>
        </w:rPr>
        <w:t>”). The Cobalt Acquisition was completed through the acquisition of all of the outstanding equity interests of Cobalt for aggregate consideration of $10,000,000 shares of our common stock, including 1.8 million shares of common stock issued at closing and an additional $3,330,000 of shares of our common stock issuable on the 12-month anniversary of the closing and an additional $3,330,000 of shares of our common stock issuable on the 18-month anniversary of the closing of the Cobalt Acquisition. Additionally, we agreed to issue up to $2,000,000 of restricted stock units to the Cobalt employees who continue their employment with us following the closing and an additional 850,000 restricted stock units as inducement awards to certain key employees of Cobalt. The actual number of shares of our common stock issuable by us at closing and on the 12- and 18-month anniversaries of the closing of the Cobalt Acquisition will be based on the five-day VWAP Value determined on the business day immediately preceding the date on which the shares are issued. The Cobalt Acquisition agreement includes customary representations and warranties, covenants, and indemnities, in each case under the circumstances and subject to certain limitations set forth in the agreement. The indemnification obligations under the Cobalt Acquisition agreement are subject to customary deductibles and caps. Our primary source of recovery for indemnifiable damages is set off of such damages against the shares of our common stock issuable by us following closing of the Cobalt Acquisition.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7.0% Notes</w:t>
      </w:r>
    </w:p>
    <w:p>
      <w:pPr>
        <w:spacing w:after="0" w:line="192"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In September 2024, we issued $66.8 million of our 7% convertible senior notes due 2029 (the “</w:t>
      </w:r>
      <w:r>
        <w:rPr>
          <w:rFonts w:ascii="Times New Roman" w:cs="Times New Roman" w:eastAsia="Times New Roman" w:hAnsi="Times New Roman"/>
          <w:sz w:val="15"/>
          <w:szCs w:val="15"/>
          <w:b w:val="1"/>
          <w:bCs w:val="1"/>
          <w:color w:val="auto"/>
        </w:rPr>
        <w:t>7% Notes</w:t>
      </w:r>
      <w:r>
        <w:rPr>
          <w:rFonts w:ascii="Times New Roman" w:cs="Times New Roman" w:eastAsia="Times New Roman" w:hAnsi="Times New Roman"/>
          <w:sz w:val="15"/>
          <w:szCs w:val="15"/>
          <w:color w:val="auto"/>
        </w:rPr>
        <w:t>”) to various purchasers of the 7% Notes, $8.0 million of which were issued to a related party. In December 2024, we issued additional 7% Notes for cash proceeds of $13.0 million, and we issued an additional $0.2 million of the 7% Notes in the thirteen week period ended March 30, 2025. On September 23, 2025, we issued $22.0 million aggregate principal amount of the 7% Notes pursuant to additional note purchase agreements (the “</w:t>
      </w:r>
      <w:r>
        <w:rPr>
          <w:rFonts w:ascii="Times New Roman" w:cs="Times New Roman" w:eastAsia="Times New Roman" w:hAnsi="Times New Roman"/>
          <w:sz w:val="15"/>
          <w:szCs w:val="15"/>
          <w:b w:val="1"/>
          <w:bCs w:val="1"/>
          <w:color w:val="auto"/>
        </w:rPr>
        <w:t>September 2025 Note Purchase Agreements</w:t>
      </w:r>
      <w:r>
        <w:rPr>
          <w:rFonts w:ascii="Times New Roman" w:cs="Times New Roman" w:eastAsia="Times New Roman" w:hAnsi="Times New Roman"/>
          <w:sz w:val="15"/>
          <w:szCs w:val="15"/>
          <w:color w:val="auto"/>
        </w:rPr>
        <w:t>”) for net proceeds to us of $19,800,000, which net proceeds were used to pay a portion of the purchase price for the Sunder Acquisition.</w:t>
      </w:r>
    </w:p>
    <w:p>
      <w:pPr>
        <w:spacing w:after="0" w:line="151"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Pursuant to the September 2025 Note Purchase Agreements, the purchasers of the 7% Notes have an option, subject to the terms and conditions of the September 2025 Note Purchase Agreements (including approval by the requisite Company stockholders in accordance with Nasdaq Listing Rule 5635), to purchase additional 7% Notes on the same terms as the 7% Notes issued pursuant to the September 2025 Note Purchase Agreements. Additionally, we agreed to use our commercially reasonable efforts to implement an exchange transaction within six months after the closing under the September 2025 Note Purchase Agreements whereby the 7% Notes issued under the September 2025 Note Purchase Agreements and our other outstanding 7% Notes would be exchanged into a new series of notes registered for resale with the Securities and Exchange Commission.</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15240</wp:posOffset>
            </wp:positionV>
            <wp:extent cx="715391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080"/>
          </w:cols>
          <w:pgMar w:left="400" w:top="326" w:right="419" w:bottom="1440" w:gutter="0" w:footer="0" w:header="0"/>
        </w:sectPr>
      </w:pPr>
    </w:p>
    <w:bookmarkStart w:id="11" w:name="page12"/>
    <w:bookmarkEnd w:id="11"/>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52005" cy="6155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005" cy="6155055"/>
                    </a:xfrm>
                    <a:prstGeom prst="rect">
                      <a:avLst/>
                    </a:prstGeom>
                    <a:noFill/>
                  </pic:spPr>
                </pic:pic>
              </a:graphicData>
            </a:graphic>
          </wp:anchor>
        </w:drawing>
        <w:t>he 7% Notes are our general unsecured obligations and will mature on July 1, 2029, unless earlier converted, redeemed, or repurchased. Interest on the 7% Notes accrues at a rate of 7% per year from September 16, 2024 and will be payable semiannually in arrears on January 1 and July 1 of each year. Until the close of business on the second scheduled trading day immediately preceding the maturity date, holders of the 7% Notes may convert all or any portion of their 7% Notes at any time, in integral multiples of $1,000 principal amount, at the option of the holder. Upon conversion, we may satisfy its conversion obligation by paying or delivering, as the case may be, cash, shares of common stock or a combination of cash and shares of common stock, at our election, in the manner and subject to the terms, conditions and limitations provided in the Indenture, dated September 16, 2024, between us and U.S. Bank Trust Company, National Association, as trustee (the “</w:t>
      </w:r>
      <w:r>
        <w:rPr>
          <w:rFonts w:ascii="Times New Roman" w:cs="Times New Roman" w:eastAsia="Times New Roman" w:hAnsi="Times New Roman"/>
          <w:sz w:val="15"/>
          <w:szCs w:val="15"/>
          <w:b w:val="1"/>
          <w:bCs w:val="1"/>
          <w:color w:val="auto"/>
        </w:rPr>
        <w:t>Indenture</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conversion rate for the 7% Notes is initially 467.8363 shares of common stock per $1,000 principal amount of 7% Notes. The conversion rate for the 7% Notes is subject to adjustment from time to time in accordance with the terms of the Indenture. In addition, following certain corporate events that occur prior to the maturity date of the 7% Notes or if we deliver a notice of redemption in respect of the 7% Notes, we will, under certain circumstances, increase the conversion rate of the 7% Notes for a holder who elects to convert its 7% Notes, in connection with such a corporate event that occurs prior to the maturity date, or if we deliver a notice of redemption in respect of the 7% Notes.</w:t>
      </w:r>
    </w:p>
    <w:p>
      <w:pPr>
        <w:spacing w:after="0" w:line="151"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We may not redeem the 7% Notes prior to September 16, 2026. WE may redeem for cash all or any portion of the 7% Notes, at OUR option, subject to the conditions and requirements of the Indenture, (i) on or after September 16, 2026 and prior to July 1, 2029, if the last reported sale price of our common stock has been at least 150% of the conversion price for the 7% Notes then in effect for at least 20 trading days during any 30 consecutive trading day period (including the last trading day of such period) ending on, and including, the trading day immediately preceding the date on which we provide notice of redemption at a redemption price equal to 100% of the principal amount of the 7% Notes to be redeemed, plus accrued and unpaid interest, if any, to, but excluding, the redemption date. No sinking fund is provided for the 7% Notes.</w:t>
      </w:r>
    </w:p>
    <w:p>
      <w:pPr>
        <w:spacing w:after="0" w:line="155"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If we undergo a fundamental change (as defined in the Indenture), then, subject to certain conditions and except as described in the Indenture, holders may require us to repurchase for cash all or any portion of their 7% Notes at a fundamental change repurchase price equal to 100% of the principal amount of the 7% Notes to be repurchased, plus accrued and unpaid interest, if any, to, but excluding, the fundamental change repurchase date.</w:t>
      </w:r>
    </w:p>
    <w:p>
      <w:pPr>
        <w:spacing w:after="0" w:line="14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Indenture includes customary covenants and sets forth certain events of default after which the 7% Notes may be declared immediately due and payable and sets forth certain types of bankruptcy or insolvency events of default involving us after which the 7% Notes become automatically due and payable. The following events are considered “events of default” under the Indenture:</w:t>
      </w:r>
    </w:p>
    <w:p>
      <w:pPr>
        <w:spacing w:after="0" w:line="146" w:lineRule="exact"/>
        <w:rPr>
          <w:sz w:val="20"/>
          <w:szCs w:val="20"/>
          <w:color w:val="auto"/>
        </w:rPr>
      </w:pPr>
    </w:p>
    <w:p>
      <w:pPr>
        <w:ind w:left="820" w:hanging="264"/>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any payment of interest on any 7% Note when due and payable and the default continues for a period of 30 days;</w:t>
      </w:r>
    </w:p>
    <w:p>
      <w:pPr>
        <w:spacing w:after="0" w:line="191" w:lineRule="exact"/>
        <w:rPr>
          <w:rFonts w:ascii="Times New Roman" w:cs="Times New Roman" w:eastAsia="Times New Roman" w:hAnsi="Times New Roman"/>
          <w:sz w:val="15"/>
          <w:szCs w:val="15"/>
          <w:color w:val="auto"/>
        </w:rPr>
      </w:pPr>
    </w:p>
    <w:p>
      <w:pPr>
        <w:ind w:left="820" w:right="20" w:hanging="264"/>
        <w:spacing w:after="0" w:line="287" w:lineRule="auto"/>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principal of any 7% Note when due and payable on the maturity date, upon optional redemption, upon any required repurchase, upon declaration of acceleration or otherwise;</w:t>
      </w:r>
    </w:p>
    <w:p>
      <w:pPr>
        <w:spacing w:after="0" w:line="133" w:lineRule="exact"/>
        <w:rPr>
          <w:rFonts w:ascii="Times New Roman" w:cs="Times New Roman" w:eastAsia="Times New Roman" w:hAnsi="Times New Roman"/>
          <w:sz w:val="15"/>
          <w:szCs w:val="15"/>
          <w:color w:val="auto"/>
        </w:rPr>
      </w:pPr>
    </w:p>
    <w:p>
      <w:pPr>
        <w:ind w:left="820" w:right="20" w:hanging="264"/>
        <w:spacing w:after="0" w:line="287" w:lineRule="auto"/>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us to comply with its obligation to convert the 7% Notes in accordance with the Indenture upon exercise of a holder’s conversion right, and such failure continues for five business days;</w:t>
      </w:r>
    </w:p>
    <w:p>
      <w:pPr>
        <w:spacing w:after="0" w:line="133" w:lineRule="exact"/>
        <w:rPr>
          <w:rFonts w:ascii="Times New Roman" w:cs="Times New Roman" w:eastAsia="Times New Roman" w:hAnsi="Times New Roman"/>
          <w:sz w:val="15"/>
          <w:szCs w:val="15"/>
          <w:color w:val="auto"/>
        </w:rPr>
      </w:pPr>
    </w:p>
    <w:p>
      <w:pPr>
        <w:ind w:left="820" w:hanging="264"/>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us to give a fundamental change notice or notice of a make-whole fundamental change, and such failure continues for five business days;</w:t>
      </w:r>
    </w:p>
    <w:p>
      <w:pPr>
        <w:spacing w:after="0" w:line="191" w:lineRule="exact"/>
        <w:rPr>
          <w:rFonts w:ascii="Times New Roman" w:cs="Times New Roman" w:eastAsia="Times New Roman" w:hAnsi="Times New Roman"/>
          <w:sz w:val="15"/>
          <w:szCs w:val="15"/>
          <w:color w:val="auto"/>
        </w:rPr>
      </w:pPr>
    </w:p>
    <w:p>
      <w:pPr>
        <w:ind w:left="820" w:hanging="264"/>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us to comply with its obligations in respect of any consolidation, merger or sale of assets;</w:t>
      </w:r>
    </w:p>
    <w:p>
      <w:pPr>
        <w:spacing w:after="0" w:line="191" w:lineRule="exact"/>
        <w:rPr>
          <w:rFonts w:ascii="Times New Roman" w:cs="Times New Roman" w:eastAsia="Times New Roman" w:hAnsi="Times New Roman"/>
          <w:sz w:val="15"/>
          <w:szCs w:val="15"/>
          <w:color w:val="auto"/>
        </w:rPr>
      </w:pPr>
    </w:p>
    <w:p>
      <w:pPr>
        <w:ind w:left="820" w:right="20" w:hanging="264"/>
        <w:spacing w:after="0" w:line="287" w:lineRule="auto"/>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us to comply with any of the other agreements in the Indenture or the 7% Notes for 60 days after receipt of written notice of such failure from the trustee or the holders of at least 25% in principal amount of the 7% Notes then outstanding;</w:t>
      </w:r>
    </w:p>
    <w:p>
      <w:pPr>
        <w:spacing w:after="0" w:line="133" w:lineRule="exact"/>
        <w:rPr>
          <w:rFonts w:ascii="Times New Roman" w:cs="Times New Roman" w:eastAsia="Times New Roman" w:hAnsi="Times New Roman"/>
          <w:sz w:val="15"/>
          <w:szCs w:val="15"/>
          <w:color w:val="auto"/>
        </w:rPr>
      </w:pPr>
    </w:p>
    <w:p>
      <w:pPr>
        <w:jc w:val="both"/>
        <w:ind w:left="820" w:right="20" w:hanging="264"/>
        <w:spacing w:after="0" w:line="258" w:lineRule="auto"/>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by us or any significant subsidiary of the company with respect to any mortgage, agreement or other instrument under which there may be outstanding, or by which there may be secured or evidenced, any indebtedness with a principal amount in excess of $10,000,000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7% Notes then outstanding in accordance with this Indenture;</w:t>
      </w:r>
    </w:p>
    <w:p>
      <w:pPr>
        <w:spacing w:after="0" w:line="155" w:lineRule="exact"/>
        <w:rPr>
          <w:rFonts w:ascii="Times New Roman" w:cs="Times New Roman" w:eastAsia="Times New Roman" w:hAnsi="Times New Roman"/>
          <w:sz w:val="15"/>
          <w:szCs w:val="15"/>
          <w:color w:val="auto"/>
        </w:rPr>
      </w:pPr>
    </w:p>
    <w:p>
      <w:pPr>
        <w:ind w:left="820" w:hanging="264"/>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events of bankruptcy, insolvency or reorganization of the company or any of our significant subsidiaries;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15240</wp:posOffset>
            </wp:positionV>
            <wp:extent cx="715391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080"/>
          </w:cols>
          <w:pgMar w:left="400" w:top="330" w:right="419" w:bottom="1440" w:gutter="0" w:footer="0" w:header="0"/>
        </w:sectPr>
      </w:pPr>
    </w:p>
    <w:bookmarkStart w:id="12" w:name="page13"/>
    <w:bookmarkEnd w:id="12"/>
    <w:p>
      <w:pPr>
        <w:jc w:val="both"/>
        <w:ind w:left="820" w:right="20" w:hanging="264"/>
        <w:spacing w:after="0" w:line="270" w:lineRule="auto"/>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52005" cy="5923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005" cy="5923915"/>
                    </a:xfrm>
                    <a:prstGeom prst="rect">
                      <a:avLst/>
                    </a:prstGeom>
                    <a:noFill/>
                  </pic:spPr>
                </pic:pic>
              </a:graphicData>
            </a:graphic>
          </wp:anchor>
        </w:drawing>
        <w:t>a final judgment or judgments for the payment of $10,000,000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p>
      <w:pPr>
        <w:spacing w:after="0" w:line="146" w:lineRule="exact"/>
        <w:rPr>
          <w:rFonts w:ascii="Times New Roman" w:cs="Times New Roman" w:eastAsia="Times New Roman" w:hAnsi="Times New Roman"/>
          <w:sz w:val="15"/>
          <w:szCs w:val="15"/>
          <w:color w:val="auto"/>
        </w:rPr>
      </w:pPr>
    </w:p>
    <w:p>
      <w:pPr>
        <w:jc w:val="both"/>
        <w:ind w:left="820" w:hanging="264"/>
        <w:spacing w:after="0" w:line="259" w:lineRule="auto"/>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certain bankruptcy and insolvency-related events of default occur with respect to the Company, the principal of, and accrued and unpaid interest, if any, on, all of the 7.00% Notes then outstanding shall automatically become due and payable. If an event of default with respect to the 7.00% Notes, other than certain bankruptcy and insolvency-related events of default with respect to the Company, occurs and is continuing, the trustee, by notice to the Company, or the holders of at least 25% in principal amount of the outstanding 7.00% Notes by notice to the Company and the trustee, may declare 100% of the principal of, and accrued and unpaid special interest, if any, on, all the outstanding 7.00%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7.00% Notes.</w:t>
      </w:r>
    </w:p>
    <w:p>
      <w:pPr>
        <w:spacing w:after="0" w:line="154"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Indenture provides that the company shall not, and shall not permit any subsidiary, to incur any indebtedness that ranks senior to the 7% Notes and that is secured by a perfected first priority security interests in the assets of the company or any of its subsidiaries; provided, however, the company and its subsidiaries may incur or issue: (i) any Indebtedness that is authorized by holders of at least 51% in aggregate principal amount of 7% Notes then outstanding in accordance with the Indenture; and (ii) for the avoidance of doubt, any securitization financings that may be completed from time to time by the company and/or its subsidiaries.</w:t>
      </w:r>
    </w:p>
    <w:p>
      <w:pPr>
        <w:spacing w:after="0" w:line="151"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The Indenture further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“qualified successor entity” (as defined in the Indenture) organized and existing under the laws of the United States of America, any State thereof or the District of Columbia, and such corporation (if not the company) expressly assumes by supplemental indenture all of the company’s obligations under the 7% Notes and the Indenture; and (ii) immediately after giving effect to such transaction, no default or event of default has occurred and is continuing under the Indenture.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Implications of Being a Smaller Reporting Company and Emerging Growth Company</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the comparison of our financial statements with other public companies difficult or impossible.</w:t>
      </w:r>
    </w:p>
    <w:p>
      <w:pPr>
        <w:spacing w:after="0" w:line="149"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w:t>
      </w:r>
      <w:r>
        <w:rPr>
          <w:rFonts w:ascii="Times New Roman" w:cs="Times New Roman" w:eastAsia="Times New Roman" w:hAnsi="Times New Roman"/>
          <w:sz w:val="15"/>
          <w:szCs w:val="15"/>
          <w:b w:val="1"/>
          <w:bCs w:val="1"/>
          <w:color w:val="auto"/>
        </w:rPr>
        <w:t>JOBS Act</w:t>
      </w:r>
      <w:r>
        <w:rPr>
          <w:rFonts w:ascii="Times New Roman" w:cs="Times New Roman" w:eastAsia="Times New Roman" w:hAnsi="Times New Roman"/>
          <w:sz w:val="15"/>
          <w:szCs w:val="15"/>
          <w:color w:val="auto"/>
        </w:rPr>
        <w: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spacing w:after="0" w:line="150"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to opt out of such extended transition period.</w:t>
      </w:r>
    </w:p>
    <w:p>
      <w:pPr>
        <w:spacing w:after="0" w:line="33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We will remain an emerging growth company until the earlier of: (1) the last day of the fiscal year (a) following the fifth anniversary of the closing of FACT’s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are to its meaning under the Securities Act, as modified by the JOBS Act.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15240</wp:posOffset>
            </wp:positionV>
            <wp:extent cx="715391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080"/>
          </w:cols>
          <w:pgMar w:left="400" w:top="330"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37400" cy="46520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0" cy="4652010"/>
                    </a:xfrm>
                    <a:prstGeom prst="rect">
                      <a:avLst/>
                    </a:prstGeom>
                    <a:noFill/>
                  </pic:spPr>
                </pic:pic>
              </a:graphicData>
            </a:graphic>
          </wp:anchor>
        </w:drawing>
        <w:t>Other Information</w:t>
      </w:r>
    </w:p>
    <w:p>
      <w:pPr>
        <w:spacing w:after="0" w:line="196"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We will bear all costs, expenses and fees in connection with the registration of Offered Securities. The Selling Securityholders will bear all commissions and discounts, if any, attributable to their sales of Offered Securities. We are registering certain shares of our common stock for sale by the Selling Securityholders pursuant to registration rights granted to the Selling Securityholders. See the section of this prospectus entitled “</w:t>
      </w:r>
      <w:r>
        <w:rPr>
          <w:rFonts w:ascii="Times New Roman" w:cs="Times New Roman" w:eastAsia="Times New Roman" w:hAnsi="Times New Roman"/>
          <w:sz w:val="15"/>
          <w:szCs w:val="15"/>
          <w:i w:val="1"/>
          <w:iCs w:val="1"/>
          <w:color w:val="auto"/>
        </w:rPr>
        <w:t>Selling Securityholders</w:t>
      </w:r>
      <w:r>
        <w:rPr>
          <w:rFonts w:ascii="Times New Roman" w:cs="Times New Roman" w:eastAsia="Times New Roman" w:hAnsi="Times New Roman"/>
          <w:sz w:val="15"/>
          <w:szCs w:val="15"/>
          <w:color w:val="auto"/>
        </w:rPr>
        <w:t>” for more information.</w:t>
      </w:r>
    </w:p>
    <w:p>
      <w:pPr>
        <w:spacing w:after="0" w:line="14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In offering the securities covered by this prospectus, the Selling Securityholders and any broker-dealers who execute sales for the Selling Securityholders may be deemed to be “underwriters” within the meaning of the Securities Act of 1933, as amended (the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in connection with such sales. Any profits realized by the Selling Securityholders and the compensation of any broker-dealer may be deemed to be underwriting discounts and commissions.</w:t>
      </w:r>
    </w:p>
    <w:p>
      <w:pPr>
        <w:spacing w:after="0" w:line="146" w:lineRule="exact"/>
        <w:rPr>
          <w:sz w:val="20"/>
          <w:szCs w:val="20"/>
          <w:color w:val="auto"/>
        </w:rPr>
      </w:pPr>
    </w:p>
    <w:p>
      <w:pPr>
        <w:jc w:val="both"/>
        <w:ind w:right="20" w:firstLine="273"/>
        <w:spacing w:after="0" w:line="260" w:lineRule="auto"/>
        <w:rPr>
          <w:sz w:val="20"/>
          <w:szCs w:val="20"/>
          <w:color w:val="auto"/>
        </w:rPr>
      </w:pPr>
      <w:r>
        <w:rPr>
          <w:rFonts w:ascii="Times New Roman" w:cs="Times New Roman" w:eastAsia="Times New Roman" w:hAnsi="Times New Roman"/>
          <w:sz w:val="15"/>
          <w:szCs w:val="15"/>
          <w:color w:val="auto"/>
        </w:rPr>
        <w:t>The Selling Securityholders may offer and sell the Offered Securities owned by them covered by this prospectus from time to time, in a number of different ways and at varying prices. If any underwriters, dealers or agents are involved in the sale of any of the Offered Securities, their names and any applicable purchase price, fee, commission or discount arrangement between or among them will be set forth, or will be calculable from the information set forth, in any applicable prospectus supplement. See the sections of this prospectus entitled “</w:t>
      </w:r>
      <w:r>
        <w:rPr>
          <w:rFonts w:ascii="Times New Roman" w:cs="Times New Roman" w:eastAsia="Times New Roman" w:hAnsi="Times New Roman"/>
          <w:sz w:val="15"/>
          <w:szCs w:val="15"/>
          <w:i w:val="1"/>
          <w:iCs w:val="1"/>
          <w:color w:val="auto"/>
        </w:rPr>
        <w:t>About this Prospectus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Plan of Distribution</w:t>
      </w:r>
      <w:r>
        <w:rPr>
          <w:rFonts w:ascii="Times New Roman" w:cs="Times New Roman" w:eastAsia="Times New Roman" w:hAnsi="Times New Roman"/>
          <w:sz w:val="15"/>
          <w:szCs w:val="15"/>
          <w:color w:val="auto"/>
        </w:rPr>
        <w:t>” for more information. No securities may be sold without delivery of this prospectus and any applicable prospectus supplement describing the method and terms of the offering of such securities. You should carefully read this prospectus and any applicable prospectus supplement before you invest in our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Risk Factors</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Below is a summary of material factors that make an investment in our securities speculative or risky. Importantly, this summary does not address all of the risks and uncertainties that we face.</w:t>
      </w:r>
    </w:p>
    <w:p>
      <w:pPr>
        <w:spacing w:after="0" w:line="134" w:lineRule="exact"/>
        <w:rPr>
          <w:sz w:val="20"/>
          <w:szCs w:val="20"/>
          <w:color w:val="auto"/>
        </w:rPr>
      </w:pPr>
    </w:p>
    <w:p>
      <w:pPr>
        <w:ind w:left="560" w:right="20" w:hanging="277"/>
        <w:spacing w:after="0" w:line="287" w:lineRule="auto"/>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history of losses that may continue in the future; our management has identified conditions that raise substantial doubt about our ability to continue as a going concern; and we may not achieve profitability or generate positive cash flow.</w:t>
      </w:r>
    </w:p>
    <w:p>
      <w:pPr>
        <w:spacing w:after="0" w:line="133" w:lineRule="exact"/>
        <w:rPr>
          <w:rFonts w:ascii="Times New Roman" w:cs="Times New Roman" w:eastAsia="Times New Roman" w:hAnsi="Times New Roman"/>
          <w:sz w:val="15"/>
          <w:szCs w:val="15"/>
          <w:color w:val="auto"/>
        </w:rPr>
      </w:pPr>
    </w:p>
    <w:p>
      <w:pPr>
        <w:ind w:left="560" w:right="20" w:hanging="277"/>
        <w:spacing w:after="0" w:line="287" w:lineRule="auto"/>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spacing w:after="0" w:line="133" w:lineRule="exact"/>
        <w:rPr>
          <w:rFonts w:ascii="Times New Roman" w:cs="Times New Roman" w:eastAsia="Times New Roman" w:hAnsi="Times New Roman"/>
          <w:sz w:val="15"/>
          <w:szCs w:val="15"/>
          <w:color w:val="auto"/>
        </w:rPr>
      </w:pPr>
    </w:p>
    <w:p>
      <w:pPr>
        <w:ind w:left="560" w:hanging="277"/>
        <w:spacing w:after="0"/>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Raising additional funds may cause dilution to existing stockholders and/or may restrict our operations or require us to relinquish proprietary rights.</w:t>
      </w:r>
    </w:p>
    <w:p>
      <w:pPr>
        <w:spacing w:after="0" w:line="191" w:lineRule="exact"/>
        <w:rPr>
          <w:rFonts w:ascii="Times New Roman" w:cs="Times New Roman" w:eastAsia="Times New Roman" w:hAnsi="Times New Roman"/>
          <w:sz w:val="15"/>
          <w:szCs w:val="15"/>
          <w:color w:val="auto"/>
        </w:rPr>
      </w:pPr>
    </w:p>
    <w:p>
      <w:pPr>
        <w:jc w:val="both"/>
        <w:ind w:left="560" w:right="20" w:hanging="277"/>
        <w:spacing w:after="0" w:line="270" w:lineRule="auto"/>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identified material weaknesses in our internal controls over financial reporting.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46" w:lineRule="exact"/>
        <w:rPr>
          <w:rFonts w:ascii="Times New Roman" w:cs="Times New Roman" w:eastAsia="Times New Roman" w:hAnsi="Times New Roman"/>
          <w:sz w:val="15"/>
          <w:szCs w:val="15"/>
          <w:color w:val="auto"/>
        </w:rPr>
      </w:pPr>
    </w:p>
    <w:p>
      <w:pPr>
        <w:ind w:left="560" w:hanging="277"/>
        <w:spacing w:after="0"/>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prepare and timely file our periodic reports with the SEC limits our access to the public markets to raise debt or equity capital.</w:t>
      </w:r>
    </w:p>
    <w:p>
      <w:pPr>
        <w:spacing w:after="0" w:line="191" w:lineRule="exact"/>
        <w:rPr>
          <w:rFonts w:ascii="Times New Roman" w:cs="Times New Roman" w:eastAsia="Times New Roman" w:hAnsi="Times New Roman"/>
          <w:sz w:val="15"/>
          <w:szCs w:val="15"/>
          <w:color w:val="auto"/>
        </w:rPr>
      </w:pPr>
    </w:p>
    <w:p>
      <w:pPr>
        <w:ind w:left="560" w:right="20" w:hanging="277"/>
        <w:spacing w:after="0" w:line="263" w:lineRule="auto"/>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international trade policies, tariffs, or trade disputes could significantly and adversely affect our business, revenues, margins, results of operations, and cash flows.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15240</wp:posOffset>
            </wp:positionV>
            <wp:extent cx="715391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060"/>
          </w:cols>
          <w:pgMar w:left="400" w:top="326" w:right="439" w:bottom="1440" w:gutter="0" w:footer="0" w:header="0"/>
        </w:sectPr>
      </w:pPr>
    </w:p>
    <w:bookmarkStart w:id="14" w:name="page15"/>
    <w:bookmarkEnd w:id="14"/>
    <w:p>
      <w:pPr>
        <w:ind w:left="280" w:hanging="277"/>
        <w:spacing w:after="0" w:line="287"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37400" cy="4536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7400" cy="4536440"/>
                    </a:xfrm>
                    <a:prstGeom prst="rect">
                      <a:avLst/>
                    </a:prstGeom>
                    <a:noFill/>
                  </pic:spPr>
                </pic:pic>
              </a:graphicData>
            </a:graphic>
          </wp:anchor>
        </w:drawing>
        <w:t>Our business depends in part on the availability of rebates, tax credits and other financial incentives. The OBBBA has materially reduced the availability of these rebates, credits or incentives, which may adversely impact our business.</w:t>
      </w:r>
    </w:p>
    <w:p>
      <w:pPr>
        <w:spacing w:after="0" w:line="133" w:lineRule="exact"/>
        <w:rPr>
          <w:rFonts w:ascii="Times New Roman" w:cs="Times New Roman" w:eastAsia="Times New Roman" w:hAnsi="Times New Roman"/>
          <w:sz w:val="15"/>
          <w:szCs w:val="15"/>
          <w:color w:val="auto"/>
        </w:rPr>
      </w:pPr>
    </w:p>
    <w:p>
      <w:pPr>
        <w:ind w:left="280" w:hanging="277"/>
        <w:spacing w:after="0" w:line="287"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an “emerging growth company” and a “smaller reporting company” and we cannot be certain if the reduced reporting requirements applicable to these companies will make our common stock less attractive to investors.</w:t>
      </w:r>
    </w:p>
    <w:p>
      <w:pPr>
        <w:spacing w:after="0" w:line="133" w:lineRule="exact"/>
        <w:rPr>
          <w:rFonts w:ascii="Times New Roman" w:cs="Times New Roman" w:eastAsia="Times New Roman" w:hAnsi="Times New Roman"/>
          <w:sz w:val="15"/>
          <w:szCs w:val="15"/>
          <w:color w:val="auto"/>
        </w:rPr>
      </w:pPr>
    </w:p>
    <w:p>
      <w:pPr>
        <w:ind w:left="280" w:hanging="277"/>
        <w:spacing w:after="0" w:line="287"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Macroeconomic conditions in our domestic and international markets, as well as inflation concerns, instability of financial institutions, rising interest rates, and recessionary concerns may adversely affect our industry, business and financial results.</w:t>
      </w:r>
    </w:p>
    <w:p>
      <w:pPr>
        <w:spacing w:after="0" w:line="133" w:lineRule="exact"/>
        <w:rPr>
          <w:rFonts w:ascii="Times New Roman" w:cs="Times New Roman" w:eastAsia="Times New Roman" w:hAnsi="Times New Roman"/>
          <w:sz w:val="15"/>
          <w:szCs w:val="15"/>
          <w:color w:val="auto"/>
        </w:rPr>
      </w:pPr>
    </w:p>
    <w:p>
      <w:pPr>
        <w:ind w:left="280" w:hanging="277"/>
        <w:spacing w:after="0" w:line="287"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Existing regulations and policies, including trade policies and tariffs, and changes to these regulations and policies, including changes to trade policies and tariffs, may present technical, regulatory, and economic barriers to the purchase and use of solar power products, which may significantly reduce demand for our products and services.</w:t>
      </w:r>
    </w:p>
    <w:p>
      <w:pPr>
        <w:spacing w:after="0" w:line="133" w:lineRule="exact"/>
        <w:rPr>
          <w:rFonts w:ascii="Times New Roman" w:cs="Times New Roman" w:eastAsia="Times New Roman" w:hAnsi="Times New Roman"/>
          <w:sz w:val="15"/>
          <w:szCs w:val="15"/>
          <w:color w:val="auto"/>
        </w:rPr>
      </w:pPr>
    </w:p>
    <w:p>
      <w:pPr>
        <w:ind w:left="280" w:hanging="277"/>
        <w:spacing w:after="0" w:line="287"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33" w:lineRule="exact"/>
        <w:rPr>
          <w:rFonts w:ascii="Times New Roman" w:cs="Times New Roman" w:eastAsia="Times New Roman" w:hAnsi="Times New Roman"/>
          <w:sz w:val="15"/>
          <w:szCs w:val="15"/>
          <w:color w:val="auto"/>
        </w:rPr>
      </w:pPr>
    </w:p>
    <w:p>
      <w:pPr>
        <w:jc w:val="both"/>
        <w:ind w:left="280" w:hanging="277"/>
        <w:spacing w:after="0" w:line="270"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p>
      <w:pPr>
        <w:spacing w:after="0" w:line="146" w:lineRule="exact"/>
        <w:rPr>
          <w:rFonts w:ascii="Times New Roman" w:cs="Times New Roman" w:eastAsia="Times New Roman" w:hAnsi="Times New Roman"/>
          <w:sz w:val="15"/>
          <w:szCs w:val="15"/>
          <w:color w:val="auto"/>
        </w:rPr>
      </w:pPr>
    </w:p>
    <w:p>
      <w:pPr>
        <w:ind w:left="280" w:hanging="277"/>
        <w:spacing w:after="0"/>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substantially focuses on solar service agreements and transactions with residential customers.</w:t>
      </w:r>
    </w:p>
    <w:p>
      <w:pPr>
        <w:spacing w:after="0" w:line="191" w:lineRule="exact"/>
        <w:rPr>
          <w:rFonts w:ascii="Times New Roman" w:cs="Times New Roman" w:eastAsia="Times New Roman" w:hAnsi="Times New Roman"/>
          <w:sz w:val="15"/>
          <w:szCs w:val="15"/>
          <w:color w:val="auto"/>
        </w:rPr>
      </w:pPr>
    </w:p>
    <w:p>
      <w:pPr>
        <w:ind w:left="280" w:hanging="277"/>
        <w:spacing w:after="0" w:line="287"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manage operations and growth effectively, we may be unable to execute our business plan, maintain high levels of customer service or adequately address competitive challenges.</w:t>
      </w:r>
    </w:p>
    <w:p>
      <w:pPr>
        <w:spacing w:after="0" w:line="133" w:lineRule="exact"/>
        <w:rPr>
          <w:rFonts w:ascii="Times New Roman" w:cs="Times New Roman" w:eastAsia="Times New Roman" w:hAnsi="Times New Roman"/>
          <w:sz w:val="15"/>
          <w:szCs w:val="15"/>
          <w:color w:val="auto"/>
        </w:rPr>
      </w:pPr>
    </w:p>
    <w:p>
      <w:pPr>
        <w:ind w:left="280" w:hanging="277"/>
        <w:spacing w:after="0"/>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incurred losses and may be unable to achieve or sustain profitability in the future.</w:t>
      </w:r>
    </w:p>
    <w:p>
      <w:pPr>
        <w:spacing w:after="0" w:line="191" w:lineRule="exact"/>
        <w:rPr>
          <w:rFonts w:ascii="Times New Roman" w:cs="Times New Roman" w:eastAsia="Times New Roman" w:hAnsi="Times New Roman"/>
          <w:sz w:val="15"/>
          <w:szCs w:val="15"/>
          <w:color w:val="auto"/>
        </w:rPr>
      </w:pPr>
    </w:p>
    <w:p>
      <w:pPr>
        <w:ind w:left="280" w:hanging="277"/>
        <w:spacing w:after="0" w:line="287"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material drop in the retail price of utility-generated electricity or electricity from other sources could adversely impact our ability to attract customers, which would harm our business, financial condition, and results of operations.</w:t>
      </w:r>
    </w:p>
    <w:p>
      <w:pPr>
        <w:spacing w:after="0" w:line="133" w:lineRule="exact"/>
        <w:rPr>
          <w:rFonts w:ascii="Times New Roman" w:cs="Times New Roman" w:eastAsia="Times New Roman" w:hAnsi="Times New Roman"/>
          <w:sz w:val="15"/>
          <w:szCs w:val="15"/>
          <w:color w:val="auto"/>
        </w:rPr>
      </w:pPr>
    </w:p>
    <w:p>
      <w:pPr>
        <w:ind w:left="280" w:hanging="277"/>
        <w:spacing w:after="0" w:line="287"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success depends on the continuing contributions of key personnel, including Thurman J. Rodgers. If we are unable to attract and retain key employees and qualified personnel, our business and prospects could be harmed.</w:t>
      </w:r>
    </w:p>
    <w:p>
      <w:pPr>
        <w:spacing w:after="0" w:line="133" w:lineRule="exact"/>
        <w:rPr>
          <w:rFonts w:ascii="Times New Roman" w:cs="Times New Roman" w:eastAsia="Times New Roman" w:hAnsi="Times New Roman"/>
          <w:sz w:val="15"/>
          <w:szCs w:val="15"/>
          <w:color w:val="auto"/>
        </w:rPr>
      </w:pPr>
    </w:p>
    <w:p>
      <w:pPr>
        <w:ind w:left="280" w:hanging="277"/>
        <w:spacing w:after="0" w:line="287"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common stock to the Selling Securityholder may cause substantial dilution to our existing shareholders, and the sale of such shares acquired by the Selling Securityholder could cause the price of our common stock to decline.</w:t>
      </w:r>
    </w:p>
    <w:p>
      <w:pPr>
        <w:spacing w:after="0" w:line="133" w:lineRule="exact"/>
        <w:rPr>
          <w:rFonts w:ascii="Times New Roman" w:cs="Times New Roman" w:eastAsia="Times New Roman" w:hAnsi="Times New Roman"/>
          <w:sz w:val="15"/>
          <w:szCs w:val="15"/>
          <w:color w:val="auto"/>
        </w:rPr>
      </w:pPr>
    </w:p>
    <w:p>
      <w:pPr>
        <w:ind w:left="280" w:hanging="277"/>
        <w:spacing w:after="0" w:line="287" w:lineRule="auto"/>
        <w:tabs>
          <w:tab w:leader="none" w:pos="2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Future sales (including potential sales of securities by the Selling Securityholders), or the perception of future sales, by us or our stockholders in the public market could cause the market price for the common stock to decline.</w:t>
      </w:r>
    </w:p>
    <w:p>
      <w:pPr>
        <w:spacing w:after="0" w:line="3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15240</wp:posOffset>
            </wp:positionV>
            <wp:extent cx="715391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760"/>
          </w:cols>
          <w:pgMar w:left="680" w:top="330" w:right="4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37400" cy="3726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7400" cy="3726815"/>
                    </a:xfrm>
                    <a:prstGeom prst="rect">
                      <a:avLst/>
                    </a:prstGeom>
                    <a:noFill/>
                  </pic:spPr>
                </pic:pic>
              </a:graphicData>
            </a:graphic>
          </wp:anchor>
        </w:drawing>
        <w:t>The Offering</w:t>
      </w:r>
    </w:p>
    <w:p>
      <w:pPr>
        <w:sectPr>
          <w:pgSz w:w="11900" w:h="16838" w:orient="portrait"/>
          <w:cols w:equalWidth="0" w:num="1">
            <w:col w:w="11040"/>
          </w:cols>
          <w:pgMar w:left="400" w:top="326" w:right="45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Securities offered by the Selling Securityholder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Up to 65,385,828 shares of our common stock, consisting of:</w:t>
      </w:r>
    </w:p>
    <w:p>
      <w:pPr>
        <w:spacing w:after="0" w:line="192" w:lineRule="exact"/>
        <w:rPr>
          <w:sz w:val="20"/>
          <w:szCs w:val="20"/>
          <w:color w:val="auto"/>
        </w:rPr>
      </w:pPr>
    </w:p>
    <w:p>
      <w:pPr>
        <w:sectPr>
          <w:pgSz w:w="11900" w:h="16838" w:orient="portrait"/>
          <w:cols w:equalWidth="0" w:num="2">
            <w:col w:w="2900" w:space="540"/>
            <w:col w:w="7600"/>
          </w:cols>
          <w:pgMar w:left="400" w:top="326" w:right="459" w:bottom="1440" w:gutter="0" w:footer="0" w:header="0"/>
          <w:type w:val="continuous"/>
        </w:sectPr>
      </w:pPr>
    </w:p>
    <w:p>
      <w:pPr>
        <w:ind w:left="3700"/>
        <w:spacing w:after="0"/>
        <w:tabs>
          <w:tab w:leader="none" w:pos="3960" w:val="left"/>
        </w:tabs>
        <w:rPr>
          <w:sz w:val="20"/>
          <w:szCs w:val="20"/>
          <w:color w:val="auto"/>
        </w:rPr>
      </w:pPr>
      <w:r>
        <w:rPr>
          <w:rFonts w:ascii="Times New Roman" w:cs="Times New Roman" w:eastAsia="Times New Roman" w:hAnsi="Times New Roman"/>
          <w:sz w:val="15"/>
          <w:szCs w:val="15"/>
          <w:color w:val="auto"/>
        </w:rPr>
        <w:t>●</w:t>
        <w:tab/>
        <w:t>10,243,924 shares of common stock previously issued by us in connection with our acquisition of Ambia;</w:t>
      </w:r>
    </w:p>
    <w:p>
      <w:pPr>
        <w:spacing w:after="0" w:line="192" w:lineRule="exact"/>
        <w:rPr>
          <w:sz w:val="20"/>
          <w:szCs w:val="20"/>
          <w:color w:val="auto"/>
        </w:rPr>
      </w:pPr>
    </w:p>
    <w:p>
      <w:pPr>
        <w:ind w:left="3700"/>
        <w:spacing w:after="0"/>
        <w:tabs>
          <w:tab w:leader="none" w:pos="3960" w:val="left"/>
        </w:tabs>
        <w:rPr>
          <w:sz w:val="20"/>
          <w:szCs w:val="20"/>
          <w:color w:val="auto"/>
        </w:rPr>
      </w:pPr>
      <w:r>
        <w:rPr>
          <w:rFonts w:ascii="Times New Roman" w:cs="Times New Roman" w:eastAsia="Times New Roman" w:hAnsi="Times New Roman"/>
          <w:sz w:val="15"/>
          <w:szCs w:val="15"/>
          <w:color w:val="auto"/>
        </w:rPr>
        <w:t>●</w:t>
        <w:tab/>
        <w:t>3,333,334 shares of common stock previously issued by us in connection with our acquisition of Sunder;</w:t>
      </w:r>
    </w:p>
    <w:p>
      <w:pPr>
        <w:spacing w:after="0" w:line="192" w:lineRule="exact"/>
        <w:rPr>
          <w:sz w:val="20"/>
          <w:szCs w:val="20"/>
          <w:color w:val="auto"/>
        </w:rPr>
      </w:pPr>
    </w:p>
    <w:p>
      <w:pPr>
        <w:ind w:left="3700"/>
        <w:spacing w:after="0"/>
        <w:tabs>
          <w:tab w:leader="none" w:pos="3960" w:val="left"/>
        </w:tabs>
        <w:rPr>
          <w:sz w:val="20"/>
          <w:szCs w:val="20"/>
          <w:color w:val="auto"/>
        </w:rPr>
      </w:pPr>
      <w:r>
        <w:rPr>
          <w:rFonts w:ascii="Times New Roman" w:cs="Times New Roman" w:eastAsia="Times New Roman" w:hAnsi="Times New Roman"/>
          <w:sz w:val="15"/>
          <w:szCs w:val="15"/>
          <w:color w:val="auto"/>
        </w:rPr>
        <w:t>●</w:t>
        <w:tab/>
        <w:t>up to 50,760,218 shares of common stock issuable upon conversion of our 7% Notes; and</w:t>
      </w:r>
    </w:p>
    <w:p>
      <w:pPr>
        <w:spacing w:after="0" w:line="192" w:lineRule="exact"/>
        <w:rPr>
          <w:sz w:val="20"/>
          <w:szCs w:val="20"/>
          <w:color w:val="auto"/>
        </w:rPr>
      </w:pPr>
    </w:p>
    <w:p>
      <w:pPr>
        <w:ind w:left="3700"/>
        <w:spacing w:after="0"/>
        <w:tabs>
          <w:tab w:leader="none" w:pos="4000" w:val="left"/>
        </w:tabs>
        <w:rPr>
          <w:sz w:val="20"/>
          <w:szCs w:val="20"/>
          <w:color w:val="auto"/>
        </w:rPr>
      </w:pPr>
      <w:r>
        <w:rPr>
          <w:rFonts w:ascii="Times New Roman" w:cs="Times New Roman" w:eastAsia="Times New Roman" w:hAnsi="Times New Roman"/>
          <w:sz w:val="15"/>
          <w:szCs w:val="15"/>
          <w:color w:val="auto"/>
        </w:rPr>
        <w:t>●</w:t>
        <w:tab/>
        <w:t>1,048,352 shares of common stock held by certain former affiliates.</w:t>
      </w:r>
    </w:p>
    <w:p>
      <w:pPr>
        <w:sectPr>
          <w:pgSz w:w="11900" w:h="16838" w:orient="portrait"/>
          <w:cols w:equalWidth="0" w:num="1">
            <w:col w:w="11040"/>
          </w:cols>
          <w:pgMar w:left="400" w:top="326" w:right="459" w:bottom="1440" w:gutter="0" w:footer="0" w:header="0"/>
          <w:type w:val="continuous"/>
        </w:sectPr>
      </w:pPr>
    </w:p>
    <w:p>
      <w:pPr>
        <w:spacing w:after="0" w:line="192" w:lineRule="exact"/>
        <w:rPr>
          <w:sz w:val="20"/>
          <w:szCs w:val="20"/>
          <w:color w:val="auto"/>
        </w:rPr>
      </w:pPr>
    </w:p>
    <w:p>
      <w:pPr>
        <w:ind w:left="140" w:hanging="136"/>
        <w:spacing w:after="0" w:line="287" w:lineRule="auto"/>
        <w:rPr>
          <w:sz w:val="20"/>
          <w:szCs w:val="20"/>
          <w:color w:val="auto"/>
        </w:rPr>
      </w:pPr>
      <w:r>
        <w:rPr>
          <w:rFonts w:ascii="Times New Roman" w:cs="Times New Roman" w:eastAsia="Times New Roman" w:hAnsi="Times New Roman"/>
          <w:sz w:val="15"/>
          <w:szCs w:val="15"/>
          <w:color w:val="auto"/>
        </w:rPr>
        <w:t>Shares of common stock outstanding prior to this offering</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112,776,028 (as of January 29, 2026).</w:t>
      </w:r>
    </w:p>
    <w:p>
      <w:pPr>
        <w:spacing w:after="0" w:line="374" w:lineRule="exact"/>
        <w:rPr>
          <w:sz w:val="20"/>
          <w:szCs w:val="20"/>
          <w:color w:val="auto"/>
        </w:rPr>
      </w:pPr>
    </w:p>
    <w:p>
      <w:pPr>
        <w:sectPr>
          <w:pgSz w:w="11900" w:h="16838" w:orient="portrait"/>
          <w:cols w:equalWidth="0" w:num="2">
            <w:col w:w="3000" w:space="440"/>
            <w:col w:w="7600"/>
          </w:cols>
          <w:pgMar w:left="400" w:top="326" w:right="459" w:bottom="1440" w:gutter="0" w:footer="0" w:header="0"/>
          <w:type w:val="continuous"/>
        </w:sectPr>
      </w:pPr>
    </w:p>
    <w:p>
      <w:pPr>
        <w:ind w:left="140" w:hanging="136"/>
        <w:spacing w:after="0" w:line="287" w:lineRule="auto"/>
        <w:rPr>
          <w:sz w:val="20"/>
          <w:szCs w:val="20"/>
          <w:color w:val="auto"/>
        </w:rPr>
      </w:pPr>
      <w:r>
        <w:rPr>
          <w:rFonts w:ascii="Times New Roman" w:cs="Times New Roman" w:eastAsia="Times New Roman" w:hAnsi="Times New Roman"/>
          <w:sz w:val="15"/>
          <w:szCs w:val="15"/>
          <w:color w:val="auto"/>
        </w:rPr>
        <w:t>Shares of common stock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178,161,856 (based on the total shares outstanding as of January 29, 2026).</w:t>
      </w:r>
    </w:p>
    <w:p>
      <w:pPr>
        <w:spacing w:after="0" w:line="374" w:lineRule="exact"/>
        <w:rPr>
          <w:sz w:val="20"/>
          <w:szCs w:val="20"/>
          <w:color w:val="auto"/>
        </w:rPr>
      </w:pPr>
    </w:p>
    <w:p>
      <w:pPr>
        <w:sectPr>
          <w:pgSz w:w="11900" w:h="16838" w:orient="portrait"/>
          <w:cols w:equalWidth="0" w:num="2">
            <w:col w:w="2820" w:space="620"/>
            <w:col w:w="7600"/>
          </w:cols>
          <w:pgMar w:left="400" w:top="32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Terms of the offering</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Times New Roman" w:cs="Times New Roman" w:eastAsia="Times New Roman" w:hAnsi="Times New Roman"/>
          <w:sz w:val="15"/>
          <w:szCs w:val="15"/>
          <w:color w:val="auto"/>
        </w:rPr>
        <w:t>The Selling Securityholders will determine when and how they will dispose of the shares of common stock registered for resale under this prospectus.</w:t>
      </w:r>
    </w:p>
    <w:p>
      <w:pPr>
        <w:spacing w:after="0" w:line="134" w:lineRule="exact"/>
        <w:rPr>
          <w:sz w:val="20"/>
          <w:szCs w:val="20"/>
          <w:color w:val="auto"/>
        </w:rPr>
      </w:pPr>
    </w:p>
    <w:p>
      <w:pPr>
        <w:sectPr>
          <w:pgSz w:w="11900" w:h="16838" w:orient="portrait"/>
          <w:cols w:equalWidth="0" w:num="2">
            <w:col w:w="2720" w:space="720"/>
            <w:col w:w="7600"/>
          </w:cols>
          <w:pgMar w:left="400" w:top="32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Times New Roman" w:cs="Times New Roman" w:eastAsia="Times New Roman" w:hAnsi="Times New Roman"/>
          <w:sz w:val="15"/>
          <w:szCs w:val="15"/>
          <w:color w:val="auto"/>
        </w:rPr>
        <w:t>We will not receive any of the proceeds from the resale of the shares of common stock by the Selling Securityholders. We will incur all costs associated with this prospectus and the registration</w:t>
      </w:r>
    </w:p>
    <w:p>
      <w:pPr>
        <w:spacing w:after="0" w:line="130" w:lineRule="exact"/>
        <w:rPr>
          <w:sz w:val="20"/>
          <w:szCs w:val="20"/>
          <w:color w:val="auto"/>
        </w:rPr>
      </w:pPr>
    </w:p>
    <w:p>
      <w:pPr>
        <w:sectPr>
          <w:pgSz w:w="11900" w:h="16838" w:orient="portrait"/>
          <w:cols w:equalWidth="0" w:num="2">
            <w:col w:w="2720" w:space="720"/>
            <w:col w:w="7600"/>
          </w:cols>
          <w:pgMar w:left="400" w:top="326" w:right="4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Risk factors</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Times New Roman" w:cs="Times New Roman" w:eastAsia="Times New Roman" w:hAnsi="Times New Roman"/>
          <w:sz w:val="15"/>
          <w:szCs w:val="15"/>
          <w:color w:val="auto"/>
        </w:rPr>
        <w:t>Before investing in our securities, you should carefully read and consider the information set forth in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beginning on page 9.</w:t>
      </w:r>
    </w:p>
    <w:p>
      <w:pPr>
        <w:spacing w:after="0" w:line="129" w:lineRule="exact"/>
        <w:rPr>
          <w:sz w:val="20"/>
          <w:szCs w:val="20"/>
          <w:color w:val="auto"/>
        </w:rPr>
      </w:pPr>
    </w:p>
    <w:p>
      <w:pPr>
        <w:sectPr>
          <w:pgSz w:w="11900" w:h="16838" w:orient="portrait"/>
          <w:cols w:equalWidth="0" w:num="2">
            <w:col w:w="2720" w:space="720"/>
            <w:col w:w="7600"/>
          </w:cols>
          <w:pgMar w:left="400" w:top="32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Nasdaq ticker symbols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“SPWR” and “SPWRW”</w:t>
      </w:r>
    </w:p>
    <w:p>
      <w:pPr>
        <w:spacing w:after="0" w:line="188" w:lineRule="exact"/>
        <w:rPr>
          <w:sz w:val="20"/>
          <w:szCs w:val="20"/>
          <w:color w:val="auto"/>
        </w:rPr>
      </w:pPr>
    </w:p>
    <w:p>
      <w:pPr>
        <w:sectPr>
          <w:pgSz w:w="11900" w:h="16838" w:orient="portrait"/>
          <w:cols w:equalWidth="0" w:num="2">
            <w:col w:w="2720" w:space="720"/>
            <w:col w:w="7600"/>
          </w:cols>
          <w:pgMar w:left="400" w:top="32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For additional information concerning the offering, see “</w:t>
      </w:r>
      <w:r>
        <w:rPr>
          <w:rFonts w:ascii="Times New Roman" w:cs="Times New Roman" w:eastAsia="Times New Roman" w:hAnsi="Times New Roman"/>
          <w:sz w:val="15"/>
          <w:szCs w:val="15"/>
          <w:i w:val="1"/>
          <w:iCs w:val="1"/>
          <w:color w:val="auto"/>
        </w:rPr>
        <w:t>Plan of Distribution</w:t>
      </w:r>
      <w:r>
        <w:rPr>
          <w:rFonts w:ascii="Times New Roman" w:cs="Times New Roman" w:eastAsia="Times New Roman" w:hAnsi="Times New Roman"/>
          <w:sz w:val="15"/>
          <w:szCs w:val="15"/>
          <w:color w:val="auto"/>
        </w:rPr>
        <w:t>” beginning on page 124.</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15240</wp:posOffset>
            </wp:positionV>
            <wp:extent cx="715391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040"/>
          </w:cols>
          <w:pgMar w:left="400" w:top="326" w:right="45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2"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i w:val="1"/>
          <w:iCs w:val="1"/>
          <w:color w:val="auto"/>
        </w:rPr>
        <w:t>Investing in our securities involves a high degree of risk.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Businesses and Industry</w:t>
      </w:r>
    </w:p>
    <w:p>
      <w:pPr>
        <w:spacing w:after="0" w:line="192"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We have a history of losses that may continue in the future; our management has identified conditions that raise substantial doubt about our ability to continue as a going concern; and we may not achieve profitability or generate positive cash flow.</w:t>
      </w:r>
    </w:p>
    <w:p>
      <w:pPr>
        <w:spacing w:after="0" w:line="129"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Since our inception, we have incurred losses and negative cash flows from operations. Our net loss from continuing operations was $15.8 million in the thirteen weeks ended September 28, 2025. We have an accumulated deficit of $442.6 million as of September 28, 2025. We have accrued expenses and other current liabilities of $59.3 million, current debt of $21.5 million, and notes payable and derivative liabilities, net of current portion of $148.2 million as of September 28, 2025, as well as other current and long-term liabilities. We had cash and cash equivalents, excluding restricted cash, of $5.1 million as of September 28, 2025, which was held for working capital expenditures. These conditions raise substantial doubt about our ability to continue as a going concern. Our ability to continue as a going concern requires that we obtain sufficient funding, either through external financial transactions or cash flows generated from operations, to meet our obligations and finance our operations.</w:t>
      </w:r>
    </w:p>
    <w:p>
      <w:pPr>
        <w:spacing w:after="0" w:line="153"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If we are not able to secure adequate additional funding, either through external financial transactions or cash flows generated from operations,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w:t>
      </w:r>
    </w:p>
    <w:p>
      <w:pPr>
        <w:spacing w:after="0" w:line="151"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We may not achieve profitability or positive cash flow for a number of reasons, including declines in revenue, as well as increases in costs of our products, U.S. and global macroeconomic trends, including with respect to the impact of U.S. trade tariffs and the imposition of additional tariffs applicable to our industry or our products. In addition, we may be unable to identify further cost savings opportunities below present levels that would not adversely impact the functioning of our existing operations needed to meet customer and regulatory requirements. If we fail to generate sufficient revenue to support our operations, we may not be able to achieve profitability or generate sufficient cash flow to meet our financial obligations and our liquidity position will be negatively impacted. See “Management’s Discussion and Analysis of Financial Condition and Results of Operations - Liquidity and Capital Resources” and “Notes to Consolidated Financial Statements - (1) Organization - (c) Liquidity and Going Concern” for a further discussion of the other factors that may impact our liquidity position.</w:t>
      </w:r>
    </w:p>
    <w:p>
      <w:pPr>
        <w:spacing w:after="0" w:line="154"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Failure to generate sufficient cash flows from operations, raise additional capital or reduce certain discretionary spending would have a material adverse effect on our ability to achieve our intended business objectives.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7" w:name="page18"/>
    <w:bookmarkEnd w:id="17"/>
    <w:p>
      <w:pPr>
        <w:jc w:val="both"/>
        <w:ind w:right="20"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spacing w:after="0" w:line="129"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operations have consumed significant amounts of cash since inception. We expect to incur significant operating expenses as we continue to grow our business, including expenses incurred in connection with acquisitions and the further integration of acquired businesses, including the SunPower Businesses, Sunder, Ambia and Cobalt. We believe that our operating losses and negative operating cash flows will continue into the foreseeable future.</w:t>
      </w:r>
    </w:p>
    <w:p>
      <w:pPr>
        <w:spacing w:after="0" w:line="14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had cash and cash equivalents of $5.1 million as of September 28, 2025. Our cash position raises substantial doubt regarding our ability to continue as a going concern for 12 months after the consolidated financial statements issuance. Further, we cannot guarantee that our business will generate sufficient cash flow from operations to fund our operations or liquidity needs. Over time, we expect that we will need to raise additional funds through the issuance of equity, equity-related or debt securities or through obtaining credit from financial institutions to fund, together with our principal sources of liquidity, any significant unplanned or accelerated expenses and new strategic investments.</w:t>
      </w:r>
    </w:p>
    <w:p>
      <w:pPr>
        <w:spacing w:after="0" w:line="151"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We will require substantial additional capital to continue operations. Such additional capital might not be available when we need it and our actual cash requirements might be greater than anticipated. Additionally,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 We cannot be certain that additional capital will be available on attractive terms, if at all, when needed, which could be dilutive to stockholders, and our financial condition, results of operations, business and prospects could be materially and adversely affected. If the financial markets become difficult or costly to access, including due to rising interest rates, inflation, fluctuations in exchange rates or other changes in geopolitical or economic conditions, including, without limitation, with respect to tariffs and trade policies, our ability to raise additional capital may be negatively impacted. Our failure to raise capital in the future would have a negative impact on our ability to expand our business.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Raising additional funds may cause dilution to existing stockholders and/or may restrict our operations or require us to relinquish proprietary rights.</w:t>
      </w:r>
    </w:p>
    <w:p>
      <w:pPr>
        <w:spacing w:after="0" w:line="196"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To the extent that we raise additional capital by issuing equity or convertible debt securities, our existing stockholders may experience substantial dilution, and the terms of these issued securities may include liquidation or other preferences that adversely affect the rights of our existing common stockholders. For example, we may issue debt or equity securities under our shelf registration statement, through our at-the-market offering facility, through our existing equity line of creditor we may issue additional debt or equity securities in private transactions. Any agreements for future debt or preferred equity financings, if available, may involve covenants limiting or restricting our ability to take specific actions, such as raising additional capital, incurring additional debt, making capital expenditures or declaring dividends. Our ability to use our at-the-market offering facility may be constrained by the size of our non-affiliate market capitalization, our trading volume and other factors, and there can be no assurance regarding the price at which we will be able to sell such shares, and any sales of our common stock under our at-the-market offering facility may be at prices that result in additional dilution to our existing stockholders. If we incur additional debt, the debt holders, together with holders of our outstanding Convertible Senior Notes (as defined below), would have rights senior to holders of common stock to make claims on our assets, and the terms of any future debt could restrict our operations, including our ability to pay dividends on our common stock.</w:t>
      </w:r>
    </w:p>
    <w:p>
      <w:pPr>
        <w:spacing w:after="0" w:line="154"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b w:val="1"/>
          <w:bCs w:val="1"/>
          <w:i w:val="1"/>
          <w:iCs w:val="1"/>
          <w:color w:val="auto"/>
        </w:rPr>
        <w:t>We have identified material weaknesses in our internal controls over financial reporting.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44"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In connection with the preparation and audit of our financial statements for the year ended December 29, 2024, our management identified material weaknesses in our internal control over financial reporting. A material weakness is a deficiency, or a combination of deficiencies, in internal control over financial reporting, such that a reasonable possibility exists that a material misstatement of annual or interim financial statements would not be prevented or detected on a timely basis. The material weaknesses are as follows:</w:t>
      </w:r>
    </w:p>
    <w:p>
      <w:pPr>
        <w:spacing w:after="0" w:line="14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The Company did not maintain controls to execute the criteria established in the COSO Framework for (i) the control environment, (ii) risk assessment, (iii) control activities, (iv) information and communication, and (v) monitoring activities.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5"/>
          <w:szCs w:val="15"/>
          <w:color w:val="auto"/>
        </w:rPr>
        <w:t>Each of the control deficiencies identified below constitute material weaknesses, either individually or in the aggregate.</w:t>
      </w:r>
    </w:p>
    <w:p>
      <w:pPr>
        <w:spacing w:after="0" w:line="188"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 xml:space="preserve">Control Environment. </w:t>
      </w:r>
      <w:r>
        <w:rPr>
          <w:rFonts w:ascii="Times New Roman" w:cs="Times New Roman" w:eastAsia="Times New Roman" w:hAnsi="Times New Roman"/>
          <w:sz w:val="15"/>
          <w:szCs w:val="15"/>
          <w:color w:val="auto"/>
        </w:rPr>
        <w:t>The Company did not maintain an effective control environment and identified the following material weakness: the Company lacked appropriate policies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This control environment material weakness also contributed to the other material weaknesses identified below.</w:t>
      </w:r>
    </w:p>
    <w:p>
      <w:pPr>
        <w:spacing w:after="0" w:line="188"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 xml:space="preserve">Risk Assessment. </w:t>
      </w:r>
      <w:r>
        <w:rPr>
          <w:rFonts w:ascii="Times New Roman" w:cs="Times New Roman" w:eastAsia="Times New Roman" w:hAnsi="Times New Roman"/>
          <w:sz w:val="15"/>
          <w:szCs w:val="15"/>
          <w:color w:val="auto"/>
        </w:rPr>
        <w:t>The Company did not design and implement an effective risk assessment and identified a material weakness relating to: (i) identifying, assessing,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communicating appropriate objectives, (ii) identifying and analyzing risks to achieve these objectives, and (iii) identifying and assessing changes in the business that could impact the system of internal controls.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 xml:space="preserve">Control Activities. </w:t>
      </w:r>
      <w:r>
        <w:rPr>
          <w:rFonts w:ascii="Times New Roman" w:cs="Times New Roman" w:eastAsia="Times New Roman" w:hAnsi="Times New Roman"/>
          <w:sz w:val="15"/>
          <w:szCs w:val="15"/>
          <w:color w:val="auto"/>
        </w:rPr>
        <w:t>The Company did not design and implement effective control activities and identified the following material weakness:</w:t>
      </w:r>
    </w:p>
    <w:p>
      <w:pPr>
        <w:spacing w:after="0" w:line="196" w:lineRule="exact"/>
        <w:rPr>
          <w:sz w:val="20"/>
          <w:szCs w:val="20"/>
          <w:color w:val="auto"/>
        </w:rPr>
      </w:pPr>
    </w:p>
    <w:p>
      <w:pPr>
        <w:ind w:left="540" w:right="20" w:hanging="276"/>
        <w:spacing w:after="0" w:line="287"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Ineffective design and operation of certain control activities due to significant personnel changes throughout 2024. Control deficiencies, which aggregate to a material weakness, occurred within substantially all areas of financial reporting.</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 xml:space="preserve">Information and Communication. </w:t>
      </w:r>
      <w:r>
        <w:rPr>
          <w:rFonts w:ascii="Times New Roman" w:cs="Times New Roman" w:eastAsia="Times New Roman" w:hAnsi="Times New Roman"/>
          <w:sz w:val="15"/>
          <w:szCs w:val="15"/>
          <w:color w:val="auto"/>
        </w:rPr>
        <w:t>The Company did not design and implement effective information and communication activities and identified the following material weaknesses</w:t>
      </w:r>
      <w:r>
        <w:rPr>
          <w:rFonts w:ascii="Times New Roman" w:cs="Times New Roman" w:eastAsia="Times New Roman" w:hAnsi="Times New Roman"/>
          <w:sz w:val="15"/>
          <w:szCs w:val="15"/>
          <w:i w:val="1"/>
          <w:iCs w:val="1"/>
          <w:color w:val="auto"/>
        </w:rPr>
        <w:t>:</w:t>
      </w:r>
    </w:p>
    <w:p>
      <w:pPr>
        <w:spacing w:after="0" w:line="196" w:lineRule="exact"/>
        <w:rPr>
          <w:sz w:val="20"/>
          <w:szCs w:val="20"/>
          <w:color w:val="auto"/>
        </w:rPr>
      </w:pPr>
    </w:p>
    <w:p>
      <w:pPr>
        <w:jc w:val="both"/>
        <w:ind w:left="540" w:hanging="276"/>
        <w:spacing w:after="0" w:line="264" w:lineRule="auto"/>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p>
      <w:pPr>
        <w:spacing w:after="0" w:line="151"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have adequate processes and controls for communicating information among the accounting, finance, operations, and legal departments, necessary to support the proper functioning of internal controls.</w:t>
      </w:r>
    </w:p>
    <w:p>
      <w:pPr>
        <w:spacing w:after="0" w:line="130"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 xml:space="preserve">Monitoring Activities. </w:t>
      </w:r>
      <w:r>
        <w:rPr>
          <w:rFonts w:ascii="Times New Roman" w:cs="Times New Roman" w:eastAsia="Times New Roman" w:hAnsi="Times New Roman"/>
          <w:sz w:val="15"/>
          <w:szCs w:val="15"/>
          <w:color w:val="auto"/>
        </w:rPr>
        <w:t>The Company did not design and implement effective monitoring activities and identified the following material weaknesses: (i) failure to adequately monitor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spacing w:after="0" w:line="144"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These material weaknesses described in the paragraphs above contributed to material accounting errors identified and corrected during the audit of the Company’s financial statements. If we fail to adequately remediate these material weaknesses, there could be material misstatements that may not be prevented or detected.</w:t>
      </w:r>
    </w:p>
    <w:p>
      <w:pPr>
        <w:spacing w:after="0" w:line="134"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assure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9" w:name="page20"/>
    <w:bookmarkEnd w:id="19"/>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secured revolving credit facility and other agreements, or other material adverse effects on our business, reputation, results of operations, financial condition or liquidity.</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failure to prepare and timely file our periodic reports with the SEC limits our access to the public markets to raise debt or equity capital.</w:t>
      </w:r>
    </w:p>
    <w:p>
      <w:pPr>
        <w:spacing w:after="0" w:line="196"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We did not file our Annual Report on Form 10-K for the fiscal year ended December 29, 2024 within the timeframe required by the SEC, our Quarterly Report on Form 10-Q for the quarter ended September 28, 2025 or the amendment required to our Current Report originally filed on September 26, 2025 relating to the Sunder acquisition. Accordingly,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international trade policies, tariffs, or trade disputes could significantly and adversely affect our business, revenues, margins, results of operations, and cash flows.</w:t>
      </w:r>
    </w:p>
    <w:p>
      <w:pPr>
        <w:spacing w:after="0" w:line="192"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On February 7, 2018, safeguard tariffs on imported solar cells and modules (“</w:t>
      </w:r>
      <w:r>
        <w:rPr>
          <w:rFonts w:ascii="Times New Roman" w:cs="Times New Roman" w:eastAsia="Times New Roman" w:hAnsi="Times New Roman"/>
          <w:sz w:val="15"/>
          <w:szCs w:val="15"/>
          <w:b w:val="1"/>
          <w:bCs w:val="1"/>
          <w:color w:val="auto"/>
        </w:rPr>
        <w:t>CSPV</w:t>
      </w:r>
      <w:r>
        <w:rPr>
          <w:rFonts w:ascii="Times New Roman" w:cs="Times New Roman" w:eastAsia="Times New Roman" w:hAnsi="Times New Roman"/>
          <w:sz w:val="15"/>
          <w:szCs w:val="15"/>
          <w:color w:val="auto"/>
        </w:rPr>
        <w:t>”)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 w:cs="Times New Roman" w:eastAsia="Times New Roman" w:hAnsi="Times New Roman"/>
          <w:sz w:val="15"/>
          <w:szCs w:val="15"/>
          <w:b w:val="1"/>
          <w:bCs w:val="1"/>
          <w:color w:val="auto"/>
        </w:rPr>
        <w:t>International Trade Commission</w:t>
      </w:r>
      <w:r>
        <w:rPr>
          <w:rFonts w:ascii="Times New Roman" w:cs="Times New Roman" w:eastAsia="Times New Roman" w:hAnsi="Times New Roman"/>
          <w:sz w:val="15"/>
          <w:szCs w:val="15"/>
          <w:color w:val="auto"/>
        </w:rPr>
        <w:t>”). On February 4, 2022, President Biden issued Proclamation 10339 extending the existing safeguard measures on U.S. imports of CSPV products by an additional four years until February 6, 2026. Since 2022, modules are subject to a tariff rate of approximately 15%. Cells are subjected to a tariff-rate quota, under which the first 5 GW of cell imports each year will be exempt from tariffs, and cells imported after the 5 GW quota has been reached will be subject to the same 14.75% tariff as modules in the first year, with the same 0.25% decline in each of the three subsequent years. The tariff-free cell quota applies globally, without any allocation by country or region.</w:t>
      </w:r>
    </w:p>
    <w:p>
      <w:pPr>
        <w:spacing w:after="0" w:line="339"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tariffs could materially and adversely affect our business and results of operations. While solar cells and modules based on interdigitated back contact technology remain excluded from these safeguard tariffs, our solar products based on other technologies continue to be subject to the safeguard tariffs, which will remain in place until February 6, 2026. Although we are actively engaged in efforts to mitigate the effect of these tariffs, there is no guarantee that these efforts will be successful.</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20" w:name="page21"/>
    <w:bookmarkEnd w:id="20"/>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In addition to the safeguard action, which imposes additional duties and tariffs rate quotas on solar panel and cell imports from all sources, solar cells and panels from various countries are also subject to U.S. antidumping, and countervailing duty (AD/CVD) actions in the United States. The U.S. Department of Commerce (the “</w:t>
      </w:r>
      <w:r>
        <w:rPr>
          <w:rFonts w:ascii="Times New Roman" w:cs="Times New Roman" w:eastAsia="Times New Roman" w:hAnsi="Times New Roman"/>
          <w:sz w:val="15"/>
          <w:szCs w:val="15"/>
          <w:b w:val="1"/>
          <w:bCs w:val="1"/>
          <w:color w:val="auto"/>
        </w:rPr>
        <w:t>Department of Commerce</w:t>
      </w:r>
      <w:r>
        <w:rPr>
          <w:rFonts w:ascii="Times New Roman" w:cs="Times New Roman" w:eastAsia="Times New Roman" w:hAnsi="Times New Roman"/>
          <w:sz w:val="15"/>
          <w:szCs w:val="15"/>
          <w:color w:val="auto"/>
        </w:rPr>
        <w:t>”) maintains antidumping and countervailing duty orders on solar cells as well as panels produced in China. In 2022, the Department of Commerce found that solar product producers in Cambodia, Malaysia, Thailand, and Vietnam were circumventing the China AD/CVD actions. As a result, imports of solar products from these countries may be treated as if they are of Chinese origin and therefore subject to the aforementioned antidumping and countervailing duty orders. On June 6, 2022, President Biden issued an Executive Order allowing U.S. solar installers to import solar modules and cells from Cambodia, Malaysia, Thailand and Vietnam free from certain duties for 24 months, along with other incentives designed to accelerate U.S. domestic production of clean energy technologies. This moratorium ended in June 2024 and China-wide AD/CVD action now applies to imports from those countries that contain Chinese-origin inputs. Additionally, on December 29, 2023, Auxin and Concept Clean Energy, Inc. filed suit in the U.S. Court of International Trade challenging the legal basis for the moratorium and implementing regulations. Several motions have been filed to date, including a motion to dismiss by the U.S. government, which the court rejected. If the suit proves successful, solar module importers could owe retroactive duties on goods that have already cleared customs. In addition, on May 15, 2024 the Department of Commerce initiated antidumping and countervailing duty investigations of CSPV products from Cambodia, Malaysia, Thailand, and Vietnam. On October 1 and November 29, 2024, the Department of Commerce announced its preliminary affirmative determinations in the antidumping duty and countervailing duty investigations, respectively. The final determinations are scheduled to be announced on or before April 21, 2025</w:t>
      </w:r>
    </w:p>
    <w:p>
      <w:pPr>
        <w:spacing w:after="0" w:line="157"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Uncertainty surrounding the implications of existing tariffs affecting the U.S. solar market and potential trade tensions between the U.S. and other countries has caused and is likely to cause further market volatility, price fluctuations, supply shortages, and project delays, any of which could harm our business, and the pursuit of mitigating actions may divert substantial resources from other projects.</w:t>
      </w:r>
    </w:p>
    <w:p>
      <w:pPr>
        <w:spacing w:after="0" w:line="14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the company’s solar power products and greatly reduce our competitive advantage.</w:t>
      </w:r>
    </w:p>
    <w:p>
      <w:pPr>
        <w:spacing w:after="0" w:line="147"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Our business depends in part on the availability of rebates, tax credits and other financial incentives. The OBBBA has materially reduced the availability of these rebates, credits or incentives, which may adversely impact our business.</w:t>
      </w:r>
    </w:p>
    <w:p>
      <w:pPr>
        <w:spacing w:after="0" w:line="129"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spacing w:after="0" w:line="151"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The Inflation Reduction Act of 2022 (“</w:t>
      </w:r>
      <w:r>
        <w:rPr>
          <w:rFonts w:ascii="Times New Roman" w:cs="Times New Roman" w:eastAsia="Times New Roman" w:hAnsi="Times New Roman"/>
          <w:sz w:val="15"/>
          <w:szCs w:val="15"/>
          <w:b w:val="1"/>
          <w:bCs w:val="1"/>
          <w:color w:val="auto"/>
        </w:rPr>
        <w:t>IRA</w:t>
      </w:r>
      <w:r>
        <w:rPr>
          <w:rFonts w:ascii="Times New Roman" w:cs="Times New Roman" w:eastAsia="Times New Roman" w:hAnsi="Times New Roman"/>
          <w:sz w:val="15"/>
          <w:szCs w:val="15"/>
          <w:color w:val="auto"/>
        </w:rPr>
        <w:t>”) extended and modified prior law applicable to U.S. federal tax credits that are available with respect to solar energy systems. Under the IRA, the following tax credits were generally available: (i) a production tax credit under Code Section 45 (for facilities that began construction before January 1, 2025) and Code Section 45Y (for facilities that are placed in service after December 31, 2024) (the “</w:t>
      </w:r>
      <w:r>
        <w:rPr>
          <w:rFonts w:ascii="Times New Roman" w:cs="Times New Roman" w:eastAsia="Times New Roman" w:hAnsi="Times New Roman"/>
          <w:sz w:val="15"/>
          <w:szCs w:val="15"/>
          <w:b w:val="1"/>
          <w:bCs w:val="1"/>
          <w:color w:val="auto"/>
        </w:rPr>
        <w:t>PTC</w:t>
      </w:r>
      <w:r>
        <w:rPr>
          <w:rFonts w:ascii="Times New Roman" w:cs="Times New Roman" w:eastAsia="Times New Roman" w:hAnsi="Times New Roman"/>
          <w:sz w:val="15"/>
          <w:szCs w:val="15"/>
          <w:color w:val="auto"/>
        </w:rPr>
        <w:t>”) with respect to electricity produced from certain qualifying facilities, (ii) an investment tax credit under Code Section 48 (for facilities that began construction before January 1, 2025) and Code Section 48E (for facilities that are placed in service after December 31, 2024) (the “</w:t>
      </w:r>
      <w:r>
        <w:rPr>
          <w:rFonts w:ascii="Times New Roman" w:cs="Times New Roman" w:eastAsia="Times New Roman" w:hAnsi="Times New Roman"/>
          <w:sz w:val="15"/>
          <w:szCs w:val="15"/>
          <w:b w:val="1"/>
          <w:bCs w:val="1"/>
          <w:color w:val="auto"/>
        </w:rPr>
        <w:t>ITC</w:t>
      </w:r>
      <w:r>
        <w:rPr>
          <w:rFonts w:ascii="Times New Roman" w:cs="Times New Roman" w:eastAsia="Times New Roman" w:hAnsi="Times New Roman"/>
          <w:sz w:val="15"/>
          <w:szCs w:val="15"/>
          <w:color w:val="auto"/>
        </w:rPr>
        <w:t>”) in connection with the installation of certain solar facilities and energy storage technology, and (iii) a residential clean energy credit (the “</w:t>
      </w:r>
      <w:r>
        <w:rPr>
          <w:rFonts w:ascii="Times New Roman" w:cs="Times New Roman" w:eastAsia="Times New Roman" w:hAnsi="Times New Roman"/>
          <w:sz w:val="15"/>
          <w:szCs w:val="15"/>
          <w:b w:val="1"/>
          <w:bCs w:val="1"/>
          <w:color w:val="auto"/>
        </w:rPr>
        <w:t>Section 25D Credit</w:t>
      </w:r>
      <w:r>
        <w:rPr>
          <w:rFonts w:ascii="Times New Roman" w:cs="Times New Roman" w:eastAsia="Times New Roman" w:hAnsi="Times New Roman"/>
          <w:sz w:val="15"/>
          <w:szCs w:val="15"/>
          <w:color w:val="auto"/>
        </w:rPr>
        <w:t>”) in connection with the installation of qualifying property that uses solar energy to generate electricity for residential use.</w:t>
      </w:r>
    </w:p>
    <w:p>
      <w:pPr>
        <w:spacing w:after="0" w:line="149"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July 4, 2025, the One Big Beautiful Bill Act (the “</w:t>
      </w:r>
      <w:r>
        <w:rPr>
          <w:rFonts w:ascii="Times New Roman" w:cs="Times New Roman" w:eastAsia="Times New Roman" w:hAnsi="Times New Roman"/>
          <w:sz w:val="15"/>
          <w:szCs w:val="15"/>
          <w:b w:val="1"/>
          <w:bCs w:val="1"/>
          <w:color w:val="auto"/>
        </w:rPr>
        <w:t>OBBBA</w:t>
      </w:r>
      <w:r>
        <w:rPr>
          <w:rFonts w:ascii="Times New Roman" w:cs="Times New Roman" w:eastAsia="Times New Roman" w:hAnsi="Times New Roman"/>
          <w:sz w:val="15"/>
          <w:szCs w:val="15"/>
          <w:color w:val="auto"/>
        </w:rPr>
        <w:t>”) was enacted and significantly modified the IRA’s clean energy incentive framework by accelerating the termination of certain credits and adding new eligibility restrictions and compliance burdens. The OBBBA effectively repealed, on an accelerated timeline, key federal tax incentives for solar projects by curtailing eligibility for the clean electricity PTC and ITC for applicable solar facilities placed in service after December 31, 2027 (subject to grandfathering for projects that begin construction by July 4, 2026) and by terminating the Section 25D Credit after 2025.</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21" w:name="page22"/>
    <w:bookmarkEnd w:id="21"/>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With respect to the PTC, solar energy projects that began construction before January 1, 2025 generally remain eligible for the PTC under Section 45 (as amended by the IRA) and generally are not subject to the accelerated phaseouts or other limitations introduced by the OBBBA. The PTC available to a taxpayer in 2024 and prior taxable years under Code Section 45 generally is equal to a certain rate multiplied by the kilowatt hours of electricity produced by the taxpayer from solar energy at a facility owned by it and sold to an unrelated party during that taxable year. The base rates for the PTC under Code Section 45 is 0.3 cents (adjusted for inflation). This rate is increased five times to 1.5 cents (adjusted for inflation) for projects that (i) have a maximum net output of less than one megawatt (measured in alternating current), (ii) begin construction before January 29, 2023, and (iii) meet certain prevailing wage and apprenticeship requirements. It also may be increased for projects that include a certain percentage of components produced in the U.S. and projects that are located in certain energy communities, in each case subject to applicable requirements and IRS guidance.</w:t>
      </w:r>
    </w:p>
    <w:p>
      <w:pPr>
        <w:spacing w:after="0" w:line="154"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PTC under Code Section 45Y, the successor to Code Section 45 that is applicable for facilities placed in service after December 31, 2024, generally is similar to the PTC under Code Section 45 but includes certain different terms and qualification requirements. The PTC amount under Code Section 45Y generally is equal to the PTC outlined above for Code Section 45, including the availability of the same increased credit rates under the same circumstances. The PTC under Code Section 45Y applies to kilowatt hours of electricity produced at a “qualified facility,” which generally is a facility, such as a solar energy facility, that generates electricity and has a greenhouse gas emission rate that is not greater than zero.</w:t>
      </w:r>
    </w:p>
    <w:p>
      <w:pPr>
        <w:spacing w:after="0" w:line="151"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Under the OBBBA, solar facilities that begin construction after July 4, 2026 (one year after enactment of the OBBBA) are ineligible for the Code Section 45Y credit if placed in service after December 31, 2027. Facilities that begin construction prior to July 4, 2026 are not subject to this accelerated placed-in-service deadline. In addition, IRS guidance interpreting these OBBBA termination provisions imposes more stringent “beginning of construction” requirements, increasing the risk that projects may fail to qualify if development timelines slip or if the taxpayer cannot satisfy the applicable standards. Moreover, the OBBBA denies the Code Section 45Y for certain leased residential solar water heating property (while generally excluding leased solar electric generating property from that denial). Under the IRA, the Section 45Y credit would have begun to phaseout the later of (i) the first calendar year after 2032 and (ii) when the annual greenhouse gas emissions rate fell below a certain threshold. A facility is not eligible for the PTC under Code Section 45Y if a tax credit already is allowed with respect to the facility under Code Section 45, 48 or 48E (or certain other tax credit provisions) for the taxable year or any prior taxable year.</w:t>
      </w:r>
    </w:p>
    <w:p>
      <w:pPr>
        <w:spacing w:after="0" w:line="154"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With respect to the ITC, solar energy projects that began construction before January 1, 2025 generally remain eligible for the ITC under Section 48 and are not subject to the accelerated phaseouts or other limitations introduced by the OBBBA. The ITC available under Code Section 48E is the successor provision of Code Section 48 and is applicable for investments in facilities placed in service after December 31, 2024. The ITC under Code Section 48E generally is similar to the ITC outlined above under Code Section 48 in structure, including generally providing for the same increased credit rates under the same circumstances. The ITC under Code Section 48E applies to investments in a “qualified facility” and “energy storage technology”. A “qualified facility” for these purposes generally is the same as described above for the PTC under Code Section 45Y and “energy storage technology” is defined by reference to such term in Code Section 48.</w:t>
      </w:r>
    </w:p>
    <w:p>
      <w:pPr>
        <w:spacing w:after="0" w:line="153"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Similar to Section 45Y, solar facilities that begin construction after July 4, 2026 (one year after enactment) are ineligible for the Section 48E credit if placed in service after December 31, 2027. This placed-in-service deadline would not apply to energy storage technology. Moreover, the OBBBA denies the Code Section 48E for certain leased residential solar water heating property (while generally excluding leased solar electric generating property from that denial). Under the IRA, the Section 48E credit would have begun to phaseout the later of (i) the first calendar year after 2032 and (ii) when the annual greenhouse gas emissions rate fell below a certain threshold. The ITC under Code Section 48E is subject to recapture if the Internal Revenue Service determines that the greenhouse gas emissions rate for the facility exceeds a certain threshold. A facility is not eligible for the ITC under Code Section 48E if a tax credit already is allowed with respect to the facility under Code Section 45, 45Y or 48 (or certain other tax credit provisions) for the taxable year or any prior taxable year.</w:t>
      </w:r>
    </w:p>
    <w:p>
      <w:pPr>
        <w:spacing w:after="0" w:line="340"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Under the IRA, the Section 25D Credit available to a taxpayer is equal to the “applicable percentage” of expenditures for property that uses solar energy to generate electricity for use in a dwelling unit located in the U.S. and used as a residence by the taxpayer. The applicable percentage is 26% for such systems that are placed in service before January 1, 2022 and 30% for such systems that are placed in service after December 31, 2021. As modified by the OBBBA, the Section 25D Credit terminated with respect to expenditures made after December 31, 2025, and an expenditure generally is treated as made when the original installation of the property is completed (or, in certain cases, when construction or reconstruction is completed and the taxpayer’s original use of the structure begins). The unavailability of the Section 25D Credit for systems when installation is completed after December 31, 2025 likely will impact the prices of our solar energy systems and overall value proposition our solar systems provide to customers.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22" w:name="page23"/>
    <w:bookmarkEnd w:id="22"/>
    <w:p>
      <w:pPr>
        <w:jc w:val="both"/>
        <w:ind w:left="9" w:firstLine="273"/>
        <w:spacing w:after="0" w:line="264" w:lineRule="auto"/>
        <w:rPr>
          <w:sz w:val="20"/>
          <w:szCs w:val="20"/>
          <w:color w:val="auto"/>
        </w:rPr>
      </w:pPr>
      <w:r>
        <w:rPr>
          <w:rFonts w:ascii="Times New Roman" w:cs="Times New Roman" w:eastAsia="Times New Roman" w:hAnsi="Times New Roman"/>
          <w:sz w:val="15"/>
          <w:szCs w:val="15"/>
          <w:color w:val="auto"/>
        </w:rPr>
        <w:t>The OBBBA has materially reduced the governmental incentives available to participants in the solar industry, which is likely to adversely affect the results of our operations and our ability to compete in this industry by increasing the cost of capital, causing us to increase the prices of our energy and solar energy systems and reduce the size of our addressable market. Even where incentives remain available, evolving statutory requirements and administrative guidance may create uncertainty, increase compliance costs, and delay or reduce tax credit financing, which could disrupt project timelines and harm our liquidity.</w:t>
      </w:r>
    </w:p>
    <w:p>
      <w:pPr>
        <w:spacing w:after="0" w:line="151" w:lineRule="exact"/>
        <w:rPr>
          <w:sz w:val="20"/>
          <w:szCs w:val="20"/>
          <w:color w:val="auto"/>
        </w:rPr>
      </w:pPr>
    </w:p>
    <w:p>
      <w:pPr>
        <w:jc w:val="both"/>
        <w:ind w:left="9" w:firstLine="273"/>
        <w:spacing w:after="0" w:line="259" w:lineRule="auto"/>
        <w:rPr>
          <w:sz w:val="20"/>
          <w:szCs w:val="20"/>
          <w:color w:val="auto"/>
        </w:rPr>
      </w:pPr>
      <w:r>
        <w:rPr>
          <w:rFonts w:ascii="Times New Roman" w:cs="Times New Roman" w:eastAsia="Times New Roman" w:hAnsi="Times New Roman"/>
          <w:sz w:val="15"/>
          <w:szCs w:val="15"/>
          <w:color w:val="auto"/>
        </w:rPr>
        <w:t>Moreover, the U.S. federal tax credits discussed above have complex legal and operational requirements, including with respect to “beginning of construction” and placed-in-service requirements. There also may be uncertainty as to how such requirements promulgated under the IRA or the OBBBA are interpreted. If Internal Revenue Service guidance regarding implementation of the IRA or the OBBBA is viewed by investors as unclear, tax credit financing may be delayed or downsized, harming our ability to secure financing for customers. Our failure to either (i) interpret the new requirements under the IRA and the OBBBA regarding among other things, timing of construction, prevailing wage, apprenticeship, domestic content, siting in an “energy community,” accurately or (ii) adequately update our supply-chain, manufacturing, installation, and record-keeping processes to meet such requirements, may result a partial or full reduction in the related U.S. federal tax benefit, and our customers, financiers and shareholders may require us to indemnify them for certain of such reductions.</w:t>
      </w:r>
    </w:p>
    <w:p>
      <w:pPr>
        <w:spacing w:after="0" w:line="336" w:lineRule="exact"/>
        <w:rPr>
          <w:sz w:val="20"/>
          <w:szCs w:val="20"/>
          <w:color w:val="auto"/>
        </w:rPr>
      </w:pPr>
    </w:p>
    <w:p>
      <w:pPr>
        <w:jc w:val="both"/>
        <w:ind w:left="9"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We are an “emerging growth company” and a “smaller reporting company” and we cannot be certain if the reduced reporting requirements applicable to these companies will make our common stock less attractive to investors.</w:t>
      </w:r>
    </w:p>
    <w:p>
      <w:pPr>
        <w:spacing w:after="0" w:line="129" w:lineRule="exact"/>
        <w:rPr>
          <w:sz w:val="20"/>
          <w:szCs w:val="20"/>
          <w:color w:val="auto"/>
        </w:rPr>
      </w:pPr>
    </w:p>
    <w:p>
      <w:pPr>
        <w:jc w:val="both"/>
        <w:ind w:left="9" w:firstLine="273"/>
        <w:spacing w:after="0" w:line="287"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spacing w:after="0" w:line="130" w:lineRule="exact"/>
        <w:rPr>
          <w:sz w:val="20"/>
          <w:szCs w:val="20"/>
          <w:color w:val="auto"/>
        </w:rPr>
      </w:pPr>
    </w:p>
    <w:p>
      <w:pPr>
        <w:ind w:left="549" w:hanging="276"/>
        <w:spacing w:after="0"/>
        <w:tabs>
          <w:tab w:leader="none" w:pos="54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the auditor attestation requirements of Section 404 of the Sarbanes-Oxley Act of 2002, as amended (the “</w:t>
      </w:r>
      <w:r>
        <w:rPr>
          <w:rFonts w:ascii="Times New Roman" w:cs="Times New Roman" w:eastAsia="Times New Roman" w:hAnsi="Times New Roman"/>
          <w:sz w:val="15"/>
          <w:szCs w:val="15"/>
          <w:b w:val="1"/>
          <w:bCs w:val="1"/>
          <w:color w:val="auto"/>
        </w:rPr>
        <w:t>Sarbanes-Oxley Act</w:t>
      </w:r>
      <w:r>
        <w:rPr>
          <w:rFonts w:ascii="Times New Roman" w:cs="Times New Roman" w:eastAsia="Times New Roman" w:hAnsi="Times New Roman"/>
          <w:sz w:val="15"/>
          <w:szCs w:val="15"/>
          <w:color w:val="auto"/>
        </w:rPr>
        <w:t>”);</w:t>
      </w:r>
    </w:p>
    <w:p>
      <w:pPr>
        <w:spacing w:after="0" w:line="191" w:lineRule="exact"/>
        <w:rPr>
          <w:rFonts w:ascii="Times New Roman" w:cs="Times New Roman" w:eastAsia="Times New Roman" w:hAnsi="Times New Roman"/>
          <w:sz w:val="15"/>
          <w:szCs w:val="15"/>
          <w:color w:val="auto"/>
        </w:rPr>
      </w:pPr>
    </w:p>
    <w:p>
      <w:pPr>
        <w:ind w:left="549" w:hanging="276"/>
        <w:spacing w:after="0" w:line="293" w:lineRule="auto"/>
        <w:tabs>
          <w:tab w:leader="none" w:pos="54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any requirement that may be adopted by the Public Company Accounting Oversight Board (the “</w:t>
      </w:r>
      <w:r>
        <w:rPr>
          <w:rFonts w:ascii="Times New Roman" w:cs="Times New Roman" w:eastAsia="Times New Roman" w:hAnsi="Times New Roman"/>
          <w:sz w:val="15"/>
          <w:szCs w:val="15"/>
          <w:b w:val="1"/>
          <w:bCs w:val="1"/>
          <w:color w:val="auto"/>
        </w:rPr>
        <w:t>PCAOB</w:t>
      </w:r>
      <w:r>
        <w:rPr>
          <w:rFonts w:ascii="Times New Roman" w:cs="Times New Roman" w:eastAsia="Times New Roman" w:hAnsi="Times New Roman"/>
          <w:sz w:val="15"/>
          <w:szCs w:val="15"/>
          <w:color w:val="auto"/>
        </w:rPr>
        <w:t>”) regarding mandatory audit firm rotation or a supplement to the auditor’s report providing additional information about the audit and the financial statements;</w:t>
      </w:r>
    </w:p>
    <w:p>
      <w:pPr>
        <w:spacing w:after="0" w:line="129" w:lineRule="exact"/>
        <w:rPr>
          <w:rFonts w:ascii="Times New Roman" w:cs="Times New Roman" w:eastAsia="Times New Roman" w:hAnsi="Times New Roman"/>
          <w:sz w:val="15"/>
          <w:szCs w:val="15"/>
          <w:color w:val="auto"/>
        </w:rPr>
      </w:pPr>
    </w:p>
    <w:p>
      <w:pPr>
        <w:ind w:left="549" w:hanging="276"/>
        <w:spacing w:after="0"/>
        <w:tabs>
          <w:tab w:leader="none" w:pos="54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 in our periodic reports and proxy statements; and</w:t>
      </w:r>
    </w:p>
    <w:p>
      <w:pPr>
        <w:spacing w:after="0" w:line="191" w:lineRule="exact"/>
        <w:rPr>
          <w:rFonts w:ascii="Times New Roman" w:cs="Times New Roman" w:eastAsia="Times New Roman" w:hAnsi="Times New Roman"/>
          <w:sz w:val="15"/>
          <w:szCs w:val="15"/>
          <w:color w:val="auto"/>
        </w:rPr>
      </w:pPr>
    </w:p>
    <w:p>
      <w:pPr>
        <w:ind w:left="549" w:hanging="276"/>
        <w:spacing w:after="0" w:line="287" w:lineRule="auto"/>
        <w:tabs>
          <w:tab w:leader="none" w:pos="54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exemptions from the requirements of holding nonbinding advisory stockholder votes on executive compensation and stockholder approval of any golden parachute payments not previously approved.</w:t>
      </w:r>
    </w:p>
    <w:p>
      <w:pPr>
        <w:spacing w:after="0" w:line="134" w:lineRule="exact"/>
        <w:rPr>
          <w:sz w:val="20"/>
          <w:szCs w:val="20"/>
          <w:color w:val="auto"/>
        </w:rPr>
      </w:pPr>
    </w:p>
    <w:p>
      <w:pPr>
        <w:jc w:val="both"/>
        <w:ind w:left="9" w:firstLine="273"/>
        <w:spacing w:after="0" w:line="264" w:lineRule="auto"/>
        <w:rPr>
          <w:sz w:val="20"/>
          <w:szCs w:val="20"/>
          <w:color w:val="auto"/>
        </w:rPr>
      </w:pPr>
      <w:r>
        <w:rPr>
          <w:rFonts w:ascii="Times New Roman" w:cs="Times New Roman" w:eastAsia="Times New Roman" w:hAnsi="Times New Roman"/>
          <w:sz w:val="15"/>
          <w:szCs w:val="15"/>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spacing w:after="0" w:line="151"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We will remain an emerging growth company until the earliest to occur of: (1) the last day of the fiscal year in which we have at least $1.235 billion in total annual gross revenues;</w:t>
      </w:r>
    </w:p>
    <w:p>
      <w:pPr>
        <w:spacing w:after="0" w:line="25" w:lineRule="exact"/>
        <w:rPr>
          <w:sz w:val="20"/>
          <w:szCs w:val="20"/>
          <w:color w:val="auto"/>
        </w:rPr>
      </w:pPr>
    </w:p>
    <w:p>
      <w:pPr>
        <w:ind w:left="9" w:hanging="9"/>
        <w:spacing w:after="0" w:line="266" w:lineRule="auto"/>
        <w:tabs>
          <w:tab w:leader="none" w:pos="224"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33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23" w:name="page24"/>
    <w:bookmarkEnd w:id="23"/>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Even after we no longer qualify as an emerging growth company, we may still qualify as a “smaller reporting company,” as defined in the Exchange Act, which generally would allow us to continue to take advantage of many of the same exemptions from disclosure requirements, including providing only two years of audited financial statements, not being required to comply with the auditor attestation requirements of Section 404 of the Sarbanes-Oxley Act and reduced disclosure obligations regarding executive compensation our periodic reports and proxy statements, unless we are also an accelerated filer, in which case different requirements will apply.</w:t>
      </w:r>
    </w:p>
    <w:p>
      <w:pPr>
        <w:spacing w:after="0" w:line="151"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spacing w:after="0" w:line="130"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Macroeconomic conditions in our domestic and international markets, as well as inflation concerns, instability of financial institutions, rising interest rates, and recessionary concerns may adversely affect our industry, business and financial results.</w:t>
      </w:r>
    </w:p>
    <w:p>
      <w:pPr>
        <w:spacing w:after="0" w:line="129"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Our business depends on the overall demand for our solar energy products and on the economic health and willingness of our customers and potential customers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spacing w:after="0" w:line="151"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In the past, unfavorable macroeconomic and market conditions have resulted in sustained periods of decreased demand. 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spacing w:after="0" w:line="146" w:lineRule="exact"/>
        <w:rPr>
          <w:sz w:val="20"/>
          <w:szCs w:val="20"/>
          <w:color w:val="auto"/>
        </w:rPr>
      </w:pPr>
    </w:p>
    <w:p>
      <w:pPr>
        <w:ind w:left="540" w:hanging="276"/>
        <w:spacing w:after="0" w:line="287" w:lineRule="auto"/>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demand for our products as a result of constraints on spending for solar energy systems by our customers and/or a reduction in government subsidies for renewable energy investments;</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price competition for our products that may adversely affect revenue, gross margin and profitability;</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introduction of any disadvantageous trade regulations and import tariffs;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ability to forecast operating results and make decisions about budgeting, planning and future investments;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 in the popularity of solar energy as a green energy solution;</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overhead and production costs as a percentage of revenue.</w:t>
      </w:r>
    </w:p>
    <w:p>
      <w:pPr>
        <w:spacing w:after="0" w:line="192" w:lineRule="exact"/>
        <w:rPr>
          <w:sz w:val="20"/>
          <w:szCs w:val="20"/>
          <w:color w:val="auto"/>
        </w:rPr>
      </w:pPr>
    </w:p>
    <w:p>
      <w:pPr>
        <w:ind w:right="20" w:firstLine="273"/>
        <w:spacing w:after="0" w:line="287" w:lineRule="auto"/>
        <w:rPr>
          <w:sz w:val="20"/>
          <w:szCs w:val="20"/>
          <w:color w:val="auto"/>
        </w:rPr>
      </w:pPr>
      <w:r>
        <w:rPr>
          <w:rFonts w:ascii="Times New Roman" w:cs="Times New Roman" w:eastAsia="Times New Roman" w:hAnsi="Times New Roman"/>
          <w:sz w:val="15"/>
          <w:szCs w:val="15"/>
          <w:color w:val="auto"/>
        </w:rPr>
        <w:t>Reductions in customer spending in response to unfavorable or uncertain macroeconomic and market conditions, globally or in a particular region where we operate, would adversely affect our business, results of operations and financial condition.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24" w:name="page25"/>
    <w:bookmarkEnd w:id="24"/>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Existing regulations and policies, including trade policies and tariffs, and changes to these regulations and policies, including changes to trade policies and tariffs, may present technical, regulatory, and economic barriers to the purchase and use of solar power products, which may significantly reduce demand for our products and services.</w:t>
      </w:r>
    </w:p>
    <w:p>
      <w:pPr>
        <w:spacing w:after="0" w:line="129" w:lineRule="exact"/>
        <w:rPr>
          <w:sz w:val="20"/>
          <w:szCs w:val="20"/>
          <w:color w:val="auto"/>
        </w:rPr>
      </w:pPr>
    </w:p>
    <w:p>
      <w:pPr>
        <w:jc w:val="both"/>
        <w:ind w:firstLine="273"/>
        <w:spacing w:after="0" w:line="255" w:lineRule="auto"/>
        <w:rPr>
          <w:sz w:val="20"/>
          <w:szCs w:val="20"/>
          <w:color w:val="auto"/>
        </w:rPr>
      </w:pPr>
      <w:r>
        <w:rPr>
          <w:rFonts w:ascii="Times New Roman" w:cs="Times New Roman" w:eastAsia="Times New Roman" w:hAnsi="Times New Roman"/>
          <w:sz w:val="15"/>
          <w:szCs w:val="15"/>
          <w:color w:val="auto"/>
        </w:rPr>
        <w:t>The market for electric generation products is heavily influenced by federal, state and local government laws, geopolitical forces (such as trade policies and tariffs),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trade and policy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geopolitics, trade and local content laws, policies and tariffs,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We cannot predict what actions may be taken by the United States or other countries with respect to trade policies and tariffs or with respect to other policies and incentives that impact the solar industry, or that promote other forms of energy production over the solar industry. Any new regulations or policies pertaining our solar power products may result in significant additional expenses for our customers, which could cause a significant reduction in demand for our solar power products.</w:t>
      </w:r>
    </w:p>
    <w:p>
      <w:pPr>
        <w:spacing w:after="0" w:line="343"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29"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spacing w:after="0" w:line="154"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25" w:name="page26"/>
    <w:bookmarkEnd w:id="25"/>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In California, the California Public Utilities Commission (“</w:t>
      </w:r>
      <w:r>
        <w:rPr>
          <w:rFonts w:ascii="Times New Roman" w:cs="Times New Roman" w:eastAsia="Times New Roman" w:hAnsi="Times New Roman"/>
          <w:sz w:val="15"/>
          <w:szCs w:val="15"/>
          <w:b w:val="1"/>
          <w:bCs w:val="1"/>
          <w:color w:val="auto"/>
        </w:rPr>
        <w:t>CPUC</w:t>
      </w:r>
      <w:r>
        <w:rPr>
          <w:rFonts w:ascii="Times New Roman" w:cs="Times New Roman" w:eastAsia="Times New Roman" w:hAnsi="Times New Roman"/>
          <w:sz w:val="15"/>
          <w:szCs w:val="15"/>
          <w:color w:val="auto"/>
        </w:rPr>
        <w:t>”) issued an order in 2016 retaining retail-based net metering credits for residential customers of California’s major utilities as part of Net Energy Metering 2.0 (“</w:t>
      </w:r>
      <w:r>
        <w:rPr>
          <w:rFonts w:ascii="Times New Roman" w:cs="Times New Roman" w:eastAsia="Times New Roman" w:hAnsi="Times New Roman"/>
          <w:sz w:val="15"/>
          <w:szCs w:val="15"/>
          <w:b w:val="1"/>
          <w:bCs w:val="1"/>
          <w:color w:val="auto"/>
        </w:rPr>
        <w:t>NEM 2.0</w:t>
      </w:r>
      <w:r>
        <w:rPr>
          <w:rFonts w:ascii="Times New Roman" w:cs="Times New Roman" w:eastAsia="Times New Roman" w:hAnsi="Times New Roman"/>
          <w:sz w:val="15"/>
          <w:szCs w:val="15"/>
          <w:color w:val="auto"/>
        </w:rPr>
        <w:t>”). Under NEM 2.0, new distributed generation customers receive the retail rate for electricity exported to the grid, less certain non-by 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 w:cs="Times New Roman" w:eastAsia="Times New Roman" w:hAnsi="Times New Roman"/>
          <w:sz w:val="15"/>
          <w:szCs w:val="15"/>
          <w:b w:val="1"/>
          <w:bCs w:val="1"/>
          <w:color w:val="auto"/>
        </w:rPr>
        <w:t>NEM 3.0</w:t>
      </w:r>
      <w:r>
        <w:rPr>
          <w:rFonts w:ascii="Times New Roman" w:cs="Times New Roman" w:eastAsia="Times New Roman" w:hAnsi="Times New Roman"/>
          <w:sz w:val="15"/>
          <w:szCs w:val="15"/>
          <w:color w:val="auto"/>
        </w:rPr>
        <w:t>”), also referred to by the CPUC as the NEM 2.0 successor tariff. NEM 3.0 was finalized on December 15, 2022 and includes several changes from previous net metering plans. The changes instituted by NEM 3.0 impacted the amount that homeowners with solar power will be able to recuperate when selling excess energy back to the utility grid. With NEM 3.0, the value of the credits for net exports are tied to the state’s Distributed Energy Resources Avoided Cost Calculator Documentation (“</w:t>
      </w:r>
      <w:r>
        <w:rPr>
          <w:rFonts w:ascii="Times New Roman" w:cs="Times New Roman" w:eastAsia="Times New Roman" w:hAnsi="Times New Roman"/>
          <w:sz w:val="15"/>
          <w:szCs w:val="15"/>
          <w:b w:val="1"/>
          <w:bCs w:val="1"/>
          <w:color w:val="auto"/>
        </w:rPr>
        <w:t>ACC</w:t>
      </w:r>
      <w:r>
        <w:rPr>
          <w:rFonts w:ascii="Times New Roman" w:cs="Times New Roman" w:eastAsia="Times New Roman" w:hAnsi="Times New Roman"/>
          <w:sz w:val="15"/>
          <w:szCs w:val="15"/>
          <w:color w:val="auto"/>
        </w:rPr>
        <w:t>”). Another significant change with NEM 3.0 relates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 Overall, the institution on NEM 3.0 has resulted in a smaller market for residential solar systems and it is not certain that market conditions will improve or that NEM 3.0 will be amended or replaced with a more solar-friendly rate structure. Other states may adopt policies similar to NEM 3.0 that cause deterioration to other residential solar markets.</w:t>
      </w:r>
    </w:p>
    <w:p>
      <w:pPr>
        <w:spacing w:after="0" w:line="157"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b w:val="1"/>
          <w:bCs w:val="1"/>
          <w:i w:val="1"/>
          <w:iCs w:val="1"/>
          <w:color w:val="auto"/>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p>
      <w:pPr>
        <w:spacing w:after="0" w:line="144"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purchase solar panels, inverters and other system components from a limited number of suppliers for certain components, which makes us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spacing w:after="0" w:line="151"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In particular, there are a limited number of inverter and battery suppliers. Once we design a system for use with a particular inverter or battery, if that type of inverter or battery is not readily available at an anticipated price, we may incur additional delay and expense to redesign the system and source alternative inventory.</w:t>
      </w:r>
    </w:p>
    <w:p>
      <w:pPr>
        <w:spacing w:after="0" w:line="134"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spacing w:after="0" w:line="33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its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26" w:name="page27"/>
    <w:bookmarkEnd w:id="26"/>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business substantially focuses on solar service agreements and transactions with residential customers</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Our business substantially focuses on solar service agreements and transactions with residential customers. Our energy system sales to homeowners utilize power purchase agreements (“</w:t>
      </w:r>
      <w:r>
        <w:rPr>
          <w:rFonts w:ascii="Times New Roman" w:cs="Times New Roman" w:eastAsia="Times New Roman" w:hAnsi="Times New Roman"/>
          <w:sz w:val="15"/>
          <w:szCs w:val="15"/>
          <w:b w:val="1"/>
          <w:bCs w:val="1"/>
          <w:color w:val="auto"/>
        </w:rPr>
        <w:t>PPAs</w:t>
      </w:r>
      <w:r>
        <w:rPr>
          <w:rFonts w:ascii="Times New Roman" w:cs="Times New Roman" w:eastAsia="Times New Roman" w:hAnsi="Times New Roman"/>
          <w:sz w:val="15"/>
          <w:szCs w:val="15"/>
          <w:color w:val="auto"/>
        </w:rPr>
        <w:t>”), leases, loans and other products and services. We currently offer PPAs and leases through LightReach, Mosaic, EverBright, LLC, and other financial institutions. If we were unable to arrange new or alternative financing methods for PPAs and leases on favorable terms, our business, financial condition, results of operations, and prospects could be materially and adversely affected.</w:t>
      </w:r>
    </w:p>
    <w:p>
      <w:pPr>
        <w:spacing w:after="0" w:line="147"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If we fail to manage operations and growth effectively, we may be unable to execute our business plan, maintain high levels of customer service or adequately address competitive challenges.</w:t>
      </w:r>
    </w:p>
    <w:p>
      <w:pPr>
        <w:spacing w:after="0" w:line="129"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have experienced significant growth in recent periods as measured by our number of customers; we intend to continue efforts to expand our business within existing and new markets. This growth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spacing w:after="0" w:line="151"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spacing w:after="0" w:line="14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have incurred losses and may be unable to achieve or sustain profitability in the future.</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We generated net losses of $16.9 million in the thirteen weeks ended September 28, 2025, and we have incurred net losses in the past, including $56.5 million in the fiscal year ended December 29, 2024. We have an accumulated deficit of $442.6 million as of September 28, 2025. Additionally, as of September 28, 2025, we had long-term indebtedness of $182.8 million.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spacing w:after="0" w:line="153" w:lineRule="exact"/>
        <w:rPr>
          <w:sz w:val="20"/>
          <w:szCs w:val="20"/>
          <w:color w:val="auto"/>
        </w:rPr>
      </w:pPr>
    </w:p>
    <w:p>
      <w:pPr>
        <w:ind w:left="540" w:hanging="276"/>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Growing the customer base;</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or further lowering the cost of capital;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27" w:name="page28"/>
    <w:bookmarkEnd w:id="27"/>
    <w:p>
      <w:pPr>
        <w:ind w:left="540" w:hanging="276"/>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the cost of components for our solar service offerings;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Growing and maintaining our sales partner network;</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Growing our direct-to-consumer and New Homes business to scale; and</w:t>
      </w:r>
    </w:p>
    <w:p>
      <w:pPr>
        <w:spacing w:after="0" w:line="191" w:lineRule="exact"/>
        <w:rPr>
          <w:rFonts w:ascii="Times New Roman" w:cs="Times New Roman" w:eastAsia="Times New Roman" w:hAnsi="Times New Roman"/>
          <w:sz w:val="15"/>
          <w:szCs w:val="15"/>
          <w:color w:val="auto"/>
        </w:rPr>
      </w:pPr>
    </w:p>
    <w:p>
      <w:pPr>
        <w:ind w:left="260" w:right="1920" w:firstLine="4"/>
        <w:spacing w:after="0" w:line="503" w:lineRule="auto"/>
        <w:tabs>
          <w:tab w:leader="none" w:pos="533"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operating costs by lowering customer acquisition costs and optimizing our design and installation processes and supply chain logistics. Even if we do achieve profitability, we may be unable to sustain or increase profitability in the future.</w:t>
      </w:r>
    </w:p>
    <w:p>
      <w:pPr>
        <w:spacing w:after="0" w:line="1" w:lineRule="exact"/>
        <w:rPr>
          <w:sz w:val="20"/>
          <w:szCs w:val="20"/>
          <w:color w:val="auto"/>
        </w:rPr>
      </w:pPr>
    </w:p>
    <w:p>
      <w:pPr>
        <w:ind w:right="20"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A material drop in the retail price of utility-generated electricity or electricity from other sources could adversely impact our ability to attract customers, which would harm our business, financial condition, and results of operations.</w:t>
      </w:r>
    </w:p>
    <w:p>
      <w:pPr>
        <w:spacing w:after="0" w:line="129" w:lineRule="exact"/>
        <w:rPr>
          <w:sz w:val="20"/>
          <w:szCs w:val="20"/>
          <w:color w:val="auto"/>
        </w:rPr>
      </w:pPr>
    </w:p>
    <w:p>
      <w:pPr>
        <w:ind w:firstLine="273"/>
        <w:spacing w:after="0" w:line="287" w:lineRule="auto"/>
        <w:rPr>
          <w:sz w:val="20"/>
          <w:szCs w:val="20"/>
          <w:color w:val="auto"/>
        </w:rPr>
      </w:pPr>
      <w:r>
        <w:rPr>
          <w:rFonts w:ascii="Times New Roman" w:cs="Times New Roman" w:eastAsia="Times New Roman" w:hAnsi="Times New Roman"/>
          <w:sz w:val="15"/>
          <w:szCs w:val="15"/>
          <w:color w:val="auto"/>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spacing w:after="0" w:line="134" w:lineRule="exact"/>
        <w:rPr>
          <w:sz w:val="20"/>
          <w:szCs w:val="20"/>
          <w:color w:val="auto"/>
        </w:rPr>
      </w:pPr>
    </w:p>
    <w:p>
      <w:pPr>
        <w:ind w:left="540" w:hanging="276"/>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construction of a significant number of new power generation plants, including nuclear, coal, natural gas or renewable energy technologies;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construction of additional electric transmission and distribution lines;</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reduction in the price of natural gas or other natural resources as a result of new drilling techniques or other technological developments, a relaxation of associated regulatory standards, or broader economic or policy developments;</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energy conservation technologies and public initiatives to reduce electricity consumption;</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subsidies impacting electricity prices, including in connection with electricity generation and transmission;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 of new energy technologies that provide less expensive energy.</w:t>
      </w:r>
    </w:p>
    <w:p>
      <w:pPr>
        <w:spacing w:after="0" w:line="192"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face competition from both traditional energy companies and renewable energy companies.</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a majority of utilities’ sources of electricity are non-solar, which may allow utilities to sell electricity more cheaply than electricity generated by our solar energy systems.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growth strategy depends on the widespread adoption of solar power technology.</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Many factors may affect the demand for solar energy systems, including, but not limited to, the following:</w:t>
      </w:r>
    </w:p>
    <w:p>
      <w:pPr>
        <w:spacing w:after="0" w:line="192" w:lineRule="exact"/>
        <w:rPr>
          <w:sz w:val="20"/>
          <w:szCs w:val="20"/>
          <w:color w:val="auto"/>
        </w:rPr>
      </w:pPr>
    </w:p>
    <w:p>
      <w:pPr>
        <w:ind w:left="540" w:hanging="276"/>
        <w:spacing w:after="0" w:line="287" w:lineRule="auto"/>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substance and magnitude of solar support programs including government targets, subsidies, incentives, renewable portfolio standards and residential net metering rules;</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relative pricing of other conventional and non-renewable energy sources, such as natural gas, coal, oil and other fossil fuels, wind, utility-scale solar, nuclear, geothermal and biomass;</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reliability and availability of energy generated by solar energy systems compared to conventional and other non-solar renewable energy sources;</w:t>
      </w:r>
    </w:p>
    <w:p>
      <w:pPr>
        <w:spacing w:after="0" w:line="191"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conditions and the level of interest rates.</w:t>
      </w:r>
    </w:p>
    <w:p>
      <w:pPr>
        <w:spacing w:after="0" w:line="192"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business could be adversely affected by seasonal trends, poor weather, labor shortages, and construction cycles.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business is subject to significant industry-specific seasonal fluctuations. In the U.S., many customers make purchasing decisions towards the end of the year in order to take advantage of tax credits and residential solar sales tend to decline during the winter months. In addition, sales in the new home development market are often tied to construction market demands, which tend to follow national trends in construction, including declining sales during cold weather months.</w:t>
      </w:r>
    </w:p>
    <w:p>
      <w:pPr>
        <w:spacing w:after="0" w:line="142"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Natural disasters, terrorist activities, political unrest, economic volatility, and other outbreaks could disrupt our delivery and operations, which could materially and adversely affect our business, financial condition, and results of operations.</w:t>
      </w:r>
    </w:p>
    <w:p>
      <w:pPr>
        <w:spacing w:after="0" w:line="129"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are exposed to the credit risk of customers and our finance partners, and payment delinquencies on accounts receivables.</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Defaults by customers and the financial institutions that fund some of our customers’ solar systems have not been material to date, but we expect that the risk of customer defaults or financial partner defaults may increase as we grow our business. For example, Sunnova Energy International, Inc. (“Sunnova”), a major provider of financing for solar systems, announced that substantial doubt exists regarding its ability to continue as a going concern. While the Company does not use Sunnova for any of its customer financing, if any of our financing partners experience liquidity concerns or stop funding projects, we may incur significant losses or project delays. If any of our customers are unable to make milestone payments on systems purchased in cash, our revenue and costs could be adversely affected. If economic conditions worsen, certain of our customers or finance partners may face liquidity concerns and may be unable to satisfy their payment obligations to us on a timely basis or at all, which could have a material adverse effect on our financial condition and results of operations.</w:t>
      </w:r>
    </w:p>
    <w:p>
      <w:pPr>
        <w:spacing w:after="0" w:line="336"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We may not realize the anticipated benefits of past or future acquisitions, including the transactions under the asset purchase agreement with the SunPower Debtors, the Sunder Acquisition, the Ambia Acquisition and the Cobalt Acquisition, and integration of these acquisitions may disrupt our business.</w:t>
      </w:r>
    </w:p>
    <w:p>
      <w:pPr>
        <w:spacing w:after="0" w:line="125"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In November 2022, we acquired The Solaria Corporation (“</w:t>
      </w:r>
      <w:r>
        <w:rPr>
          <w:rFonts w:ascii="Times New Roman" w:cs="Times New Roman" w:eastAsia="Times New Roman" w:hAnsi="Times New Roman"/>
          <w:sz w:val="15"/>
          <w:szCs w:val="15"/>
          <w:b w:val="1"/>
          <w:bCs w:val="1"/>
          <w:color w:val="auto"/>
        </w:rPr>
        <w:t>Solaria</w:t>
      </w:r>
      <w:r>
        <w:rPr>
          <w:rFonts w:ascii="Times New Roman" w:cs="Times New Roman" w:eastAsia="Times New Roman" w:hAnsi="Times New Roman"/>
          <w:sz w:val="15"/>
          <w:szCs w:val="15"/>
          <w:color w:val="auto"/>
        </w:rPr>
        <w:t>”),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On September 30, 2024, we completed the acquisition of the Acquired SunPower Assets under the APA with the SunPower Debtors, which resulted in our acquisition of the SunPower Businesses and a significant expansion of our business operations and headcount. On September 21, 2025, we entered into an agreement to acquire Sunder and completed the Sunder Acquisition effective September 24, 2025. On November 21, 2025, we entered into an agreement to acquire Ambia and completed the Ambia Acquisition on November 21, 2025. On January 30, 2026, we entered into an agreement to acquire Cobalt and completed the Cobalt Acquisition effective February 2, 2026.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Any acquisition has numerous risks, including, but not limited to, the following:</w:t>
      </w:r>
    </w:p>
    <w:p>
      <w:pPr>
        <w:spacing w:after="0" w:line="192" w:lineRule="exact"/>
        <w:rPr>
          <w:sz w:val="20"/>
          <w:szCs w:val="20"/>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in assimilating the operations and personnel of the acquired company;</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in effectively integrating the acquired technologies or products with current products and technologies;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in maintaining controls, procedures and policies during the transition and integration;</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 of ongoing business and distraction of management and employees from other opportunities and challenges due to integration issues;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integrating the acquired company’s accounting, management information and other administrative systems;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retain key technical and managerial personnel of the acquired business;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retain key customers, vendors, and other business partners of the acquired business;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achieve the financial and strategic goals for the acquired and combined businesses;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0" w:name="page31"/>
    <w:bookmarkEnd w:id="30"/>
    <w:p>
      <w:pPr>
        <w:ind w:left="540" w:hanging="276"/>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incurring acquisition-related costs or amortization costs for acquired intangible assets that could impact operating results;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of due diligence processes to identify significant issues with product quality, legal and financial liabilities, among other things;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assert that internal controls over financial reporting are effective;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obtain, or obtain in a timely manner, approvals from governmental authorities, which could delay or prevent such acquisitions.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rebuild trust with home builders due to the bankruptcy of the SunPower Debtors.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obtain advantageous financing arrangements with financiers in order to pass the saving on to customers.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may be required to file claims against other parties for infringing its intellectual property that may be costly and may not be resolved in its favor.</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spacing w:after="0" w:line="147"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Developments in technology or improvements in distributed solar energy generation and related technologies or components may materially adversely affect demand for our offerings.</w:t>
      </w:r>
    </w:p>
    <w:p>
      <w:pPr>
        <w:spacing w:after="0" w:line="129"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spacing w:after="0" w:line="155"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spacing w:after="0" w:line="142"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complex and evolving data protection laws. Many of these laws and regulations are subject to change and uncertain interpretation and could result in claims, increased cost of operations or otherwise harm its business.</w:t>
      </w:r>
    </w:p>
    <w:p>
      <w:pPr>
        <w:spacing w:after="0" w:line="129"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 w:cs="Times New Roman" w:eastAsia="Times New Roman" w:hAnsi="Times New Roman"/>
          <w:sz w:val="15"/>
          <w:szCs w:val="15"/>
          <w:b w:val="1"/>
          <w:bCs w:val="1"/>
          <w:color w:val="auto"/>
        </w:rPr>
        <w:t>CCPA</w:t>
      </w:r>
      <w:r>
        <w:rPr>
          <w:rFonts w:ascii="Times New Roman" w:cs="Times New Roman" w:eastAsia="Times New Roman" w:hAnsi="Times New Roman"/>
          <w:sz w:val="15"/>
          <w:szCs w:val="15"/>
          <w:color w:val="auto"/>
        </w:rPr>
        <w:t>”) and California voters recently approved the California Privacy Rights Act (“</w:t>
      </w:r>
      <w:r>
        <w:rPr>
          <w:rFonts w:ascii="Times New Roman" w:cs="Times New Roman" w:eastAsia="Times New Roman" w:hAnsi="Times New Roman"/>
          <w:sz w:val="15"/>
          <w:szCs w:val="15"/>
          <w:b w:val="1"/>
          <w:bCs w:val="1"/>
          <w:color w:val="auto"/>
        </w:rPr>
        <w:t>CPRA</w:t>
      </w:r>
      <w:r>
        <w:rPr>
          <w:rFonts w:ascii="Times New Roman" w:cs="Times New Roman" w:eastAsia="Times New Roman" w:hAnsi="Times New Roman"/>
          <w:sz w:val="15"/>
          <w:szCs w:val="15"/>
          <w:color w:val="auto"/>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the Company’s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1" w:name="page32"/>
    <w:bookmarkEnd w:id="31"/>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Outside the U.S., an increasing number of laws, regulations, and industry standards may govern data privacy and security. For example, the European Union’s General Data Protection Regulation (“</w:t>
      </w:r>
      <w:r>
        <w:rPr>
          <w:rFonts w:ascii="Times New Roman" w:cs="Times New Roman" w:eastAsia="Times New Roman" w:hAnsi="Times New Roman"/>
          <w:sz w:val="15"/>
          <w:szCs w:val="15"/>
          <w:b w:val="1"/>
          <w:bCs w:val="1"/>
          <w:color w:val="auto"/>
        </w:rPr>
        <w:t>EU GDPR</w:t>
      </w:r>
      <w:r>
        <w:rPr>
          <w:rFonts w:ascii="Times New Roman" w:cs="Times New Roman" w:eastAsia="Times New Roman" w:hAnsi="Times New Roman"/>
          <w:sz w:val="15"/>
          <w:szCs w:val="15"/>
          <w:color w:val="auto"/>
        </w:rPr>
        <w:t>”) and the United Kingdom’s GDPR (“</w:t>
      </w:r>
      <w:r>
        <w:rPr>
          <w:rFonts w:ascii="Times New Roman" w:cs="Times New Roman" w:eastAsia="Times New Roman" w:hAnsi="Times New Roman"/>
          <w:sz w:val="15"/>
          <w:szCs w:val="15"/>
          <w:b w:val="1"/>
          <w:bCs w:val="1"/>
          <w:color w:val="auto"/>
        </w:rPr>
        <w:t>UK GDPR</w:t>
      </w:r>
      <w:r>
        <w:rPr>
          <w:rFonts w:ascii="Times New Roman" w:cs="Times New Roman" w:eastAsia="Times New Roman" w:hAnsi="Times New Roman"/>
          <w:sz w:val="15"/>
          <w:szCs w:val="15"/>
          <w:color w:val="auto"/>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spacing w:after="0" w:line="153" w:lineRule="exact"/>
        <w:rPr>
          <w:sz w:val="20"/>
          <w:szCs w:val="20"/>
          <w:color w:val="auto"/>
        </w:rPr>
      </w:pPr>
    </w:p>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 w:cs="Times New Roman" w:eastAsia="Times New Roman" w:hAnsi="Times New Roman"/>
          <w:sz w:val="15"/>
          <w:szCs w:val="15"/>
          <w:b w:val="1"/>
          <w:bCs w:val="1"/>
          <w:color w:val="auto"/>
        </w:rPr>
        <w:t>EEA</w:t>
      </w:r>
      <w:r>
        <w:rPr>
          <w:rFonts w:ascii="Times New Roman" w:cs="Times New Roman" w:eastAsia="Times New Roman" w:hAnsi="Times New Roman"/>
          <w:sz w:val="15"/>
          <w:szCs w:val="15"/>
          <w:color w:val="auto"/>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the Company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spacing w:after="0" w:line="161"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Any unauthorized access to or disclosure or theft of personal information we gather, store or use could harm our reputation and subject us to claims or litigation.</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2" w:name="page33"/>
    <w:bookmarkEnd w:id="32"/>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spacing w:after="0" w:line="151"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spacing w:after="0" w:line="151"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spacing w:after="0" w:line="151"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If we fail to comply with laws and regulations relating to interactions by the company or its dealers with current or prospective residential customers could result in negative publicity, claims, investigations and litigation and adversely affect financial performance.</w:t>
      </w:r>
    </w:p>
    <w:p>
      <w:pPr>
        <w:spacing w:after="0" w:line="129" w:lineRule="exact"/>
        <w:rPr>
          <w:sz w:val="20"/>
          <w:szCs w:val="20"/>
          <w:color w:val="auto"/>
        </w:rPr>
      </w:pPr>
    </w:p>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Our business substantially focuses on home improvement contracts for the installation of solar systems for residential customers. We offer leases, loans and other products and services directly to consumers and through sales partners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 w:cs="Times New Roman" w:eastAsia="Times New Roman" w:hAnsi="Times New Roman"/>
          <w:sz w:val="15"/>
          <w:szCs w:val="15"/>
          <w:i w:val="1"/>
          <w:iCs w:val="1"/>
          <w:color w:val="auto"/>
        </w:rPr>
        <w:t>As sales to residential customers have grown, we have increasingly become subject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to substantial financing and consumer protection laws and regulations.</w:t>
      </w:r>
      <w:r>
        <w:rPr>
          <w:rFonts w:ascii="Times New Roman" w:cs="Times New Roman" w:eastAsia="Times New Roman" w:hAnsi="Times New Roman"/>
          <w:sz w:val="15"/>
          <w:szCs w:val="15"/>
          <w:color w:val="auto"/>
        </w:rPr>
        <w:t>” These laws and regulations are dynamic and subject to potentially differing interpretations and various federal,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that these requirements may be interpreted and applied in a manner inconsistent from one jurisdiction to another and may conflict with other rules or our practices or the practices of our dealers.</w:t>
      </w:r>
    </w:p>
    <w:p>
      <w:pPr>
        <w:spacing w:after="0" w:line="161"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3" w:name="page34"/>
    <w:bookmarkEnd w:id="33"/>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From time to time, we have been included in lawsuits brought by the consumer customers of certain contractors in our networks, citing claims based on the sales practices of these contractors.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 may be unsuccessful in introducing new services and product offerings.</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Damage to our brand and reputation or change or loss of use of our brand could harm our business and results of operations.</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We depend significantly on our reputation for high-quality products, excellent customer service and the brand name “SunPower”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spacing w:after="0" w:line="155"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spacing w:after="0" w:line="151"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In addition, if we were to no longer use, lose the right to continue to use or if others use the “SunPower”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spacing w:after="0" w:line="142"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Our success depends on the continuing contributions of key personnel, including Thurman J. Rodgers. If we are unable to attract and retain key employees and qualified personnel, our business and prospects could be harmed.</w:t>
      </w:r>
    </w:p>
    <w:p>
      <w:pPr>
        <w:spacing w:after="0" w:line="129"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We rely heavily on the services of our key executive officers and other key employees, in particular Thurman J. Rodgers, and the loss of services of any principal member of the management team or other key employees could adversely affect our operations. There have been, and from time to time there may continue to be, changes in our management team resulting from the hiring or departure of executives and key employees, or the transition of executives within our business, which could disrupt our business. For example, during 2023 and 2024, we had turnover in key positions, including our Chief Executive Officer and our Chief Financial Officer. As a result of the SunPower Acquisition, we also appointed new employees to key positions and restructured our management reporting lines. Such changes in our executive management team or workforce may be disruptive to our business, divert management’s attention, result in a loss of knowledge and negatively impact employee morale. If we encounter further turnover or difficulties associated with the transition or departure of our executive officers and key employees, or if we are unsuccessful in recruiting new personnel or in retaining and motivating existing personnel, our operations may be disrupted, which could harm our business.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4" w:name="page35"/>
    <w:bookmarkEnd w:id="34"/>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We are investing significant resources in developing new members of management as we complete our restructuring and strategic transformation, including as a result of the SunPower Acquisition.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spacing w:after="0" w:line="155"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Labor is subject to external factors that are beyond our control, including our industry’s highly competitive market for skilled workers and leaders, cost inflation, and workforce participation rates. As we build our brand and become more well known and grow globally, there is increased risk that competitors or other companies will seek to hire our personnel. The failure to attract, integrate, train, motivate and retain these personnel could seriously harm our business and prospects.</w:t>
      </w:r>
    </w:p>
    <w:p>
      <w:pPr>
        <w:spacing w:after="0" w:line="142"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If we or our dealers or suppliers fail to hire and retain sufficient employees and service providers in key functions, our growth and ability to timely complete customer projects and successfully manage customer accounts would be constrained.</w:t>
      </w:r>
    </w:p>
    <w:p>
      <w:pPr>
        <w:spacing w:after="0" w:line="129"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spacing w:after="0" w:line="153"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spacing w:after="0" w:line="147"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Our operating results and ability to grow may fluctuate from quarter to quarter and year to year, which could make future performance difficult to predict and could cause operating results for a particular period to fall below expectations.</w:t>
      </w:r>
    </w:p>
    <w:p>
      <w:pPr>
        <w:spacing w:after="0" w:line="129"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spacing w:after="0" w:line="146" w:lineRule="exact"/>
        <w:rPr>
          <w:sz w:val="20"/>
          <w:szCs w:val="20"/>
          <w:color w:val="auto"/>
        </w:rPr>
      </w:pPr>
    </w:p>
    <w:p>
      <w:pPr>
        <w:ind w:left="540" w:hanging="276"/>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expiration or initiation of any governmental rebates or incentives;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fluctuations in customer demand for our solar energy services, solar energy systems and energy storage systems;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dealers’ ability to complete installations in a timely manner;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5" w:name="page36"/>
    <w:bookmarkEnd w:id="35"/>
    <w:p>
      <w:pPr>
        <w:ind w:left="540" w:hanging="276"/>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and our dealers’ ability to gain interconnection permission for an installed solar energy system from the relevant utility;</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terms and costs of suitable financing;</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timing of sales and potential decreases in value of Solar Renewable Energy Certificates;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to expand its operations and the amount and timing of expenditures related to this expansion;</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significant acquisitions, strategic partnerships, joint ventures or capital-raising activities or commitments;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pricing policies or terms or those of competitors, including centralized electric utilities;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developments in competitors’ businesses, technology or the competitive landscape;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natural disasters or other weather or meteorological conditions.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For these or other reasons, the results of any prior quarterly or annual periods should not be relied upon as indications of our future performance.</w:t>
      </w:r>
    </w:p>
    <w:p>
      <w:pPr>
        <w:spacing w:after="0" w:line="188"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Our ability to obtain insurance on the terms of any available insurance coverage could be materially adversely affected by international, national, state or local events or company-specific events, as well as the financial condition of insurers.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insurance policies cover legal and contractual liabilities arising out of bodily injury, personal injury or property damage to third parties and are subject to policy limits.</w:t>
      </w:r>
    </w:p>
    <w:p>
      <w:pPr>
        <w:spacing w:after="0" w:line="192"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spacing w:after="0" w:line="340"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spacing w:after="0" w:line="147"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spacing w:after="0" w:line="129"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6" w:name="page37"/>
    <w:bookmarkEnd w:id="36"/>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spacing w:after="0" w:line="146"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spacing w:after="0" w:line="15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 w:cs="Times New Roman" w:eastAsia="Times New Roman" w:hAnsi="Times New Roman"/>
          <w:sz w:val="15"/>
          <w:szCs w:val="15"/>
          <w:i w:val="1"/>
          <w:iCs w:val="1"/>
          <w:color w:val="auto"/>
        </w:rPr>
        <w:t>We may be required to file claims against other parties for infringing its intellectual property that may be costly and may not be resolved in our favor</w:t>
      </w:r>
      <w:r>
        <w:rPr>
          <w:rFonts w:ascii="Times New Roman" w:cs="Times New Roman" w:eastAsia="Times New Roman" w:hAnsi="Times New Roman"/>
          <w:sz w:val="15"/>
          <w:szCs w:val="15"/>
          <w:color w:val="auto"/>
        </w:rPr>
        <w:t>.” We rely substantially upon trade secret laws and contractual restrictions to protect our proprietary rights, and, if these rights are not sufficiently protected, our ability to compete and generate revenue could suffer.</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As sales to residential customers have grown, we have increasingly become subject to consumer protection laws and regulations.</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spacing w:after="0" w:line="149"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are often required, at the request of our end customer, to undertake certain obligations such as:</w:t>
      </w:r>
    </w:p>
    <w:p>
      <w:pPr>
        <w:spacing w:after="0" w:line="192" w:lineRule="exact"/>
        <w:rPr>
          <w:sz w:val="20"/>
          <w:szCs w:val="20"/>
          <w:color w:val="auto"/>
        </w:rPr>
      </w:pPr>
    </w:p>
    <w:p>
      <w:pPr>
        <w:ind w:left="540" w:hanging="276"/>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system output performance warranties;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system maintenance.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7" w:name="page38"/>
    <w:bookmarkEnd w:id="37"/>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spacing w:after="0" w:line="130"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We are subject to risks associated with construction, cost overruns, delays, regulatory compliance and other contingencies, any of which could have a material adverse effect on its business and results of operations.</w:t>
      </w:r>
    </w:p>
    <w:p>
      <w:pPr>
        <w:spacing w:after="0" w:line="129"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 w:cs="Times New Roman" w:eastAsia="Times New Roman" w:hAnsi="Times New Roman"/>
          <w:sz w:val="15"/>
          <w:szCs w:val="15"/>
          <w:b w:val="1"/>
          <w:bCs w:val="1"/>
          <w:color w:val="auto"/>
        </w:rPr>
        <w:t>CSLB</w:t>
      </w:r>
      <w:r>
        <w:rPr>
          <w:rFonts w:ascii="Times New Roman" w:cs="Times New Roman" w:eastAsia="Times New Roman" w:hAnsi="Times New Roman"/>
          <w:sz w:val="15"/>
          <w:szCs w:val="15"/>
          <w:color w:val="auto"/>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spacing w:after="0" w:line="158"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Further, we or our installation partners may face construction delays or cost overruns, which may adversely affect our or our sales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spacing w:after="0" w:line="151"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spacing w:after="0" w:line="153"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8" w:name="page39"/>
    <w:bookmarkEnd w:id="38"/>
    <w:p>
      <w:pPr>
        <w:jc w:val="both"/>
        <w:ind w:right="20"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Compliance with occupational safety and health requirements and best practices can be costly, and noncompliance with such requirements may result in potentially significant penalties, operational delays and adverse publicity.</w:t>
      </w:r>
    </w:p>
    <w:p>
      <w:pPr>
        <w:spacing w:after="0" w:line="129" w:lineRule="exact"/>
        <w:rPr>
          <w:sz w:val="20"/>
          <w:szCs w:val="20"/>
          <w:color w:val="auto"/>
        </w:rPr>
      </w:pPr>
    </w:p>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w:t>
      </w:r>
      <w:r>
        <w:rPr>
          <w:rFonts w:ascii="Times New Roman" w:cs="Times New Roman" w:eastAsia="Times New Roman" w:hAnsi="Times New Roman"/>
          <w:sz w:val="15"/>
          <w:szCs w:val="15"/>
          <w:b w:val="1"/>
          <w:bCs w:val="1"/>
          <w:color w:val="auto"/>
        </w:rPr>
        <w:t>OSHA</w:t>
      </w:r>
      <w:r>
        <w:rPr>
          <w:rFonts w:ascii="Times New Roman" w:cs="Times New Roman" w:eastAsia="Times New Roman" w:hAnsi="Times New Roman"/>
          <w:sz w:val="15"/>
          <w:szCs w:val="15"/>
          <w:color w:val="auto"/>
        </w:rPr>
        <w:t>”) and the Department of Transportation (“</w:t>
      </w:r>
      <w:r>
        <w:rPr>
          <w:rFonts w:ascii="Times New Roman" w:cs="Times New Roman" w:eastAsia="Times New Roman" w:hAnsi="Times New Roman"/>
          <w:sz w:val="15"/>
          <w:szCs w:val="15"/>
          <w:b w:val="1"/>
          <w:bCs w:val="1"/>
          <w:color w:val="auto"/>
        </w:rPr>
        <w:t>DOT</w:t>
      </w:r>
      <w:r>
        <w:rPr>
          <w:rFonts w:ascii="Times New Roman" w:cs="Times New Roman" w:eastAsia="Times New Roman" w:hAnsi="Times New Roman"/>
          <w:sz w:val="15"/>
          <w:szCs w:val="15"/>
          <w:color w:val="auto"/>
        </w:rPr>
        <w: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business has benefited from the declining cost of solar energy system components, but it may be harmed if the cost of such components stabilizes or increases in the future.</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Product liability claims against us could result in adverse publicity and potentially significant monetary damages.</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9" w:name="page40"/>
    <w:bookmarkEnd w:id="39"/>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warranty costs may exceed the warranty reserve.</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provide warranties that cover parts performance and labor to purchasers of our solar modules. We also have legacy warranty and performance obligations from our former business manufacturing solar panels.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spacing w:after="0" w:line="147"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b w:val="1"/>
          <w:bCs w:val="1"/>
          <w:i w:val="1"/>
          <w:iCs w:val="1"/>
          <w:color w:val="auto"/>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spacing w:after="0" w:line="144" w:lineRule="exact"/>
        <w:rPr>
          <w:sz w:val="20"/>
          <w:szCs w:val="20"/>
          <w:color w:val="auto"/>
        </w:rPr>
      </w:pPr>
    </w:p>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We are involved in claims, legal proceedings that arise from normal business activities. In addition, from time to time, third parties have asserted and may in the future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including the legal claims noted below,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spacing w:after="0" w:line="3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See “Business - Legal Proceedings” for a further discussion of the legal claims summarized therein.</w:t>
      </w:r>
    </w:p>
    <w:p>
      <w:pPr>
        <w:spacing w:after="0" w:line="192" w:lineRule="exact"/>
        <w:rPr>
          <w:sz w:val="20"/>
          <w:szCs w:val="20"/>
          <w:color w:val="auto"/>
        </w:rPr>
      </w:pPr>
    </w:p>
    <w:p>
      <w:pPr>
        <w:jc w:val="both"/>
        <w:ind w:firstLine="273"/>
        <w:spacing w:after="0" w:line="255" w:lineRule="auto"/>
        <w:rPr>
          <w:sz w:val="20"/>
          <w:szCs w:val="20"/>
          <w:color w:val="auto"/>
        </w:rPr>
      </w:pPr>
      <w:r>
        <w:rPr>
          <w:rFonts w:ascii="Times New Roman" w:cs="Times New Roman" w:eastAsia="Times New Roman" w:hAnsi="Times New Roman"/>
          <w:sz w:val="15"/>
          <w:szCs w:val="15"/>
          <w:color w:val="auto"/>
        </w:rPr>
        <w:t>In addition to the other information provided in elsewhere in this Prospectus, on February 22, 2024, the court in the case issued an order against certain subsidiaries of the Company which awarded Siemens approximately $6.9 million.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We have appealed these judgments. On August 19, 2024, Siemens applied for the enforcement to a sister state judgment in the Superior Court of Alameda, California and the court entered a judgement in favor of Siemens. On December 9, 2024, Siemens moved to amend the judgment to add the Company as a judgement debtor. Our subsidiaries opposed the Siemens motion. The court heard the motion by submission on April 3, 2025, but has not yet issued a ruling. The Company recognized $6.9 million as a legal loss related to this litigation in 2023, and in 2024, the Company recorded an additional accrual for $2.0 million for attorneys’ fees, expenses, and pre-judgment interest, in accrued expenses and other current liabilities within its consolidated balance sheet as of December 29, 2024. This legal loss was recognized in fiscal 2024 in loss from discontinued operations, net of tax on the consolidated statements of operations and comprehensive loss. The Company recorded a liability of $6.9 million as a legal loss related to this litigation, excluding amounts for attorneys’ fees and costs, in accrued expenses and other current liabilities within its consolidated balance sheets at each of March 30, 2025 and December 29, 2024. On December 4, 2025, the Company entered into a Settlement Agreement with Siemens Government Technologies, Inc. and Siemens Industry, Inc. to resolve a case in the Circuit Court of Fairfax County, Virginia and other related cases as well as to resolve potential claims related to Siemens’ Atwater Wastewater Treatment Plant. In exchange for full releases, the Company agreed to pay Siemens $9.5 million spread across four payments to be made at the end of each calendar quarter during fiscal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 For additional information regarding the Company’s litigation matter with Siemens, please see “</w:t>
      </w:r>
      <w:r>
        <w:rPr>
          <w:rFonts w:ascii="Times New Roman" w:cs="Times New Roman" w:eastAsia="Times New Roman" w:hAnsi="Times New Roman"/>
          <w:sz w:val="15"/>
          <w:szCs w:val="15"/>
          <w:i w:val="1"/>
          <w:iCs w:val="1"/>
          <w:color w:val="auto"/>
        </w:rPr>
        <w:t>Business—Legal Proceedings—Siemens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Litigation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The requirements of being a public company may strain our resources, divert management’s attention and affect our ability to attract and retain qualified directors and officers.</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We will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spacing w:after="0" w:line="155"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SunPower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Our ability to use net operating loss carryforwards and certain other tax attributes may be limited.</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spacing w:after="0" w:line="147"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In addition, both current and future unused net operating loss (“</w:t>
      </w:r>
      <w:r>
        <w:rPr>
          <w:rFonts w:ascii="Times New Roman" w:cs="Times New Roman" w:eastAsia="Times New Roman" w:hAnsi="Times New Roman"/>
          <w:sz w:val="15"/>
          <w:szCs w:val="15"/>
          <w:b w:val="1"/>
          <w:bCs w:val="1"/>
          <w:color w:val="auto"/>
        </w:rPr>
        <w:t>NOL</w:t>
      </w:r>
      <w:r>
        <w:rPr>
          <w:rFonts w:ascii="Times New Roman" w:cs="Times New Roman" w:eastAsia="Times New Roman" w:hAnsi="Times New Roman"/>
          <w:sz w:val="15"/>
          <w:szCs w:val="15"/>
          <w:color w:val="auto"/>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Investors who buy shares at different times will likely pay different prices.</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The Selling Securityholders may resell all, some or none of such the shares of common stock offered hereunder at any time or from time to time in their discretion and at different prices. As a result, investors who purchase shares from the Selling Securityholders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Securityholders in this offering as a result of future sales made by us to third parties under our existing equity lines of credit at prices lower than the prices such investors paid for their shares in this offering. In addition, if we sell or issue a substantial number of shares to third parties under our existing equity lines of credit or pursuant to conversions of our Convertible Senior Notes, respectively, or if investors expect that we will do so, the actual sales of shares or the mere existence of our arrangements with third parties and the Selling Securityholders may make it more difficult for us to sell equity or equity-related securities in the future at a time and at a price that we might otherwise wish to effect such sales.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41" w:name="page42"/>
    <w:bookmarkEnd w:id="41"/>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Sales of a substantial number of our securities in the public market by our existing stockholders could cause the price of our shares of common stock to fall.</w:t>
      </w:r>
    </w:p>
    <w:p>
      <w:pPr>
        <w:spacing w:after="0" w:line="196"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The Selling Securityholders can resell, under this prospectus, up to 65,385,828 shares of common stock from time to time after the date of this prospectus. If all of the 50,760,218 shares of common stock issuable upon conversion of the 7% Notes the Selling Securityholders under this prospectus were issued and outstanding as of the date hereof, such shares would represent approximately 31% of the total number of outstanding shares of common stock as of January 29, 2026.</w:t>
      </w:r>
    </w:p>
    <w:p>
      <w:pPr>
        <w:spacing w:after="0" w:line="14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Sales of a substantial number of our shares of common stock in the public market by the Selling Securityholders and/or by our other existing stockholders, or the perception that those sales might occur, could depress the market price of our shares of common stock and could impair our ability to raise capital through the sale of additional equity securities</w:t>
      </w:r>
      <w:r>
        <w:rPr>
          <w:rFonts w:ascii="Times New Roman" w:cs="Times New Roman" w:eastAsia="Times New Roman" w:hAnsi="Times New Roman"/>
          <w:sz w:val="15"/>
          <w:szCs w:val="15"/>
          <w:i w:val="1"/>
          <w:iCs w:val="1"/>
          <w:color w:val="auto"/>
        </w:rPr>
        <w:t>.</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Risks Related to our Common Stock and Other Securities</w:t>
      </w:r>
    </w:p>
    <w:p>
      <w:pPr>
        <w:spacing w:after="0" w:line="192"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Our directors, executive officers and principal stockholders will continue to have significant influence over our company, which could limit your ability to influence the outcome of key transactions, including a change of control.</w:t>
      </w:r>
    </w:p>
    <w:p>
      <w:pPr>
        <w:spacing w:after="0" w:line="129"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Our directors, executive officers and each of our 5% stockholders and their affiliates, in the aggregate, beneficially own approximately 30.2% of the outstanding shares of our common stock, based on the number of shares outstanding as of January 29, 2026. As a result, these stockholders, if acting together, will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The trading price of our common stock may be volatile, and you could lose all or part of your investment.</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Factors affecting the trading price of our securities:</w:t>
      </w:r>
    </w:p>
    <w:p>
      <w:pPr>
        <w:spacing w:after="0" w:line="192" w:lineRule="exact"/>
        <w:rPr>
          <w:sz w:val="20"/>
          <w:szCs w:val="20"/>
          <w:color w:val="auto"/>
        </w:rPr>
      </w:pPr>
    </w:p>
    <w:p>
      <w:pPr>
        <w:ind w:left="540" w:hanging="276"/>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fluctuations in our quarterly financial results or the quarterly financial results of companies perceived to be similar to us;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market’s expectations about our operating results;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42" w:name="page43"/>
    <w:bookmarkEnd w:id="42"/>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 of competitors;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results failing to meet the expectation of securities analysts or investors in a particular period;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financial estimates and recommendations by securities analysts concerning us or the market in general;</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and stock price performance of other companies that investors deem comparable to us;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product candidates;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and regulations affecting our business;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commencement of, or involvement in, litigation involving us;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capital structure, such as future issuances of securities or the incurrence of additional debt;</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volume of shares of our securities available for public sale</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major change in our board of directors or management;</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substantial amounts of common stock by our directors, executive officers or significant stockholders or the perception that such sales could occur;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and political conditions such as recessions, interest rates, fuel prices, international currency fluctuations and acts of war or terrorism.</w:t>
      </w:r>
    </w:p>
    <w:p>
      <w:pPr>
        <w:spacing w:after="0" w:line="188"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29"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 market for our securities may not continue, which would adversely affect the liquidity and price of our securities.</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43" w:name="page44"/>
    <w:bookmarkEnd w:id="43"/>
    <w:p>
      <w:pPr>
        <w:jc w:val="both"/>
        <w:ind w:right="20"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If we fail to meet all applicable requirements of Nasdaq and Nasdaq determines to delist our common stock, the delisting could adversely affect the market liquidity of our common stock and the market price of our common stock could decrease.</w:t>
      </w:r>
    </w:p>
    <w:p>
      <w:pPr>
        <w:spacing w:after="0" w:line="129"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spacing w:after="0" w:line="151"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There can be no assurance that we will maintain compliance with the requirements for listing our common stock on Nasdaq. On April 28, 2025, we received a letter from the Listing Qualifications staff of Nasdaq (the “</w:t>
      </w:r>
      <w:r>
        <w:rPr>
          <w:rFonts w:ascii="Times New Roman" w:cs="Times New Roman" w:eastAsia="Times New Roman" w:hAnsi="Times New Roman"/>
          <w:sz w:val="15"/>
          <w:szCs w:val="15"/>
          <w:b w:val="1"/>
          <w:bCs w:val="1"/>
          <w:color w:val="auto"/>
        </w:rPr>
        <w:t>Nasdaq Staff</w:t>
      </w:r>
      <w:r>
        <w:rPr>
          <w:rFonts w:ascii="Times New Roman" w:cs="Times New Roman" w:eastAsia="Times New Roman" w:hAnsi="Times New Roman"/>
          <w:sz w:val="15"/>
          <w:szCs w:val="15"/>
          <w:color w:val="auto"/>
        </w:rPr>
        <w:t>”) indicating that, as a result of our delay in filing the Company’s Annual Report on Form 10-K for the year ended December 31, 2024 (the “</w:t>
      </w:r>
      <w:r>
        <w:rPr>
          <w:rFonts w:ascii="Times New Roman" w:cs="Times New Roman" w:eastAsia="Times New Roman" w:hAnsi="Times New Roman"/>
          <w:sz w:val="15"/>
          <w:szCs w:val="15"/>
          <w:b w:val="1"/>
          <w:bCs w:val="1"/>
          <w:color w:val="auto"/>
        </w:rPr>
        <w:t>2024 Form 10-K</w:t>
      </w:r>
      <w:r>
        <w:rPr>
          <w:rFonts w:ascii="Times New Roman" w:cs="Times New Roman" w:eastAsia="Times New Roman" w:hAnsi="Times New Roman"/>
          <w:sz w:val="15"/>
          <w:szCs w:val="15"/>
          <w:color w:val="auto"/>
        </w:rPr>
        <w:t>”), we were not in compliance with the timely filing requirements for continued listing under Nasdaq Listing Rule 5250(c)(1). The Nasdaq letter had no immediate effect on the listing or trading of our common stock or warrants. The Nasdaq listing rules require Nasdaq-listed companies to timely file all required periodic reports with the SEC. The Nasdaq letter stated that, under Nasdaq rules, the Company had 60 calendar days to submit a plan to regain compliance with Nasdaq’s continued listing requirements. We filed our 2024 Form 10-K on April 30, 2025. Subsequently, on November 19, 2025, we received a from the Nasdaq staff indicating that, as a result of our delay in filing the Company’s Quarterly Report on Form 10-Q for the quarter ended September 28, 2028 (the “</w:t>
      </w:r>
      <w:r>
        <w:rPr>
          <w:rFonts w:ascii="Times New Roman" w:cs="Times New Roman" w:eastAsia="Times New Roman" w:hAnsi="Times New Roman"/>
          <w:sz w:val="15"/>
          <w:szCs w:val="15"/>
          <w:b w:val="1"/>
          <w:bCs w:val="1"/>
          <w:color w:val="auto"/>
        </w:rPr>
        <w:t>Q3 Form 10-Q</w:t>
      </w:r>
      <w:r>
        <w:rPr>
          <w:rFonts w:ascii="Times New Roman" w:cs="Times New Roman" w:eastAsia="Times New Roman" w:hAnsi="Times New Roman"/>
          <w:sz w:val="15"/>
          <w:szCs w:val="15"/>
          <w:color w:val="auto"/>
        </w:rPr>
        <w:t>”), we were not in compliance with the timely filing requirements for continued listing under Nasdaq Listing Rule 5250(c)(1). The Nasdaq letter relating to our Q3 Form 10-Q had no immediate effect on the listing or trading of our common stock or warrants. The Nasdaq letter stated that, under Nasdaq rules, the Company had 60 calendar days to submit a plan to regain compliance with Nasdaq’s continued listing requirements. We filed the Q3 Form 10-Q on December 19, 2025.</w:t>
      </w:r>
    </w:p>
    <w:p>
      <w:pPr>
        <w:spacing w:after="0" w:line="340"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If Nasdaq delists our securities from trading on its exchange for failure to meet the listing standards, we and our stockholders could face significant material adverse consequences including:</w:t>
      </w:r>
    </w:p>
    <w:p>
      <w:pPr>
        <w:spacing w:after="0" w:line="134" w:lineRule="exact"/>
        <w:rPr>
          <w:sz w:val="20"/>
          <w:szCs w:val="20"/>
          <w:color w:val="auto"/>
        </w:rPr>
      </w:pPr>
    </w:p>
    <w:p>
      <w:pPr>
        <w:ind w:left="540" w:hanging="276"/>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limited availability of market quotations for our securities;</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limited amount of analyst coverage; and a decreased ability to issue additional securities or obtain additional financing in the future.</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Sales of a substantial number of our common stock in the public market by our shareholders could cause the price of our common stock to decline.</w:t>
      </w:r>
    </w:p>
    <w:p>
      <w:pPr>
        <w:spacing w:after="0" w:line="19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spacing w:after="0" w:line="130"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Provisions in our Certificate of Incorporation and Bylaws and provisions of the Delaware General Corporation Law may delay or prevent an acquisition by a third party that could otherwise be in the interests of shareholders.</w:t>
      </w:r>
    </w:p>
    <w:p>
      <w:pPr>
        <w:spacing w:after="0" w:line="129"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spacing w:after="0" w:line="146" w:lineRule="exact"/>
        <w:rPr>
          <w:sz w:val="20"/>
          <w:szCs w:val="20"/>
          <w:color w:val="auto"/>
        </w:rPr>
      </w:pPr>
    </w:p>
    <w:p>
      <w:pPr>
        <w:ind w:left="540" w:hanging="276"/>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notice requirements for stockholder proposals and director nominations;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44" w:name="page45"/>
    <w:bookmarkEnd w:id="44"/>
    <w:p>
      <w:pPr>
        <w:ind w:left="540" w:hanging="276"/>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limiting stockholders’ ability to call special meetings of stockholders and to take action by written consent;</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business combinations with interested stockholders;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cumulative voting; and</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p>
      <w:pPr>
        <w:spacing w:after="0" w:line="134"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These provisions of our Certificate of Incorporation and Proposed Bylaws could discourage potential takeover attempts and reduce the price that investors might be willing to pay for the shares of our common stock in the future, which could reduce the market price of our common stock.</w:t>
      </w:r>
    </w:p>
    <w:p>
      <w:pPr>
        <w:spacing w:after="0" w:line="130"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spacing w:after="0" w:line="129"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spacing w:after="0" w:line="146" w:lineRule="exact"/>
        <w:rPr>
          <w:sz w:val="20"/>
          <w:szCs w:val="20"/>
          <w:color w:val="auto"/>
        </w:rPr>
      </w:pPr>
    </w:p>
    <w:p>
      <w:pPr>
        <w:ind w:left="540" w:hanging="276"/>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derivative action or proceeding brought on behalf of us;</w:t>
      </w:r>
    </w:p>
    <w:p>
      <w:pPr>
        <w:spacing w:after="0" w:line="191"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of breach of a duty (including any fiduciary duty) owed by any of our current or former directors, officers, stockholders, employees or agents to us or our stockholders;</w:t>
      </w:r>
    </w:p>
    <w:p>
      <w:pPr>
        <w:spacing w:after="0" w:line="133" w:lineRule="exact"/>
        <w:rPr>
          <w:rFonts w:ascii="Times New Roman" w:cs="Times New Roman" w:eastAsia="Times New Roman" w:hAnsi="Times New Roman"/>
          <w:sz w:val="15"/>
          <w:szCs w:val="15"/>
          <w:color w:val="auto"/>
        </w:rPr>
      </w:pPr>
    </w:p>
    <w:p>
      <w:pPr>
        <w:jc w:val="both"/>
        <w:ind w:left="540" w:hanging="276"/>
        <w:spacing w:after="0" w:line="270" w:lineRule="auto"/>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against us or any of our current or former directors, officers, stockholders, employees or agents relating to any provision of the Delaware General Corporation Law (“</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 or our Certificate of Incorporation or the Bylaws or as to which the DGCL confers jurisdiction on the Court of Chancery of the State of Delaware; and</w:t>
      </w:r>
    </w:p>
    <w:p>
      <w:pPr>
        <w:spacing w:after="0" w:line="146" w:lineRule="exact"/>
        <w:rPr>
          <w:rFonts w:ascii="Times New Roman" w:cs="Times New Roman" w:eastAsia="Times New Roman" w:hAnsi="Times New Roman"/>
          <w:sz w:val="15"/>
          <w:szCs w:val="15"/>
          <w:color w:val="auto"/>
        </w:rPr>
      </w:pPr>
    </w:p>
    <w:p>
      <w:pPr>
        <w:jc w:val="both"/>
        <w:ind w:left="540" w:hanging="276"/>
        <w:spacing w:after="0" w:line="270" w:lineRule="auto"/>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4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spacing w:after="0" w:line="151"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45" w:name="page46"/>
    <w:bookmarkEnd w:id="45"/>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spacing w:after="0" w:line="142" w:lineRule="exact"/>
        <w:rPr>
          <w:sz w:val="20"/>
          <w:szCs w:val="20"/>
          <w:color w:val="auto"/>
        </w:rPr>
      </w:pPr>
    </w:p>
    <w:p>
      <w:pPr>
        <w:jc w:val="both"/>
        <w:ind w:left="9"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spacing w:after="0" w:line="129" w:lineRule="exact"/>
        <w:rPr>
          <w:sz w:val="20"/>
          <w:szCs w:val="20"/>
          <w:color w:val="auto"/>
        </w:rPr>
      </w:pPr>
    </w:p>
    <w:p>
      <w:pPr>
        <w:jc w:val="both"/>
        <w:ind w:left="9" w:firstLine="311"/>
        <w:spacing w:after="0" w:line="263" w:lineRule="auto"/>
        <w:rPr>
          <w:sz w:val="20"/>
          <w:szCs w:val="20"/>
          <w:color w:val="auto"/>
        </w:rPr>
      </w:pPr>
      <w:r>
        <w:rPr>
          <w:rFonts w:ascii="Times New Roman" w:cs="Times New Roman" w:eastAsia="Times New Roman" w:hAnsi="Times New Roman"/>
          <w:sz w:val="15"/>
          <w:szCs w:val="15"/>
          <w:color w:val="auto"/>
        </w:rPr>
        <w:t>On and around July 13, 2023, FACT entered into separate Forward Purchase Agreements (the “Forward Purchase Agreements”) with each of (i) Meteora Special Opportunity Fund I, LP (“</w:t>
      </w:r>
      <w:r>
        <w:rPr>
          <w:rFonts w:ascii="Times New Roman" w:cs="Times New Roman" w:eastAsia="Times New Roman" w:hAnsi="Times New Roman"/>
          <w:sz w:val="15"/>
          <w:szCs w:val="15"/>
          <w:b w:val="1"/>
          <w:bCs w:val="1"/>
          <w:color w:val="auto"/>
        </w:rPr>
        <w:t>MSOF</w:t>
      </w:r>
      <w:r>
        <w:rPr>
          <w:rFonts w:ascii="Times New Roman" w:cs="Times New Roman" w:eastAsia="Times New Roman" w:hAnsi="Times New Roman"/>
          <w:sz w:val="15"/>
          <w:szCs w:val="15"/>
          <w:color w:val="auto"/>
        </w:rPr>
        <w:t>”), Meteora Capital Partners, LP (“</w:t>
      </w:r>
      <w:r>
        <w:rPr>
          <w:rFonts w:ascii="Times New Roman" w:cs="Times New Roman" w:eastAsia="Times New Roman" w:hAnsi="Times New Roman"/>
          <w:sz w:val="15"/>
          <w:szCs w:val="15"/>
          <w:b w:val="1"/>
          <w:bCs w:val="1"/>
          <w:color w:val="auto"/>
        </w:rPr>
        <w:t>MCP</w:t>
      </w:r>
      <w:r>
        <w:rPr>
          <w:rFonts w:ascii="Times New Roman" w:cs="Times New Roman" w:eastAsia="Times New Roman" w:hAnsi="Times New Roman"/>
          <w:sz w:val="15"/>
          <w:szCs w:val="15"/>
          <w:color w:val="auto"/>
        </w:rPr>
        <w:t>”) and Meteora Select Trading Opportunities Master, LP (“MSTO”) (with MSOF, MCP, and MSTO collectively as “</w:t>
      </w:r>
      <w:r>
        <w:rPr>
          <w:rFonts w:ascii="Times New Roman" w:cs="Times New Roman" w:eastAsia="Times New Roman" w:hAnsi="Times New Roman"/>
          <w:sz w:val="15"/>
          <w:szCs w:val="15"/>
          <w:b w:val="1"/>
          <w:bCs w:val="1"/>
          <w:color w:val="auto"/>
        </w:rPr>
        <w:t>Meteora</w:t>
      </w:r>
      <w:r>
        <w:rPr>
          <w:rFonts w:ascii="Times New Roman" w:cs="Times New Roman" w:eastAsia="Times New Roman" w:hAnsi="Times New Roman"/>
          <w:sz w:val="15"/>
          <w:szCs w:val="15"/>
          <w:color w:val="auto"/>
        </w:rPr>
        <w:t>”);</w:t>
      </w:r>
    </w:p>
    <w:p>
      <w:pPr>
        <w:spacing w:after="0" w:line="1" w:lineRule="exact"/>
        <w:rPr>
          <w:sz w:val="20"/>
          <w:szCs w:val="20"/>
          <w:color w:val="auto"/>
        </w:rPr>
      </w:pPr>
    </w:p>
    <w:p>
      <w:pPr>
        <w:jc w:val="both"/>
        <w:ind w:left="9" w:hanging="9"/>
        <w:spacing w:after="0" w:line="253" w:lineRule="auto"/>
        <w:tabs>
          <w:tab w:leader="none" w:pos="235"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Polar Multi-Strategy Master Fund (“</w:t>
      </w:r>
      <w:r>
        <w:rPr>
          <w:rFonts w:ascii="Times New Roman" w:cs="Times New Roman" w:eastAsia="Times New Roman" w:hAnsi="Times New Roman"/>
          <w:sz w:val="15"/>
          <w:szCs w:val="15"/>
          <w:b w:val="1"/>
          <w:bCs w:val="1"/>
          <w:color w:val="auto"/>
        </w:rPr>
        <w:t>Polar</w:t>
      </w:r>
      <w:r>
        <w:rPr>
          <w:rFonts w:ascii="Times New Roman" w:cs="Times New Roman" w:eastAsia="Times New Roman" w:hAnsi="Times New Roman"/>
          <w:sz w:val="15"/>
          <w:szCs w:val="15"/>
          <w:color w:val="auto"/>
        </w:rPr>
        <w:t>”), and (iii) Diametric True Alpha Market Neutral Master Fund, LP, Diametric True Alpha Enhanced Market Neutral Master Fund, LP, and Pinebridge Partners Master Fund, LP (collectively, “</w:t>
      </w:r>
      <w:r>
        <w:rPr>
          <w:rFonts w:ascii="Times New Roman" w:cs="Times New Roman" w:eastAsia="Times New Roman" w:hAnsi="Times New Roman"/>
          <w:sz w:val="15"/>
          <w:szCs w:val="15"/>
          <w:b w:val="1"/>
          <w:bCs w:val="1"/>
          <w:color w:val="auto"/>
        </w:rPr>
        <w:t>Sandia</w:t>
      </w:r>
      <w:r>
        <w:rPr>
          <w:rFonts w:ascii="Times New Roman" w:cs="Times New Roman" w:eastAsia="Times New Roman" w:hAnsi="Times New Roman"/>
          <w:sz w:val="15"/>
          <w:szCs w:val="15"/>
          <w:color w:val="auto"/>
        </w:rPr>
        <w:t>”, and each of Meteora, Polar, and Sandia, individually, an “</w:t>
      </w:r>
      <w:r>
        <w:rPr>
          <w:rFonts w:ascii="Times New Roman" w:cs="Times New Roman" w:eastAsia="Times New Roman" w:hAnsi="Times New Roman"/>
          <w:sz w:val="15"/>
          <w:szCs w:val="15"/>
          <w:b w:val="1"/>
          <w:bCs w:val="1"/>
          <w:color w:val="auto"/>
        </w:rPr>
        <w:t>FPA Investor</w:t>
      </w:r>
      <w:r>
        <w:rPr>
          <w:rFonts w:ascii="Times New Roman" w:cs="Times New Roman" w:eastAsia="Times New Roman" w:hAnsi="Times New Roman"/>
          <w:sz w:val="15"/>
          <w:szCs w:val="15"/>
          <w:color w:val="auto"/>
        </w:rPr>
        <w:t>”, and together, the “</w:t>
      </w:r>
      <w:r>
        <w:rPr>
          <w:rFonts w:ascii="Times New Roman" w:cs="Times New Roman" w:eastAsia="Times New Roman" w:hAnsi="Times New Roman"/>
          <w:sz w:val="15"/>
          <w:szCs w:val="15"/>
          <w:b w:val="1"/>
          <w:bCs w:val="1"/>
          <w:color w:val="auto"/>
        </w:rPr>
        <w:t>FPA Investors</w:t>
      </w:r>
      <w:r>
        <w:rPr>
          <w:rFonts w:ascii="Times New Roman" w:cs="Times New Roman" w:eastAsia="Times New Roman" w:hAnsi="Times New Roman"/>
          <w:sz w:val="15"/>
          <w:szCs w:val="15"/>
          <w:color w:val="auto"/>
        </w:rPr>
        <w:t>”), pursuant to which FACT (now SunPower Inc. (f/k/a Complete Solaria, Inc.) following the closing of the Business Combination) agreed to purchase in the aggregate, on the date that is 24 months after the closing date of the Forward Purchase Agreements (the “</w:t>
      </w:r>
      <w:r>
        <w:rPr>
          <w:rFonts w:ascii="Times New Roman" w:cs="Times New Roman" w:eastAsia="Times New Roman" w:hAnsi="Times New Roman"/>
          <w:sz w:val="15"/>
          <w:szCs w:val="15"/>
          <w:b w:val="1"/>
          <w:bCs w:val="1"/>
          <w:color w:val="auto"/>
        </w:rPr>
        <w:t>Maturity Date</w:t>
      </w:r>
      <w:r>
        <w:rPr>
          <w:rFonts w:ascii="Times New Roman" w:cs="Times New Roman" w:eastAsia="Times New Roman" w:hAnsi="Times New Roman"/>
          <w:sz w:val="15"/>
          <w:szCs w:val="15"/>
          <w:color w:val="auto"/>
        </w:rPr>
        <w:t>”),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 On December 18, 2023, the Company and each FPA Investor entered into separate amendments to the Forward Purchase Agreements (the “</w:t>
      </w:r>
      <w:r>
        <w:rPr>
          <w:rFonts w:ascii="Times New Roman" w:cs="Times New Roman" w:eastAsia="Times New Roman" w:hAnsi="Times New Roman"/>
          <w:sz w:val="15"/>
          <w:szCs w:val="15"/>
          <w:b w:val="1"/>
          <w:bCs w:val="1"/>
          <w:color w:val="auto"/>
        </w:rPr>
        <w:t>First Amendments”).</w:t>
      </w:r>
      <w:r>
        <w:rPr>
          <w:rFonts w:ascii="Times New Roman" w:cs="Times New Roman" w:eastAsia="Times New Roman" w:hAnsi="Times New Roman"/>
          <w:sz w:val="15"/>
          <w:szCs w:val="15"/>
          <w:color w:val="auto"/>
        </w:rPr>
        <w:t xml:space="preserve"> The First Amendments lower the reset floor price of each Forward Purchase Agreement from $5.00 to $3.00 and allow the Company to raise up to $10,000,000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 On May 7 and 8, 2024, respectively, the Company entered into separate amendments to the Forward Purchase Agreements (the collectively the “</w:t>
      </w:r>
      <w:r>
        <w:rPr>
          <w:rFonts w:ascii="Times New Roman" w:cs="Times New Roman" w:eastAsia="Times New Roman" w:hAnsi="Times New Roman"/>
          <w:sz w:val="15"/>
          <w:szCs w:val="15"/>
          <w:b w:val="1"/>
          <w:bCs w:val="1"/>
          <w:color w:val="auto"/>
        </w:rPr>
        <w:t>Second Amendments</w:t>
      </w:r>
      <w:r>
        <w:rPr>
          <w:rFonts w:ascii="Times New Roman" w:cs="Times New Roman" w:eastAsia="Times New Roman" w:hAnsi="Times New Roman"/>
          <w:sz w:val="15"/>
          <w:szCs w:val="15"/>
          <w:color w:val="auto"/>
        </w:rPr>
        <w:t>”) with Sandia (the “</w:t>
      </w:r>
      <w:r>
        <w:rPr>
          <w:rFonts w:ascii="Times New Roman" w:cs="Times New Roman" w:eastAsia="Times New Roman" w:hAnsi="Times New Roman"/>
          <w:sz w:val="15"/>
          <w:szCs w:val="15"/>
          <w:b w:val="1"/>
          <w:bCs w:val="1"/>
          <w:color w:val="auto"/>
        </w:rPr>
        <w:t>Sandia Second Amendment</w:t>
      </w:r>
      <w:r>
        <w:rPr>
          <w:rFonts w:ascii="Times New Roman" w:cs="Times New Roman" w:eastAsia="Times New Roman" w:hAnsi="Times New Roman"/>
          <w:sz w:val="15"/>
          <w:szCs w:val="15"/>
          <w:color w:val="auto"/>
        </w:rPr>
        <w:t>”) and Polar (the “</w:t>
      </w:r>
      <w:r>
        <w:rPr>
          <w:rFonts w:ascii="Times New Roman" w:cs="Times New Roman" w:eastAsia="Times New Roman" w:hAnsi="Times New Roman"/>
          <w:sz w:val="15"/>
          <w:szCs w:val="15"/>
          <w:b w:val="1"/>
          <w:bCs w:val="1"/>
          <w:color w:val="auto"/>
        </w:rPr>
        <w:t>Polar Second Amendment</w:t>
      </w:r>
      <w:r>
        <w:rPr>
          <w:rFonts w:ascii="Times New Roman" w:cs="Times New Roman" w:eastAsia="Times New Roman" w:hAnsi="Times New Roman"/>
          <w:sz w:val="15"/>
          <w:szCs w:val="15"/>
          <w:color w:val="auto"/>
        </w:rPr>
        <w:t>”). The Second Amendments lower the reset price of each Forward Purchase Agreement from $3.00 to $1.00 per share and amend the VWAP Trigger Event provision to read: “After December 31, 2024, an event that occurs if the VWAP Price, for any 20 trading days during a 30 consecutive trading day-period, is below $1.00 per Share.” The Sandia Second Amendment is not effective until the Company executes similar amendments with both Polar and Meteora. Subsequently, on June 14, 2024, the Company entered into an amendment to the Forward Purchase Agreement with Sandia (the “</w:t>
      </w:r>
      <w:r>
        <w:rPr>
          <w:rFonts w:ascii="Times New Roman" w:cs="Times New Roman" w:eastAsia="Times New Roman" w:hAnsi="Times New Roman"/>
          <w:sz w:val="15"/>
          <w:szCs w:val="15"/>
          <w:b w:val="1"/>
          <w:bCs w:val="1"/>
          <w:color w:val="auto"/>
        </w:rPr>
        <w:t>Sandia Third Amendment</w:t>
      </w:r>
      <w:r>
        <w:rPr>
          <w:rFonts w:ascii="Times New Roman" w:cs="Times New Roman" w:eastAsia="Times New Roman" w:hAnsi="Times New Roman"/>
          <w:sz w:val="15"/>
          <w:szCs w:val="15"/>
          <w:color w:val="auto"/>
        </w:rPr>
        <w:t>”). The Sandia Third Amendment sets the reset price of each Forward Purchase Agreement to $1.00 per share and amends the VWAP Trigger Event provision to read: “After December 31, 2024, an event that occurs if the VWAP Price, for any 20 trading days during a 30 consecutive trading day-period, is below $1.00 per Share.” In the event either Polar or Meteora amend their Forward Purchase Agreements to include different terms from the $1.00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the Sandia Forward Purchase Agreement. On July 17, 2024, the Company entered into the third amendment to the Forward Purchase Agreement with Polar (the “</w:t>
      </w:r>
      <w:r>
        <w:rPr>
          <w:rFonts w:ascii="Times New Roman" w:cs="Times New Roman" w:eastAsia="Times New Roman" w:hAnsi="Times New Roman"/>
          <w:sz w:val="15"/>
          <w:szCs w:val="15"/>
          <w:b w:val="1"/>
          <w:bCs w:val="1"/>
          <w:color w:val="auto"/>
        </w:rPr>
        <w:t>Polar Third Amendment</w:t>
      </w:r>
      <w:r>
        <w:rPr>
          <w:rFonts w:ascii="Times New Roman" w:cs="Times New Roman" w:eastAsia="Times New Roman" w:hAnsi="Times New Roman"/>
          <w:sz w:val="15"/>
          <w:szCs w:val="15"/>
          <w:color w:val="auto"/>
        </w:rPr>
        <w:t>”), pursuant to which the Company and Polar agreed that Section 2 (Most Favored Nation) of the Forward Purchase Agreement is applicable to all 2,450,000 shares subject to the Forward Purchase Agreement. On July 15, 2025, the Company and Meteora entered into an amendment to the FPA between Meteora and the Company, on July 16, 2025, the Company and Sandia entered into an amendment to the FPA between Sandia and the Company, and on August 1, 2025, the Company and Polar entered in an amendment to the FPA between Polar and the Company (collectively, the “FPA Amendments”). The FPA Amendments extend the valuation date applicable to the Forward Purchase Agreements (the “Valuation Date”) to the earliest to occur of (a) 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 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the Company’s option, in cash or shares of our common stock. 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the Company may owe to the applicable seller via the Settlement Amount Adjustment, and notwithstanding anything to the contrary, the applicable seller shall not be required to remit the Settlement Amount to the Company or return any portion of the Prepayment Amount.</w:t>
      </w:r>
    </w:p>
    <w:p>
      <w:pPr>
        <w:spacing w:after="0" w:line="35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46" w:name="page47"/>
    <w:bookmarkEnd w:id="46"/>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If the FPA Investors hold some or all of the 5,618,488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spacing w:after="0" w:line="151"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Warrants to purchase shares of our common stock may not be exercised at all or may be exercised on a cashless basis and we may not receive any cash proceeds from the exercise of such warrants.</w:t>
      </w:r>
    </w:p>
    <w:p>
      <w:pPr>
        <w:spacing w:after="0" w:line="129"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spacing w:after="0" w:line="337"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Servicing our debt requires a significant amount of cash, and we may not have sufficient cash flow from our business to pay our substantial debt.</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Our ability to make scheduled payments of the principal of, to pay interest on or to refinance our indebtedness, including 12.00% Notes due 2029 and the 7% Notes (collectively with the 12.00% Notes due 2029, the “</w:t>
      </w:r>
      <w:r>
        <w:rPr>
          <w:rFonts w:ascii="Times New Roman" w:cs="Times New Roman" w:eastAsia="Times New Roman" w:hAnsi="Times New Roman"/>
          <w:sz w:val="15"/>
          <w:szCs w:val="15"/>
          <w:b w:val="1"/>
          <w:bCs w:val="1"/>
          <w:color w:val="auto"/>
        </w:rPr>
        <w:t>Convertible Senior Notes</w:t>
      </w:r>
      <w:r>
        <w:rPr>
          <w:rFonts w:ascii="Times New Roman" w:cs="Times New Roman" w:eastAsia="Times New Roman" w:hAnsi="Times New Roman"/>
          <w:sz w:val="15"/>
          <w:szCs w:val="15"/>
          <w:color w:val="auto"/>
        </w:rPr>
        <w:t>”), depends on our future performance, which is subject to economic, financial, competitive and other factors beyond our control. Our business may not continue to generate cash flow from operations in the future sufficient to service our debt and make necessary capital expenditures. Additionally, as a result of the delayed filing of our Annual Report on Form 10-K for the year ended December 29, 2024 and, subsequently, our Quarterly Report on Form 10-Q for the quarter ended September 28, 2025, we incurred additional interest under the Convertible Senior Notes.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The conversion features of the Convertible Senior Notes may adversely affect our financial condition and operating results.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holders of Convertible Senior Notes will be entitled to convert their notes at and during specified periods at their option. If one or more holders elect to convert their notes, unless we elect to satisfy our conversion obligation by delivering solely shares of our common stock (other than paying cash in lieu of delivering any fractional share), at maturity, we would be required to settle a portion or all of our conversion obligation through the payment of cash, which could adversely affect our liquidity.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Certain provisions in the indentures or other agreements governing the Convertible Senior Notes may delay or prevent an otherwise a beneficial takeover attempt of us.</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Certain provisions in the indentures or other agreements governing the Convertible Senior Notes may make it more difficult or expensive for a third party to acquire us. For example, the indentures and other agreements governing the Convertible Senior Notes will require us to repurchase the Convertible Senior Notes for cash upon the occurrence of a fundamental change and, in certain 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may have the effect of delaying or preventing a takeover of us that would otherwise be beneficial to investors.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Conversion of the Convertible Senior Notes may dilute the ownership interest of our stockholders or may otherwise depress the price of our common stock.</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The conversion of some or all of the Convertible Senior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The accounting method for the Convertible Senior Notes could adversely affect our reported financial condition and results.</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spacing w:after="0" w:line="134"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In addition, we expect that the shares of common stock underlying the Convertible Senior Notes will be reflected in our diluted earnings per share using the “if converted” method.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spacing w:after="0" w:line="151"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notes or affiliate notes, respectively, following the satisfaction of those conditions and could materially reduce our reported working capital.</w:t>
      </w:r>
    </w:p>
    <w:p>
      <w:pPr>
        <w:spacing w:after="0" w:line="142"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Future sales (including potential sales of securities to by the Selling Securityholders), or the perception of future sales, by us or our stockholders in the public market could cause the market price for the common stock to decline.</w:t>
      </w:r>
    </w:p>
    <w:p>
      <w:pPr>
        <w:spacing w:after="0" w:line="129"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the us to sell equity securities in the future at a time and at a price that it deems appropriate. In the future, we may issue our securities to raise capital or in connection with investments or acquisitions. The amount of shares of common stock issued or issuable upon exercise or conversion of securities issued in connection with a capital raise or an investment or acquisition could constitute a material portion of the then-outstanding shares of our common stock. Any issuance of additional securities in connection with capital raising activities, investments or acquisitions may result in additional dilution to our stockholders.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5"/>
          <w:szCs w:val="15"/>
          <w:b w:val="1"/>
          <w:bCs w:val="1"/>
          <w:color w:val="auto"/>
        </w:rPr>
        <w:t>MARKET AND INDUSTRY DATA</w:t>
      </w:r>
    </w:p>
    <w:p>
      <w:pPr>
        <w:spacing w:after="0" w:line="196" w:lineRule="exact"/>
        <w:rPr>
          <w:sz w:val="20"/>
          <w:szCs w:val="20"/>
          <w:color w:val="auto"/>
        </w:rPr>
      </w:pPr>
    </w:p>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Information contained in this prospectus concerning the market and the industries in which SunPower competes, including its market position, general expectations of market opportunities and market size, is based on information from various third-party sources, publicly available information, various industry publications, internal data and estimates, and assumptions made by SunPower based on such sources. Internal data and estimates are based upon information obtained from trade and business organizations and other contacts in the markets in which SunPower operates and SunPower management’s understanding of industry conditions. This information and any estimates provided herein involve numerous assumptions and limitations, and you are cautioned not to give undue weight to such information. Third-party sources generally state that the information contained in such sources has been obtained from sources believed to be reliable. Although we believe that such information is reliable, there can be no assurance as to the accuracy or completeness of such information.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Although we are responsible for all of the disclosure contained in this prospectus and we believe the third-party market position, general expectations of market opportunity and market size data included in this prospectus are reliable, we have not independently verified any third-party information and each publication speaks as of its original publication date (and not as of the date of this prospectus). In addition, we do not know all of the assumptions regarding general economic conditions or growth that were used in preparing the forecasts from the sources relied upon or cited herein.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6" w:lineRule="exact"/>
        <w:rPr>
          <w:sz w:val="20"/>
          <w:szCs w:val="20"/>
          <w:color w:val="auto"/>
        </w:rPr>
      </w:pPr>
    </w:p>
    <w:p>
      <w:pPr>
        <w:ind w:firstLine="273"/>
        <w:spacing w:after="0" w:line="287" w:lineRule="auto"/>
        <w:rPr>
          <w:sz w:val="20"/>
          <w:szCs w:val="20"/>
          <w:color w:val="auto"/>
        </w:rPr>
      </w:pPr>
      <w:r>
        <w:rPr>
          <w:rFonts w:ascii="Times New Roman" w:cs="Times New Roman" w:eastAsia="Times New Roman" w:hAnsi="Times New Roman"/>
          <w:sz w:val="15"/>
          <w:szCs w:val="15"/>
          <w:color w:val="auto"/>
        </w:rPr>
        <w:t>All of the shares of common stock offered by the Selling Securityholders pursuant to this prospectus will be sold by the Selling Securityholders for their own accounts. We will not receive any of the proceeds from the resale of the shares of common stock by the Selling Securityholders.</w:t>
      </w:r>
    </w:p>
    <w:p>
      <w:pPr>
        <w:spacing w:after="0" w:line="3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Selling Securityholders will pay any underwriting fees, discounts and selling commissions incurred by the Selling Securityholders in connection with any sale of their shares.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will incur all costs associated with this prospectus and the registration statement of which it is a part.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5"/>
          <w:szCs w:val="15"/>
          <w:b w:val="1"/>
          <w:bCs w:val="1"/>
          <w:color w:val="auto"/>
        </w:rPr>
        <w:t>DETERMINATION OF OFFERING PRICE</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cannot currently determine the price or prices at which shares of common stock may be sold by the Selling Securityholder under this prospectus.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MARKET INFORMATION FOR SECURITIES AND DIVIDEND POLICY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Information</w:t>
      </w:r>
    </w:p>
    <w:p>
      <w:pPr>
        <w:spacing w:after="0" w:line="196" w:lineRule="exact"/>
        <w:rPr>
          <w:sz w:val="20"/>
          <w:szCs w:val="20"/>
          <w:color w:val="auto"/>
        </w:rPr>
      </w:pPr>
    </w:p>
    <w:p>
      <w:pPr>
        <w:jc w:val="both"/>
        <w:ind w:right="20" w:firstLine="273"/>
        <w:spacing w:after="0" w:line="264" w:lineRule="auto"/>
        <w:rPr>
          <w:sz w:val="20"/>
          <w:szCs w:val="20"/>
          <w:color w:val="auto"/>
        </w:rPr>
      </w:pPr>
      <w:r>
        <w:rPr>
          <w:rFonts w:ascii="Times New Roman" w:cs="Times New Roman" w:eastAsia="Times New Roman" w:hAnsi="Times New Roman"/>
          <w:sz w:val="15"/>
          <w:szCs w:val="15"/>
          <w:color w:val="auto"/>
        </w:rPr>
        <w:t>Our common stock and Public Warrants are currently listed on Nasdaq under the symbols “SPWR” and “SPWRW,” respectively. Our common stock and public warrants were previously listed on Nasdaq under the symbols “CSLR” and “CSLRW”, respectively. Prior to the consummation of the Business Combination, our common stock and our Public Warrants were listed on the NYSE under the symbols “FACT” and “FACT WS,” respectively. On January 29, 2026, there were 421 holders of record of the common stock. We currently do not intend to list the Private Warrants on any stock exchange or stock market.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96" w:lineRule="exact"/>
        <w:rPr>
          <w:sz w:val="20"/>
          <w:szCs w:val="20"/>
          <w:color w:val="auto"/>
        </w:rPr>
      </w:pPr>
    </w:p>
    <w:p>
      <w:pPr>
        <w:jc w:val="both"/>
        <w:ind w:firstLine="273"/>
        <w:spacing w:after="0" w:line="267" w:lineRule="auto"/>
        <w:rPr>
          <w:sz w:val="20"/>
          <w:szCs w:val="20"/>
          <w:color w:val="auto"/>
        </w:rPr>
      </w:pPr>
      <w:r>
        <w:rPr>
          <w:rFonts w:ascii="Times New Roman" w:cs="Times New Roman" w:eastAsia="Times New Roman" w:hAnsi="Times New Roman"/>
          <w:sz w:val="15"/>
          <w:szCs w:val="15"/>
          <w:color w:val="auto"/>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depend on, among other things, the consent of our lender(s), our results of operations, cash requirements, financial condition, contractual restrictions and other factors that the SunPower Board may deem relevant.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192"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92"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SunPower Inc. (“</w:t>
      </w:r>
      <w:r>
        <w:rPr>
          <w:rFonts w:ascii="Times New Roman" w:cs="Times New Roman" w:eastAsia="Times New Roman" w:hAnsi="Times New Roman"/>
          <w:sz w:val="15"/>
          <w:szCs w:val="15"/>
          <w:b w:val="1"/>
          <w:bCs w:val="1"/>
          <w:color w:val="auto"/>
        </w:rPr>
        <w:t>SunPower</w:t>
      </w:r>
      <w:r>
        <w:rPr>
          <w:rFonts w:ascii="Times New Roman" w:cs="Times New Roman" w:eastAsia="Times New Roman" w:hAnsi="Times New Roman"/>
          <w:sz w:val="15"/>
          <w:szCs w:val="15"/>
          <w:color w:val="auto"/>
        </w:rPr>
        <w:t>” or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is the rebranded name of Complete Solaria, Inc. Complete Solaria, Inc. was formed in November 2022 through the merger of Complete Solar and The Solaria Corporation. Founded in 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This turnkey solution makes it easy for anyone to sell solar.</w:t>
      </w:r>
    </w:p>
    <w:p>
      <w:pPr>
        <w:spacing w:after="0" w:line="150"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further discussed below and in the accompanying unaudited condensed consolidated financial statements (Note 15 - Segment Information), we have three reportable segments: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Residential Solar Installation, New Homes Business and Sunder Energy (“</w:t>
      </w:r>
      <w:r>
        <w:rPr>
          <w:rFonts w:ascii="Times New Roman" w:cs="Times New Roman" w:eastAsia="Times New Roman" w:hAnsi="Times New Roman"/>
          <w:sz w:val="15"/>
          <w:szCs w:val="15"/>
          <w:b w:val="1"/>
          <w:bCs w:val="1"/>
          <w:color w:val="auto"/>
        </w:rPr>
        <w:t>Sunder</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There is substantial doubt about our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Growth strategy and outlook</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growth strategy contains the following elements:</w:t>
      </w:r>
    </w:p>
    <w:p>
      <w:pPr>
        <w:spacing w:after="0" w:line="188" w:lineRule="exact"/>
        <w:rPr>
          <w:sz w:val="20"/>
          <w:szCs w:val="20"/>
          <w:color w:val="auto"/>
        </w:rPr>
      </w:pPr>
    </w:p>
    <w:p>
      <w:pPr>
        <w:jc w:val="both"/>
        <w:ind w:left="540" w:hanging="276"/>
        <w:spacing w:after="0" w:line="266" w:lineRule="auto"/>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Increase revenue by expanding installation capacity and developing new geographic markets </w:t>
      </w:r>
      <w:r>
        <w:rPr>
          <w:rFonts w:ascii="Times New Roman" w:cs="Times New Roman" w:eastAsia="Times New Roman" w:hAnsi="Times New Roman"/>
          <w:sz w:val="15"/>
          <w:szCs w:val="15"/>
          <w:color w:val="auto"/>
        </w:rPr>
        <w:t>- We continue to expand our network of partners who will install systems resulting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p>
      <w:pPr>
        <w:spacing w:after="0" w:line="145" w:lineRule="exact"/>
        <w:rPr>
          <w:rFonts w:ascii="Times New Roman" w:cs="Times New Roman" w:eastAsia="Times New Roman" w:hAnsi="Times New Roman"/>
          <w:sz w:val="15"/>
          <w:szCs w:val="15"/>
          <w:color w:val="auto"/>
        </w:rPr>
      </w:pPr>
    </w:p>
    <w:p>
      <w:pPr>
        <w:jc w:val="both"/>
        <w:ind w:left="540" w:hanging="276"/>
        <w:spacing w:after="0" w:line="266" w:lineRule="auto"/>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Increase revenue and margin by engaging national-scale sales partners </w:t>
      </w:r>
      <w:r>
        <w:rPr>
          <w:rFonts w:ascii="Times New Roman" w:cs="Times New Roman" w:eastAsia="Times New Roman" w:hAnsi="Times New Roman"/>
          <w:sz w:val="15"/>
          <w:szCs w:val="15"/>
          <w:color w:val="auto"/>
        </w:rPr>
        <w:t>- We aim to offer a turnkey solar solution to prospective sales partners with a national footprint. These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52" w:name="page53"/>
    <w:bookmarkEnd w:id="52"/>
    <w:p>
      <w:pPr>
        <w:jc w:val="both"/>
        <w:ind w:left="540" w:hanging="276"/>
        <w:spacing w:after="0" w:line="273" w:lineRule="auto"/>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Increase revenue and margin by executing on 200,000-unit battery storage opportunity </w:t>
      </w:r>
      <w:r>
        <w:rPr>
          <w:rFonts w:ascii="Times New Roman" w:cs="Times New Roman" w:eastAsia="Times New Roman" w:hAnsi="Times New Roman"/>
          <w:sz w:val="15"/>
          <w:szCs w:val="15"/>
          <w:color w:val="auto"/>
        </w:rPr>
        <w:t>- We have an opportunity to increase our revenue and margin in the battery space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through our partnership with Enphase. By providing homeowners with an option to include battery storage as part of their solar system install, we believe there will be a greater need for battery storage as the demand and costs of energy will increase.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Mergers</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SunPower with SunPower surviving as a wholly-owned subsidiary of FACT (the “</w:t>
      </w:r>
      <w:r>
        <w:rPr>
          <w:rFonts w:ascii="Times New Roman" w:cs="Times New Roman" w:eastAsia="Times New Roman" w:hAnsi="Times New Roman"/>
          <w:sz w:val="15"/>
          <w:szCs w:val="15"/>
          <w:b w:val="1"/>
          <w:bCs w:val="1"/>
          <w:color w:val="auto"/>
        </w:rPr>
        <w:t>First Merger</w:t>
      </w:r>
      <w:r>
        <w:rPr>
          <w:rFonts w:ascii="Times New Roman" w:cs="Times New Roman" w:eastAsia="Times New Roman" w:hAnsi="Times New Roman"/>
          <w:sz w:val="15"/>
          <w:szCs w:val="15"/>
          <w:color w:val="auto"/>
        </w:rPr>
        <w:t>”), (ii) immediately thereafter and as part of the same overall transaction, SunPower merged with and into Second Merger Sub, with Second Merger Sub surviving as a wholly-owned subsidiary of FACT (the “</w:t>
      </w:r>
      <w:r>
        <w:rPr>
          <w:rFonts w:ascii="Times New Roman" w:cs="Times New Roman" w:eastAsia="Times New Roman" w:hAnsi="Times New Roman"/>
          <w:sz w:val="15"/>
          <w:szCs w:val="15"/>
          <w:b w:val="1"/>
          <w:bCs w:val="1"/>
          <w:color w:val="auto"/>
        </w:rPr>
        <w:t>Second Merger</w:t>
      </w:r>
      <w:r>
        <w:rPr>
          <w:rFonts w:ascii="Times New Roman" w:cs="Times New Roman" w:eastAsia="Times New Roman" w:hAnsi="Times New Roman"/>
          <w:sz w:val="15"/>
          <w:szCs w:val="15"/>
          <w:color w:val="auto"/>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 w:cs="Times New Roman" w:eastAsia="Times New Roman" w:hAnsi="Times New Roman"/>
          <w:sz w:val="15"/>
          <w:szCs w:val="15"/>
          <w:b w:val="1"/>
          <w:bCs w:val="1"/>
          <w:color w:val="auto"/>
        </w:rPr>
        <w:t>Third Merger Sub</w:t>
      </w:r>
      <w:r>
        <w:rPr>
          <w:rFonts w:ascii="Times New Roman" w:cs="Times New Roman" w:eastAsia="Times New Roman" w:hAnsi="Times New Roman"/>
          <w:sz w:val="15"/>
          <w:szCs w:val="15"/>
          <w:color w:val="auto"/>
        </w:rPr>
        <w:t>”), with Third Merger Sub surviving as a wholly-owned subsidiary of FACT (the “Additional Merger”, and together with the First Merger and the Second Merger, the “</w:t>
      </w:r>
      <w:r>
        <w:rPr>
          <w:rFonts w:ascii="Times New Roman" w:cs="Times New Roman" w:eastAsia="Times New Roman" w:hAnsi="Times New Roman"/>
          <w:sz w:val="15"/>
          <w:szCs w:val="15"/>
          <w:b w:val="1"/>
          <w:bCs w:val="1"/>
          <w:color w:val="auto"/>
        </w:rPr>
        <w:t>Mergers</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The Mergers between SunPower and FACT have been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have been treated as the equivalent of a capital transaction in which SunPower is issuing stock for the net assets of FACT. The net assets of FACT have been stated at historical cost, with no goodwill or other intangible assets recorded.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Disposal transaction</w:t>
      </w:r>
    </w:p>
    <w:p>
      <w:pPr>
        <w:spacing w:after="0" w:line="192" w:lineRule="exact"/>
        <w:rPr>
          <w:sz w:val="20"/>
          <w:szCs w:val="20"/>
          <w:color w:val="auto"/>
        </w:rPr>
      </w:pPr>
    </w:p>
    <w:p>
      <w:pPr>
        <w:jc w:val="both"/>
        <w:ind w:right="20" w:firstLine="273"/>
        <w:spacing w:after="0" w:line="261" w:lineRule="auto"/>
        <w:rPr>
          <w:sz w:val="20"/>
          <w:szCs w:val="20"/>
          <w:color w:val="auto"/>
        </w:rPr>
      </w:pPr>
      <w:r>
        <w:rPr>
          <w:rFonts w:ascii="Times New Roman" w:cs="Times New Roman" w:eastAsia="Times New Roman" w:hAnsi="Times New Roman"/>
          <w:sz w:val="15"/>
          <w:szCs w:val="15"/>
          <w:color w:val="auto"/>
        </w:rPr>
        <w:t>In October 2023, we completed the divestiture of our solar panel business to Maxeon (“</w:t>
      </w:r>
      <w:r>
        <w:rPr>
          <w:rFonts w:ascii="Times New Roman" w:cs="Times New Roman" w:eastAsia="Times New Roman" w:hAnsi="Times New Roman"/>
          <w:sz w:val="15"/>
          <w:szCs w:val="15"/>
          <w:b w:val="1"/>
          <w:bCs w:val="1"/>
          <w:color w:val="auto"/>
        </w:rPr>
        <w:t>Divestiture</w:t>
      </w:r>
      <w:r>
        <w:rPr>
          <w:rFonts w:ascii="Times New Roman" w:cs="Times New Roman" w:eastAsia="Times New Roman" w:hAnsi="Times New Roman"/>
          <w:sz w:val="15"/>
          <w:szCs w:val="15"/>
          <w:color w:val="auto"/>
        </w:rPr>
        <w:t>”), pursuant to the terms of a disposal agreement (“</w:t>
      </w:r>
      <w:r>
        <w:rPr>
          <w:rFonts w:ascii="Times New Roman" w:cs="Times New Roman" w:eastAsia="Times New Roman" w:hAnsi="Times New Roman"/>
          <w:sz w:val="15"/>
          <w:szCs w:val="15"/>
          <w:b w:val="1"/>
          <w:bCs w:val="1"/>
          <w:color w:val="auto"/>
        </w:rPr>
        <w:t>Disposal Agreement</w:t>
      </w:r>
      <w:r>
        <w:rPr>
          <w:rFonts w:ascii="Times New Roman" w:cs="Times New Roman" w:eastAsia="Times New Roman" w:hAnsi="Times New Roman"/>
          <w:sz w:val="15"/>
          <w:szCs w:val="15"/>
          <w:color w:val="auto"/>
        </w:rPr>
        <w:t>”). Under the terms of the Disposal Agreement, Maxeon agreed to acquire from the Company certain assets and employees,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$2.0 million and $173.4 million in the fiscal years ended December 29, 2024 and December 31, 2023, respectively. We also sold all the Maxeon shares in the year ended December 31, 2023, and recorded a $4.2 million loss on the sale of these shares in our consolidated statements of operations and comprehensive loss.</w:t>
      </w:r>
    </w:p>
    <w:p>
      <w:pPr>
        <w:spacing w:after="0" w:line="153"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Following is a discussion of our historical results of operations, which excludes product revenues and metrics related to the disposal, as all results of operations associated with the solar panel business have been presented as discontinued operations, unless otherwise noted.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SunPower acquisition transaction</w:t>
      </w:r>
    </w:p>
    <w:p>
      <w:pPr>
        <w:spacing w:after="0" w:line="192"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August 5, 2024, we entered into an asset purchase agreement among us and SunPower Corporation and SunPower Corporation’s direct and indirect subsidiaries (“</w:t>
      </w:r>
      <w:r>
        <w:rPr>
          <w:rFonts w:ascii="Times New Roman" w:cs="Times New Roman" w:eastAsia="Times New Roman" w:hAnsi="Times New Roman"/>
          <w:sz w:val="15"/>
          <w:szCs w:val="15"/>
          <w:b w:val="1"/>
          <w:bCs w:val="1"/>
          <w:color w:val="auto"/>
        </w:rPr>
        <w:t>SunPower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Debtors</w:t>
      </w:r>
      <w:r>
        <w:rPr>
          <w:rFonts w:ascii="Times New Roman" w:cs="Times New Roman" w:eastAsia="Times New Roman" w:hAnsi="Times New Roman"/>
          <w:sz w:val="15"/>
          <w:szCs w:val="15"/>
          <w:color w:val="auto"/>
        </w:rPr>
        <w:t>”) which provided for the purchase of certain assets relating to the Blue Raven Solar business, New Homes Business and Non-Installing Dealer network previously operated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SunPower Debtors (the “</w:t>
      </w:r>
      <w:r>
        <w:rPr>
          <w:rFonts w:ascii="Times New Roman" w:cs="Times New Roman" w:eastAsia="Times New Roman" w:hAnsi="Times New Roman"/>
          <w:sz w:val="15"/>
          <w:szCs w:val="15"/>
          <w:b w:val="1"/>
          <w:bCs w:val="1"/>
          <w:color w:val="auto"/>
        </w:rPr>
        <w:t>Acquired SunPower Assets</w:t>
      </w:r>
      <w:r>
        <w:rPr>
          <w:rFonts w:ascii="Times New Roman" w:cs="Times New Roman" w:eastAsia="Times New Roman" w:hAnsi="Times New Roman"/>
          <w:sz w:val="15"/>
          <w:szCs w:val="15"/>
          <w:color w:val="auto"/>
        </w:rPr>
        <w:t>”). The sale by the SunPower Debtors was approved on September 23, 2024, by the United States Bankruptcy Court for the District of Delaware. We completed the acquisition (“</w:t>
      </w:r>
      <w:r>
        <w:rPr>
          <w:rFonts w:ascii="Times New Roman" w:cs="Times New Roman" w:eastAsia="Times New Roman" w:hAnsi="Times New Roman"/>
          <w:sz w:val="15"/>
          <w:szCs w:val="15"/>
          <w:b w:val="1"/>
          <w:bCs w:val="1"/>
          <w:color w:val="auto"/>
        </w:rPr>
        <w:t>SunPower Acquisition</w:t>
      </w:r>
      <w:r>
        <w:rPr>
          <w:rFonts w:ascii="Times New Roman" w:cs="Times New Roman" w:eastAsia="Times New Roman" w:hAnsi="Times New Roman"/>
          <w:sz w:val="15"/>
          <w:szCs w:val="15"/>
          <w:color w:val="auto"/>
        </w:rPr>
        <w:t>”) of the Acquired SunPower Assets (“</w:t>
      </w:r>
      <w:r>
        <w:rPr>
          <w:rFonts w:ascii="Times New Roman" w:cs="Times New Roman" w:eastAsia="Times New Roman" w:hAnsi="Times New Roman"/>
          <w:sz w:val="15"/>
          <w:szCs w:val="15"/>
          <w:b w:val="1"/>
          <w:bCs w:val="1"/>
          <w:color w:val="auto"/>
        </w:rPr>
        <w:t>SunPower Businesses</w:t>
      </w:r>
      <w:r>
        <w:rPr>
          <w:rFonts w:ascii="Times New Roman" w:cs="Times New Roman" w:eastAsia="Times New Roman" w:hAnsi="Times New Roman"/>
          <w:sz w:val="15"/>
          <w:szCs w:val="15"/>
          <w:color w:val="auto"/>
        </w:rPr>
        <w:t>”) effective September 30, 2024.</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53" w:name="page54"/>
    <w:bookmarkEnd w:id="53"/>
    <w:p>
      <w:pPr>
        <w:jc w:val="both"/>
        <w:ind w:right="20" w:firstLine="273"/>
        <w:spacing w:after="0" w:line="273" w:lineRule="auto"/>
        <w:rPr>
          <w:sz w:val="20"/>
          <w:szCs w:val="20"/>
          <w:color w:val="auto"/>
        </w:rPr>
      </w:pPr>
      <w:r>
        <w:rPr>
          <w:rFonts w:ascii="Times New Roman" w:cs="Times New Roman" w:eastAsia="Times New Roman" w:hAnsi="Times New Roman"/>
          <w:sz w:val="15"/>
          <w:szCs w:val="15"/>
          <w:color w:val="auto"/>
        </w:rPr>
        <w:t>We financed the SunPower Acquisition by issuing 7.0% senior unsecured convertible notes (“</w:t>
      </w:r>
      <w:r>
        <w:rPr>
          <w:rFonts w:ascii="Times New Roman" w:cs="Times New Roman" w:eastAsia="Times New Roman" w:hAnsi="Times New Roman"/>
          <w:sz w:val="15"/>
          <w:szCs w:val="15"/>
          <w:b w:val="1"/>
          <w:bCs w:val="1"/>
          <w:color w:val="auto"/>
        </w:rPr>
        <w:t>7.0% Senior Notes</w:t>
      </w:r>
      <w:r>
        <w:rPr>
          <w:rFonts w:ascii="Times New Roman" w:cs="Times New Roman" w:eastAsia="Times New Roman" w:hAnsi="Times New Roman"/>
          <w:sz w:val="15"/>
          <w:szCs w:val="15"/>
          <w:color w:val="auto"/>
        </w:rPr>
        <w:t>”) in September 2024, which are due in 2029. The 7.0% Senior Notes mature on July 1, 2029 and are convertible into shares of our common stock at the option of the holder at a conversion rate of $2.14 per share. The 7.0% Senior Notes will become immediately due and payable at the option of the holder in the event of default and upon a qualifying change of control event.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Sunder Energy acquisition transaction</w:t>
      </w:r>
    </w:p>
    <w:p>
      <w:pPr>
        <w:spacing w:after="0" w:line="192"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On September 21, 2025, we entered into an agreement to acquire Sunder Energy (“</w:t>
      </w:r>
      <w:r>
        <w:rPr>
          <w:rFonts w:ascii="Times New Roman" w:cs="Times New Roman" w:eastAsia="Times New Roman" w:hAnsi="Times New Roman"/>
          <w:sz w:val="15"/>
          <w:szCs w:val="15"/>
          <w:b w:val="1"/>
          <w:bCs w:val="1"/>
          <w:color w:val="auto"/>
        </w:rPr>
        <w:t>Sunder</w:t>
      </w:r>
      <w:r>
        <w:rPr>
          <w:rFonts w:ascii="Times New Roman" w:cs="Times New Roman" w:eastAsia="Times New Roman" w:hAnsi="Times New Roman"/>
          <w:sz w:val="15"/>
          <w:szCs w:val="15"/>
          <w:color w:val="auto"/>
        </w:rPr>
        <w:t>”) and completed the acquisition effective September 24, 2025 (“</w:t>
      </w:r>
      <w:r>
        <w:rPr>
          <w:rFonts w:ascii="Times New Roman" w:cs="Times New Roman" w:eastAsia="Times New Roman" w:hAnsi="Times New Roman"/>
          <w:sz w:val="15"/>
          <w:szCs w:val="15"/>
          <w:b w:val="1"/>
          <w:bCs w:val="1"/>
          <w:color w:val="auto"/>
        </w:rPr>
        <w:t>Sunder Acquisition</w:t>
      </w:r>
      <w:r>
        <w:rPr>
          <w:rFonts w:ascii="Times New Roman" w:cs="Times New Roman" w:eastAsia="Times New Roman" w:hAnsi="Times New Roman"/>
          <w:sz w:val="15"/>
          <w:szCs w:val="15"/>
          <w:color w:val="auto"/>
        </w:rPr>
        <w:t xml:space="preserve">”). The acquisition was completed through the acquisition of all of the Membership Interests of Sunder for aggregate consideration of $57.8 million consisting of cash, a note issued to the seller, 3,333,334 shares of our common stock issued as of the acquisition date plus an additional 3,333,333 shares to be issued on each of the 12-month and 18-month anniversaries of the closing of the acquisition. The shares of our common stock were valued at $17.1 million at the date of acquisition. This transaction was accounted for as a business combination in accordance with ASC 805,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The financial results of Sunder have been included in our unaudited condensed consolidated financial statements since the date of acquisition.</w:t>
      </w:r>
    </w:p>
    <w:p>
      <w:pPr>
        <w:spacing w:after="0" w:line="149"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color w:val="auto"/>
        </w:rPr>
        <w:t>We financed the Sunder Acquisition through the issuance of a $20.0 million note (“</w:t>
      </w:r>
      <w:r>
        <w:rPr>
          <w:rFonts w:ascii="Times New Roman" w:cs="Times New Roman" w:eastAsia="Times New Roman" w:hAnsi="Times New Roman"/>
          <w:sz w:val="15"/>
          <w:szCs w:val="15"/>
          <w:b w:val="1"/>
          <w:bCs w:val="1"/>
          <w:color w:val="auto"/>
        </w:rPr>
        <w:t>Seller Note</w:t>
      </w:r>
      <w:r>
        <w:rPr>
          <w:rFonts w:ascii="Times New Roman" w:cs="Times New Roman" w:eastAsia="Times New Roman" w:hAnsi="Times New Roman"/>
          <w:sz w:val="15"/>
          <w:szCs w:val="15"/>
          <w:color w:val="auto"/>
        </w:rPr>
        <w:t>”) with an interest rate of 7.0% and due the earlier of (i) May 15, 2026 and (ii) the date on which all amounts under the Seller Note otherwise become due and payable following an event of default and the issuance of $22.0 million of 7.0% senior unsecured convertible notes due July 1, 2029.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Ambia Energy acquisition transaction</w:t>
      </w:r>
    </w:p>
    <w:p>
      <w:pPr>
        <w:spacing w:after="0" w:line="192"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On November 21, 2025, we entered into an agreement to acquire Ambia Energy, LLC (“</w:t>
      </w:r>
      <w:r>
        <w:rPr>
          <w:rFonts w:ascii="Times New Roman" w:cs="Times New Roman" w:eastAsia="Times New Roman" w:hAnsi="Times New Roman"/>
          <w:sz w:val="15"/>
          <w:szCs w:val="15"/>
          <w:b w:val="1"/>
          <w:bCs w:val="1"/>
          <w:color w:val="auto"/>
        </w:rPr>
        <w:t>Ambia</w:t>
      </w:r>
      <w:r>
        <w:rPr>
          <w:rFonts w:ascii="Times New Roman" w:cs="Times New Roman" w:eastAsia="Times New Roman" w:hAnsi="Times New Roman"/>
          <w:sz w:val="15"/>
          <w:szCs w:val="15"/>
          <w:color w:val="auto"/>
        </w:rPr>
        <w:t>”) and completed the acquisition on November 21, 2025 (the “</w:t>
      </w:r>
      <w:r>
        <w:rPr>
          <w:rFonts w:ascii="Times New Roman" w:cs="Times New Roman" w:eastAsia="Times New Roman" w:hAnsi="Times New Roman"/>
          <w:sz w:val="15"/>
          <w:szCs w:val="15"/>
          <w:b w:val="1"/>
          <w:bCs w:val="1"/>
          <w:color w:val="auto"/>
        </w:rPr>
        <w:t>Ambia Acquisition</w:t>
      </w:r>
      <w:r>
        <w:rPr>
          <w:rFonts w:ascii="Times New Roman" w:cs="Times New Roman" w:eastAsia="Times New Roman" w:hAnsi="Times New Roman"/>
          <w:sz w:val="15"/>
          <w:szCs w:val="15"/>
          <w:color w:val="auto"/>
        </w:rPr>
        <w:t>”). The Ambia Acquisition was completed through the acquisition of all of the membership interests of Ambia for aggregate consideration of 10,243,924 shares of our common stock issued as of the acquisition date plus our agreement to issue an additional $9.375 million of shares of our common stock on the six-month anniversary of the Ambia Acquisition closing and an additional $9.375 million of shares of our common stock on the 12-month anniversary of the Ambia Acquisition closing (such shares, the “</w:t>
      </w:r>
      <w:r>
        <w:rPr>
          <w:rFonts w:ascii="Times New Roman" w:cs="Times New Roman" w:eastAsia="Times New Roman" w:hAnsi="Times New Roman"/>
          <w:sz w:val="15"/>
          <w:szCs w:val="15"/>
          <w:b w:val="1"/>
          <w:bCs w:val="1"/>
          <w:color w:val="auto"/>
        </w:rPr>
        <w:t>Ambia Post-Closing Consideration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The issuance of the Ambia Post-Closing Consideration Shares is subject to approval by our stockholders following the Ambia Acquisition closing in accordance with the rules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regulations of the Nasdaq Stock Market (including Nasdaq Listing Rule 5635(a)). The actual number of Ambia Post-Closing Consideration Shares issuable on the six- and 12-month anniversaries of the Ambia Acquisition closing will be determined based on the 20-day trailing volume-weighted average price of our common stock after market close on the business day immediate prior to the issuance date of the applicable shares (the “</w:t>
      </w:r>
      <w:r>
        <w:rPr>
          <w:rFonts w:ascii="Times New Roman" w:cs="Times New Roman" w:eastAsia="Times New Roman" w:hAnsi="Times New Roman"/>
          <w:sz w:val="15"/>
          <w:szCs w:val="15"/>
          <w:b w:val="1"/>
          <w:bCs w:val="1"/>
          <w:color w:val="auto"/>
        </w:rPr>
        <w:t>VWAP Value</w:t>
      </w:r>
      <w:r>
        <w:rPr>
          <w:rFonts w:ascii="Times New Roman" w:cs="Times New Roman" w:eastAsia="Times New Roman" w:hAnsi="Times New Roman"/>
          <w:sz w:val="15"/>
          <w:szCs w:val="15"/>
          <w:color w:val="auto"/>
        </w:rPr>
        <w:t xml:space="preserve">”); provided that the VWAP Value for the calculation of the actual number of the Ambia Post-Closing Consideration Shares issuable will not be more than $2.8102 per share or less than $1.4988 per share. This transaction was accounted for as a business combination in accordance with ASC 805,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Cobalt Acquisition</w:t>
      </w:r>
    </w:p>
    <w:p>
      <w:pPr>
        <w:spacing w:after="0" w:line="192"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On January 30, 2026, we entered into a stock purchase agreement to acquire Cobalt Power Systems, Inc. (“</w:t>
      </w:r>
      <w:r>
        <w:rPr>
          <w:rFonts w:ascii="Times New Roman" w:cs="Times New Roman" w:eastAsia="Times New Roman" w:hAnsi="Times New Roman"/>
          <w:sz w:val="15"/>
          <w:szCs w:val="15"/>
          <w:b w:val="1"/>
          <w:bCs w:val="1"/>
          <w:color w:val="auto"/>
        </w:rPr>
        <w:t>Cobalt</w:t>
      </w:r>
      <w:r>
        <w:rPr>
          <w:rFonts w:ascii="Times New Roman" w:cs="Times New Roman" w:eastAsia="Times New Roman" w:hAnsi="Times New Roman"/>
          <w:sz w:val="15"/>
          <w:szCs w:val="15"/>
          <w:color w:val="auto"/>
        </w:rPr>
        <w:t>”) and completed the acquisition on February 2, 2026 (the “</w:t>
      </w:r>
      <w:r>
        <w:rPr>
          <w:rFonts w:ascii="Times New Roman" w:cs="Times New Roman" w:eastAsia="Times New Roman" w:hAnsi="Times New Roman"/>
          <w:sz w:val="15"/>
          <w:szCs w:val="15"/>
          <w:b w:val="1"/>
          <w:bCs w:val="1"/>
          <w:color w:val="auto"/>
        </w:rPr>
        <w:t>Cobalt Acquisition</w:t>
      </w:r>
      <w:r>
        <w:rPr>
          <w:rFonts w:ascii="Times New Roman" w:cs="Times New Roman" w:eastAsia="Times New Roman" w:hAnsi="Times New Roman"/>
          <w:sz w:val="15"/>
          <w:szCs w:val="15"/>
          <w:color w:val="auto"/>
        </w:rPr>
        <w:t>”). The Cobalt Acquisition was completed through the acquisition of all of the outstanding equity interests of Cobalt for aggregate consideration of $10,000,000 shares of our common stock, including 1.8 million shares of common stock issued at closing and an additional $3,330,000 of shares of our common stock issuable on the 12-month anniversary of the closing and an additional $3,330,000 of shares of our common stock issuable on the 18-month anniversary of the closing of the Cobalt Acquisition. Additionally, we agreed to issue up to $2,000,000 of restricted stock units to the Cobalt employees who continue their employment with us following the closing and an additional 850,000 restricted stock units as inducement awards to certain key employees of Cobalt. The actual number of shares of our common stock issuable by us at closing and on the 12- and 18-month anniversaries of the closing of the Cobalt Acquisition will be based on the five-day VWAP Value determined on the business day immediately preceding the date on which the shares are issued. The Cobalt Acquisition agreement includes customary representations and warranties, covenants, and indemnities, in each case under the circumstances and subject to certain limitations set forth in the agreement. The indemnification obligations under the Cobalt Acquisition agreement are subject to customary deductibles and caps. Our primary source of recovery for indemnifiable damages is set off of such damages against the shares of our common stock issuable by us following closing of the Cobalt Acquisition.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financial definitions/components of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Revenue is recognized for Residential Solar Installation and New Homes Business when a customer obtains control of promised products and services and we have satisfied our performance obligations which is the date by which substantially all of our design and installation is complete for a fully functioning solar power system to interconnect to the local power grid.</w:t>
      </w:r>
    </w:p>
    <w:p>
      <w:pPr>
        <w:spacing w:after="0" w:line="14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We account for these services as inputs to a combined output, resulting in a single service-based performance obligation.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54" w:name="page55"/>
    <w:bookmarkEnd w:id="54"/>
    <w:p>
      <w:pPr>
        <w:ind w:right="20" w:firstLine="273"/>
        <w:spacing w:after="0" w:line="287" w:lineRule="auto"/>
        <w:rPr>
          <w:sz w:val="20"/>
          <w:szCs w:val="20"/>
          <w:color w:val="auto"/>
        </w:rPr>
      </w:pPr>
      <w:r>
        <w:rPr>
          <w:rFonts w:ascii="Times New Roman" w:cs="Times New Roman" w:eastAsia="Times New Roman" w:hAnsi="Times New Roman"/>
          <w:sz w:val="15"/>
          <w:szCs w:val="15"/>
          <w:color w:val="auto"/>
        </w:rPr>
        <w:t>The amount of revenue recognized reflects the consideration which we expect to be entitled to receive in exchange for the products and services. To achieve this core principle, we apply the following five steps: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1. Identification of the contract(s) with a customer;</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2. Identification of the performance obligations in the contracts(s);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3. Determination of the transaction price;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4. Allocation of the transaction price to the performance obligations;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5. Recognition of the revenue when, or as, we satisfy a performance obligation.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Residential Solar Installation revenues</w:t>
      </w:r>
    </w:p>
    <w:p>
      <w:pPr>
        <w:spacing w:after="0" w:line="196" w:lineRule="exact"/>
        <w:rPr>
          <w:sz w:val="20"/>
          <w:szCs w:val="20"/>
          <w:color w:val="auto"/>
        </w:rPr>
      </w:pPr>
    </w:p>
    <w:p>
      <w:pPr>
        <w:ind w:firstLine="273"/>
        <w:spacing w:after="0" w:line="287" w:lineRule="auto"/>
        <w:rPr>
          <w:sz w:val="20"/>
          <w:szCs w:val="20"/>
          <w:color w:val="auto"/>
        </w:rPr>
      </w:pPr>
      <w:r>
        <w:rPr>
          <w:rFonts w:ascii="Times New Roman" w:cs="Times New Roman" w:eastAsia="Times New Roman" w:hAnsi="Times New Roman"/>
          <w:sz w:val="15"/>
          <w:szCs w:val="15"/>
          <w:color w:val="auto"/>
        </w:rPr>
        <w:t>Our Residential Solar Installation segment sells products through a network of installing and non-installing dealers and resellers, as well as our internal sales team. Our contracts with customers include three primary contract types:</w:t>
      </w:r>
    </w:p>
    <w:p>
      <w:pPr>
        <w:spacing w:after="0" w:line="130" w:lineRule="exact"/>
        <w:rPr>
          <w:sz w:val="20"/>
          <w:szCs w:val="20"/>
          <w:color w:val="auto"/>
        </w:rPr>
      </w:pPr>
    </w:p>
    <w:p>
      <w:pPr>
        <w:ind w:left="540" w:right="20" w:hanging="276"/>
        <w:spacing w:after="0" w:line="293"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Cash agreements </w:t>
      </w:r>
      <w:r>
        <w:rPr>
          <w:rFonts w:ascii="Times New Roman" w:cs="Times New Roman" w:eastAsia="Times New Roman" w:hAnsi="Times New Roman"/>
          <w:sz w:val="15"/>
          <w:szCs w:val="15"/>
          <w:color w:val="auto"/>
        </w:rPr>
        <w:t>- We contract directly with homeowners who purchase the solar energy system and related services from us. Customers are invoiced on a billing schedule,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where the majority of the transaction price is due upon installation with an additional payment due when the system passes inspection by the authority having jurisdiction.</w:t>
      </w:r>
    </w:p>
    <w:p>
      <w:pPr>
        <w:spacing w:after="0" w:line="125" w:lineRule="exact"/>
        <w:rPr>
          <w:rFonts w:ascii="Times New Roman" w:cs="Times New Roman" w:eastAsia="Times New Roman" w:hAnsi="Times New Roman"/>
          <w:sz w:val="15"/>
          <w:szCs w:val="15"/>
          <w:color w:val="auto"/>
        </w:rPr>
      </w:pPr>
    </w:p>
    <w:p>
      <w:pPr>
        <w:jc w:val="both"/>
        <w:ind w:left="540" w:hanging="276"/>
        <w:spacing w:after="0" w:line="266"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Financing partner agreements </w:t>
      </w:r>
      <w:r>
        <w:rPr>
          <w:rFonts w:ascii="Times New Roman" w:cs="Times New Roman" w:eastAsia="Times New Roman" w:hAnsi="Times New Roman"/>
          <w:sz w:val="15"/>
          <w:szCs w:val="15"/>
          <w:color w:val="auto"/>
        </w:rPr>
        <w:t>- In our financing partner agreements, we contract directly with homeowners for the purchase of the solar energy system and related services. We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refer the homeowner to a financing partner to finance the system, and the homeowner makes payments directly to the financing partner. We receive consideration from the financing partner on a billing schedule where the majority of the transaction price is due upon installation with an additional payment due when the system passes inspection by the authority having jurisdiction.</w:t>
      </w:r>
    </w:p>
    <w:p>
      <w:pPr>
        <w:spacing w:after="0" w:line="145" w:lineRule="exact"/>
        <w:rPr>
          <w:rFonts w:ascii="Times New Roman" w:cs="Times New Roman" w:eastAsia="Times New Roman" w:hAnsi="Times New Roman"/>
          <w:sz w:val="15"/>
          <w:szCs w:val="15"/>
          <w:color w:val="auto"/>
        </w:rPr>
      </w:pPr>
    </w:p>
    <w:p>
      <w:pPr>
        <w:jc w:val="both"/>
        <w:ind w:left="540" w:hanging="276"/>
        <w:spacing w:after="0" w:line="263"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Power purchase agreements and lease agreements </w:t>
      </w:r>
      <w:r>
        <w:rPr>
          <w:rFonts w:ascii="Times New Roman" w:cs="Times New Roman" w:eastAsia="Times New Roman" w:hAnsi="Times New Roman"/>
          <w:sz w:val="15"/>
          <w:szCs w:val="15"/>
          <w:color w:val="auto"/>
        </w:rPr>
        <w:t>- We contract directly with a leasing partner to perform the solar energy system installation, and the homeowner will finance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system through a power purchase agreement (or lease), which is signed with our leasing partner. We consider the leasing partner to be our customer, as we do not contract directly with the homeowner and the leasing partner takes ownership of the system upon the completion of installation. We receive consideration from the leasing partner on a billing schedule where the majority of the transaction price is due upon installation with an additional payment due when the system passes inspection by the authority having jurisdiction.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New Homes Business revenues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New Homes Business segment sells through a network of home builders as well as our internal sales team. Our contracts with customers include two primary contract types:</w:t>
      </w:r>
    </w:p>
    <w:p>
      <w:pPr>
        <w:spacing w:after="0" w:line="188" w:lineRule="exact"/>
        <w:rPr>
          <w:sz w:val="20"/>
          <w:szCs w:val="20"/>
          <w:color w:val="auto"/>
        </w:rPr>
      </w:pPr>
    </w:p>
    <w:p>
      <w:pPr>
        <w:ind w:left="540" w:right="20" w:hanging="276"/>
        <w:spacing w:after="0" w:line="293" w:lineRule="auto"/>
        <w:tabs>
          <w:tab w:leader="none" w:pos="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Cash agreements </w:t>
      </w:r>
      <w:r>
        <w:rPr>
          <w:rFonts w:ascii="Times New Roman" w:cs="Times New Roman" w:eastAsia="Times New Roman" w:hAnsi="Times New Roman"/>
          <w:sz w:val="15"/>
          <w:szCs w:val="15"/>
          <w:color w:val="auto"/>
        </w:rPr>
        <w:t>- We contract directly with homebuilders who purchase the solar energy system from us and are the customers in the transaction. Our customers are invoiced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upon the completion of installation.</w:t>
      </w:r>
    </w:p>
    <w:p>
      <w:pPr>
        <w:spacing w:after="0" w:line="125" w:lineRule="exact"/>
        <w:rPr>
          <w:rFonts w:ascii="Times New Roman" w:cs="Times New Roman" w:eastAsia="Times New Roman" w:hAnsi="Times New Roman"/>
          <w:sz w:val="15"/>
          <w:szCs w:val="15"/>
          <w:color w:val="auto"/>
        </w:rPr>
      </w:pPr>
    </w:p>
    <w:p>
      <w:pPr>
        <w:jc w:val="both"/>
        <w:ind w:left="540" w:hanging="276"/>
        <w:spacing w:after="0" w:line="263" w:lineRule="auto"/>
        <w:tabs>
          <w:tab w:leader="none" w:pos="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Lease agreements </w:t>
      </w:r>
      <w:r>
        <w:rPr>
          <w:rFonts w:ascii="Times New Roman" w:cs="Times New Roman" w:eastAsia="Times New Roman" w:hAnsi="Times New Roman"/>
          <w:sz w:val="15"/>
          <w:szCs w:val="15"/>
          <w:color w:val="auto"/>
        </w:rPr>
        <w:t>- Prior to the SunPower Debtor’s declaration of bankruptcy, certain homeowners had intended to lease a system from SunPower Debtors, but were unable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consummate the transaction (as a result of SunPower Debtor’s declaration of bankruptcy). The in-process system inventory (installed on recently constructed homes) was acquired by us in connection with the SunPower Acquisition. We contracted directly with a leasing partner to facilitate the leasing of the system to the impacted homeowners. We consider the leasing partner to be our customer. Under the terms of our arrangement with the leasing partner, control is not transferred to the customer until the completed system is accepted by the customer. We receive consideration from the leasing partner following the acceptance of the system.</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55" w:name="page56"/>
    <w:bookmarkEnd w:id="55"/>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Our performance obligation for both reportable segments is to design and install a fully functioning solar energy system. For all contract types (with the exception of New Homes Business Lease agreements), we recognize revenue over time. Our over-time revenue recognition begins when the solar power system is fully installed (as it is at this point that control of the asset begins to be transferred to the customer and the customer retains the significant risks and rewards of ownership of the solar power system). We recognize revenue using the input method based on direct costs to install the system and defer the costs of installation until such time that control of the asset transfers to the customer (installation). For New Homes Business Lease agreements, we consider the performance obligation to be satisfied at a point in time upon acceptance of the system by the customer.</w:t>
      </w:r>
    </w:p>
    <w:p>
      <w:pPr>
        <w:spacing w:after="0" w:line="155"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Revenue is generally recognized at the transaction price contained within the agreement, net of costs of financing, or other consideration paid to the customers that is not in exchange for a distinct good or service. Our arrangements may contain clauses that can either increase or decrease the transaction price. Variable consideration is estimated at each measurement date at its most likely amount to the extent that it is probably that a significant reversal of cumulative revenue recognized will not occur and true-ups are applied prospectively as such estimates change.</w:t>
      </w:r>
    </w:p>
    <w:p>
      <w:pPr>
        <w:spacing w:after="0" w:line="151"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record deferred revenue for amounts invoiced that are received in advance of the provisioning of services. In certain contracts with customers, we arrange for a third-party financing partner to provide financing to the customer. We collect upfront from the financing partner and the customer will provide installment payments to the financing partner. We record revenue in the amount received from the financing partner, net of any financing fees charged to the homeowner, which we consider to be a customer incentive. None of our contracts contain a significant financing component.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Sunder</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We earn revenue from contracts sold to customers for solar installations performed by third-party installation companies. We recognize revenue at a point in time when Permission to Operate (“PTO”) is complete. We act as an agent in these arrangements and record revenue on a net basis. We do not have significant financing components in our contracts. We do not provide warranty services and do not record a warranty reserve.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Costs to obtain and fulfill contracts</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196"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we transfer control of the product to the customer, which is generally upon installation.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Sales commissions</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Sales commissions are direct and incremental costs of obtaining customer contracts. These costs are paid to internal sales teams and third-party vendors who source residential customer contracts for the sale of solar energy systems.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Sales and marketing</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Sales and marketing expenses primarily consist of personnel related costs, including salaries and employee benefits, stock-based compensation, and other promotional and advertising expenses. We expense certain sales and marketing, including promotional expenses, as incurred.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business insurance costs and other costs.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Interest expense primarily relates to interest expense on the issuance of debt and convertible notes and the amortization of debt issuance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expense, net</w:t>
      </w:r>
    </w:p>
    <w:p>
      <w:pPr>
        <w:spacing w:after="0" w:line="19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Other expense, net consists of changes in the fair value of our derivative liabilities in connection with our convertible notes and changes in the fair value of common stock warrant liabilities, forward purchase agreements, and SAFE Agreements.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 expense</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Income tax expense primarily consists of income taxes in certain jurisdictions in which we conduct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Supply chain constraints and risk</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spacing w:after="0" w:line="154" w:lineRule="exact"/>
        <w:rPr>
          <w:sz w:val="20"/>
          <w:szCs w:val="20"/>
          <w:color w:val="auto"/>
        </w:rPr>
      </w:pPr>
    </w:p>
    <w:p>
      <w:pPr>
        <w:jc w:val="both"/>
        <w:ind w:right="20" w:firstLine="273"/>
        <w:spacing w:after="0" w:line="264" w:lineRule="auto"/>
        <w:rPr>
          <w:sz w:val="20"/>
          <w:szCs w:val="20"/>
          <w:color w:val="auto"/>
        </w:rPr>
      </w:pPr>
      <w:r>
        <w:rPr>
          <w:rFonts w:ascii="Times New Roman" w:cs="Times New Roman" w:eastAsia="Times New Roman" w:hAnsi="Times New Roman"/>
          <w:sz w:val="15"/>
          <w:szCs w:val="15"/>
          <w:color w:val="auto"/>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consolidated financial statements included elsewhere herein. We believe that policies associated with our revenue recognition and business combination have the greatest impact on our consolidated financial statements. Therefore, we consider these to be our critical accounting policies and estimates.</w:t>
      </w:r>
    </w:p>
    <w:p>
      <w:pPr>
        <w:spacing w:after="0" w:line="154"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We believe that policies associated with our revenue recognition and business combination have the greatest impact on our consolidated financial statements. Therefore, we consider these to be our critical accounting policies and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Revenue is recognized for Residential Solar Installation and New Home Business when a customer obtains control of promised products and services and we have satisfied our performance obligations which is the date by which substantially all of our design and installation is complete for a fully functioning solar power system to interconnect to the local power grid.</w:t>
      </w:r>
    </w:p>
    <w:p>
      <w:pPr>
        <w:spacing w:after="0" w:line="14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We account for these services as inputs to a combined output, resulting in a single service-based performance obligation.</w:t>
      </w:r>
    </w:p>
    <w:p>
      <w:pPr>
        <w:spacing w:after="0" w:line="14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The amount of revenue recognized reflects the consideration which we expect to be entitled to receive in exchange for the products and services. To achieve this core principle, we apply the following five steps: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1. Identification of the contract(s) with a customer;</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2. Identification of the performance obligations in the contracts(s);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3. Determination of the transaction price;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4. Allocation of the transaction price to the performance obligations;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5. Recognition of the revenue when, or as, we satisfy a performance obligation.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i w:val="1"/>
          <w:iCs w:val="1"/>
          <w:color w:val="auto"/>
        </w:rPr>
        <w:t>Residential Solar Installation Revenues</w:t>
      </w:r>
    </w:p>
    <w:p>
      <w:pPr>
        <w:spacing w:after="0" w:line="196" w:lineRule="exact"/>
        <w:rPr>
          <w:sz w:val="20"/>
          <w:szCs w:val="20"/>
          <w:color w:val="auto"/>
        </w:rPr>
      </w:pPr>
    </w:p>
    <w:p>
      <w:pPr>
        <w:ind w:firstLine="273"/>
        <w:spacing w:after="0" w:line="287" w:lineRule="auto"/>
        <w:rPr>
          <w:sz w:val="20"/>
          <w:szCs w:val="20"/>
          <w:color w:val="auto"/>
        </w:rPr>
      </w:pPr>
      <w:r>
        <w:rPr>
          <w:rFonts w:ascii="Times New Roman" w:cs="Times New Roman" w:eastAsia="Times New Roman" w:hAnsi="Times New Roman"/>
          <w:sz w:val="15"/>
          <w:szCs w:val="15"/>
          <w:color w:val="auto"/>
        </w:rPr>
        <w:t>Our Residential Solar Installation segment sells products through a network of installing and non-installing dealers and resellers, as well as our internal sales team. Our contracts with customers include three primary contract types:</w:t>
      </w:r>
    </w:p>
    <w:p>
      <w:pPr>
        <w:spacing w:after="0" w:line="134" w:lineRule="exact"/>
        <w:rPr>
          <w:sz w:val="20"/>
          <w:szCs w:val="20"/>
          <w:color w:val="auto"/>
        </w:rPr>
      </w:pPr>
    </w:p>
    <w:p>
      <w:pPr>
        <w:ind w:left="540" w:hanging="276"/>
        <w:spacing w:after="0" w:line="287"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agreements – We contract directly with homeowners who purchase the solar energy system and related services from us. Customers are invoiced on a billing schedule, where the majority of the transaction price is due upon installation with an additional payment due when the system passes inspection by the authority having jurisdiction.</w:t>
      </w:r>
    </w:p>
    <w:p>
      <w:pPr>
        <w:spacing w:after="0" w:line="133" w:lineRule="exact"/>
        <w:rPr>
          <w:rFonts w:ascii="Times New Roman" w:cs="Times New Roman" w:eastAsia="Times New Roman" w:hAnsi="Times New Roman"/>
          <w:sz w:val="15"/>
          <w:szCs w:val="15"/>
          <w:color w:val="auto"/>
        </w:rPr>
      </w:pPr>
    </w:p>
    <w:p>
      <w:pPr>
        <w:jc w:val="both"/>
        <w:ind w:left="540" w:hanging="276"/>
        <w:spacing w:after="0" w:line="264"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Financing partner agreements – In our financing partner agreements, we contract directly with homeowners for the purchase of the solar energy system and related services. We refer the homeowner to a financing partner to finance the system, and the homeowner makes payments directly to the financing partner. We receive consideration from the financing partner on a billing schedule where the majority of the transaction price is due upon installation with an additional payment due when the system passes inspection by the authority having jurisdiction.</w:t>
      </w:r>
    </w:p>
    <w:p>
      <w:pPr>
        <w:spacing w:after="0" w:line="151" w:lineRule="exact"/>
        <w:rPr>
          <w:rFonts w:ascii="Times New Roman" w:cs="Times New Roman" w:eastAsia="Times New Roman" w:hAnsi="Times New Roman"/>
          <w:sz w:val="15"/>
          <w:szCs w:val="15"/>
          <w:color w:val="auto"/>
        </w:rPr>
      </w:pPr>
    </w:p>
    <w:p>
      <w:pPr>
        <w:jc w:val="both"/>
        <w:ind w:left="540" w:hanging="276"/>
        <w:spacing w:after="0" w:line="261"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Power purchase agreements and lease agreements – We contract directly with a leasing partner to perform the solar energy system installation, and the homeowner will finance the system through a power purchase agreement (or lease), which is signed with our leasing partner. We consider the leasing partner to be our customer, as we do not contract directly with the homeowner and the leasing partner takes ownership of the system upon the completion of installation. We receive consideration from the leasing partner on a billing schedule where the majority of the transaction price is due upon installation with an additional payment due when the system passes inspection by the authority having jurisdiction.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New Home Business Revenues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New Homes Business sells through a network of home builders as well as our internal sales team. Our contracts with customers include two primary contract types:</w:t>
      </w:r>
    </w:p>
    <w:p>
      <w:pPr>
        <w:spacing w:after="0" w:line="188" w:lineRule="exact"/>
        <w:rPr>
          <w:sz w:val="20"/>
          <w:szCs w:val="20"/>
          <w:color w:val="auto"/>
        </w:rPr>
      </w:pPr>
    </w:p>
    <w:p>
      <w:pPr>
        <w:ind w:left="540" w:hanging="276"/>
        <w:spacing w:after="0" w:line="293" w:lineRule="auto"/>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Cash agreements </w:t>
      </w:r>
      <w:r>
        <w:rPr>
          <w:rFonts w:ascii="Times New Roman" w:cs="Times New Roman" w:eastAsia="Times New Roman" w:hAnsi="Times New Roman"/>
          <w:sz w:val="15"/>
          <w:szCs w:val="15"/>
          <w:color w:val="auto"/>
        </w:rPr>
        <w:t>– We contract directly with homebuilders who purchase the solar energy system from us and are the customers in the transaction. Our customers are invoiced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upon the completion of installation.</w:t>
      </w:r>
    </w:p>
    <w:p>
      <w:pPr>
        <w:spacing w:after="0" w:line="125" w:lineRule="exact"/>
        <w:rPr>
          <w:rFonts w:ascii="Times New Roman" w:cs="Times New Roman" w:eastAsia="Times New Roman" w:hAnsi="Times New Roman"/>
          <w:sz w:val="15"/>
          <w:szCs w:val="15"/>
          <w:color w:val="auto"/>
        </w:rPr>
      </w:pPr>
    </w:p>
    <w:p>
      <w:pPr>
        <w:jc w:val="both"/>
        <w:ind w:left="540" w:hanging="276"/>
        <w:spacing w:after="0" w:line="263" w:lineRule="auto"/>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Lease agreements </w:t>
      </w:r>
      <w:r>
        <w:rPr>
          <w:rFonts w:ascii="Times New Roman" w:cs="Times New Roman" w:eastAsia="Times New Roman" w:hAnsi="Times New Roman"/>
          <w:sz w:val="15"/>
          <w:szCs w:val="15"/>
          <w:color w:val="auto"/>
        </w:rPr>
        <w:t>– Prior to the SunPower Corporation’s declaration of bankruptcy, certain homeowners had intended to lease a system from the SunPower Corporation, but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were unable to consummate the transaction (as a result of SunPower’s declaration of bankruptcy). The in-process system inventory (installed on recently constructed homes) was acquired by us in connection with the SunPower Acquisition. We contracted directly with a leasing partner to facilitate the leasing of the system to the impacted homeowners. We consider the leasing partner to be our customer. Under the terms of our arrangement with the leasing partner, control is not transferred to the customer until the completed system is accepted by the customer. We receive consideration from the leasing partner following the acceptance of the system.</w:t>
      </w:r>
    </w:p>
    <w:p>
      <w:pPr>
        <w:spacing w:after="0" w:line="151"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Our performance obligation for both reportable segments is to design and install a fully functioning solar energy system. For all contract types (with the exception of New Homes Business Lease agreements), we recognize revenue over time. Our over-time revenue recognition begins when the solar power system is fully installed (as it is at this point that control of the asset begins to be transferred to the customer and the customer retains the significant risks and rewards of ownership of the solar power system). We recognize revenue using the input method based on direct costs to install the system and defer the costs of installation until such time that control of the asset transfers to the customer (installation). For New Homes Business Lease agreements, we consider the performance obligation to be satisfied at a point in time upon acceptance of the system by the customer.</w:t>
      </w:r>
    </w:p>
    <w:p>
      <w:pPr>
        <w:spacing w:after="0" w:line="155"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Revenue is generally recognized at the transaction price contained within the agreement, net of costs of financing, or other consideration paid to the customers that is not in exchange for a distinct good or service. Our arrangements may contain clauses that can either increase or decrease the transaction price. Variable consideration is estimated at each measurement date at its most likely amount to the extent that it is probably that a significant reversal of cumulative revenue recognized will not occur and true-ups are applied prospectively as such estimates change.</w:t>
      </w:r>
    </w:p>
    <w:p>
      <w:pPr>
        <w:spacing w:after="0" w:line="151"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record deferred revenue for amounts invoiced that are received in advance of the provisioning of services. In certain contracts with customers, we arrange for a third-party financing partner to provide financing to the customer. We collect upfront from the financing partner and the customer will provide installment payments to the financing partner. We record revenue in the amount received from the financing partner, net of any financing fees charged to the homeowner, which we consider to be a customer incentive. None of our contracts contain a significant financing component.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Costs to obtain and fulfill contracts</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58" w:name="page59"/>
    <w:bookmarkEnd w:id="58"/>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Accounting for Business Combinations</w:t>
      </w:r>
    </w:p>
    <w:p>
      <w:pPr>
        <w:spacing w:after="0" w:line="196" w:lineRule="exact"/>
        <w:rPr>
          <w:sz w:val="20"/>
          <w:szCs w:val="20"/>
          <w:color w:val="auto"/>
        </w:rPr>
      </w:pPr>
    </w:p>
    <w:p>
      <w:pPr>
        <w:jc w:val="both"/>
        <w:ind w:left="9" w:firstLine="273"/>
        <w:spacing w:after="0" w:line="260" w:lineRule="auto"/>
        <w:rPr>
          <w:sz w:val="20"/>
          <w:szCs w:val="20"/>
          <w:color w:val="auto"/>
        </w:rPr>
      </w:pPr>
      <w:r>
        <w:rPr>
          <w:rFonts w:ascii="Times New Roman" w:cs="Times New Roman" w:eastAsia="Times New Roman" w:hAnsi="Times New Roman"/>
          <w:sz w:val="15"/>
          <w:szCs w:val="15"/>
          <w:color w:val="auto"/>
        </w:rPr>
        <w:t>We record all acquired assets and liabilities, including goodwill, and other identifiable intangible assets at fair value. The initial recording of goodwill, other identifiable intangible assets, requires certain estimates and assumptions concerning the determination of the fair values and useful lives. The judgments made in the context of the purchase price allocation can materially affect our future results of operations. Accordingly, for significant acquisitions, we obtain assistance from third-party valuation specialists. The valuations calculated from estimates are based on information available at the acquisition date. Goodwill is not amortized but is subject to annual tests for impairment or more frequent tests if events or circumstances indicate it may be impaired. Other intangible assets are amortized over their estimated useful lives and are subject to impairment if events or circumstances indicate a possible inability to realize the carrying amount.</w:t>
      </w:r>
    </w:p>
    <w:p>
      <w:pPr>
        <w:spacing w:after="0" w:line="14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96" w:lineRule="exact"/>
        <w:rPr>
          <w:sz w:val="20"/>
          <w:szCs w:val="20"/>
          <w:color w:val="auto"/>
        </w:rPr>
      </w:pPr>
    </w:p>
    <w:p>
      <w:pPr>
        <w:jc w:val="both"/>
        <w:ind w:left="9" w:right="20" w:firstLine="273"/>
        <w:spacing w:after="0" w:line="287" w:lineRule="auto"/>
        <w:rPr>
          <w:sz w:val="20"/>
          <w:szCs w:val="20"/>
          <w:color w:val="auto"/>
        </w:rPr>
      </w:pPr>
      <w:r>
        <w:rPr>
          <w:rFonts w:ascii="Times New Roman" w:cs="Times New Roman" w:eastAsia="Times New Roman" w:hAnsi="Times New Roman"/>
          <w:sz w:val="15"/>
          <w:szCs w:val="15"/>
          <w:color w:val="auto"/>
        </w:rPr>
        <w:t>A discussion of recently issued accounting standards applicable to SunPower is described in Note 2 – Summary of Significant Accounting Policies, in the accompanying notes to the consolidated financial statements.</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96"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We have derived the following data from the accompanying unaudited condensed consolidated financial statements. This information should be read in conjunction with the accompanying unaudited condensed consolidated financial statements and related notes. The results of historical periods are not necessarily indicative of the results of operations for any future period.</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Thirteen-weeks ended September 28, 2025 compared to the thirteen weeks ended September 29, 2024</w:t>
      </w:r>
    </w:p>
    <w:p>
      <w:pPr>
        <w:spacing w:after="0" w:line="196" w:lineRule="exact"/>
        <w:rPr>
          <w:sz w:val="20"/>
          <w:szCs w:val="20"/>
          <w:color w:val="auto"/>
        </w:rPr>
      </w:pPr>
    </w:p>
    <w:p>
      <w:pPr>
        <w:jc w:val="both"/>
        <w:ind w:left="9" w:firstLine="273"/>
        <w:spacing w:after="0" w:line="287" w:lineRule="auto"/>
        <w:rPr>
          <w:sz w:val="20"/>
          <w:szCs w:val="20"/>
          <w:color w:val="auto"/>
        </w:rPr>
      </w:pPr>
      <w:r>
        <w:rPr>
          <w:rFonts w:ascii="Times New Roman" w:cs="Times New Roman" w:eastAsia="Times New Roman" w:hAnsi="Times New Roman"/>
          <w:sz w:val="15"/>
          <w:szCs w:val="15"/>
          <w:color w:val="auto"/>
        </w:rPr>
        <w:t>The following table sets forth our unaudited statements of operations from continuing operations for the thirteen weeks ended September 28, 2025, and the thirteen weeks ended September 29, 2024.</w:t>
      </w:r>
    </w:p>
    <w:p>
      <w:pPr>
        <w:spacing w:after="0" w:line="141"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5"/>
          </w:tcPr>
          <w:p>
            <w:pPr>
              <w:jc w:val="right"/>
              <w:ind w:right="742"/>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26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4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4"/>
                <w:szCs w:val="14"/>
                <w:color w:val="auto"/>
              </w:rPr>
            </w:pPr>
          </w:p>
        </w:tc>
        <w:tc>
          <w:tcPr>
            <w:tcW w:w="1120" w:type="dxa"/>
            <w:vAlign w:val="bottom"/>
          </w:tcPr>
          <w:p>
            <w:pPr>
              <w:jc w:val="right"/>
              <w:ind w:right="40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5,536</w:t>
            </w:r>
          </w:p>
        </w:tc>
        <w:tc>
          <w:tcPr>
            <w:tcW w:w="2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64,469</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1,165%</w:t>
            </w:r>
          </w:p>
        </w:tc>
        <w:tc>
          <w:tcPr>
            <w:tcW w:w="0" w:type="dxa"/>
            <w:vAlign w:val="bottom"/>
          </w:tcPr>
          <w:p>
            <w:pPr>
              <w:spacing w:after="0"/>
              <w:rPr>
                <w:sz w:val="1"/>
                <w:szCs w:val="1"/>
                <w:color w:val="auto"/>
              </w:rPr>
            </w:pPr>
          </w:p>
        </w:tc>
      </w:tr>
      <w:tr>
        <w:trPr>
          <w:trHeight w:val="196"/>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00" w:type="dxa"/>
            <w:vAlign w:val="bottom"/>
          </w:tcPr>
          <w:p>
            <w:pPr>
              <w:spacing w:after="0"/>
              <w:rPr>
                <w:sz w:val="17"/>
                <w:szCs w:val="17"/>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37,965</w:t>
            </w:r>
          </w:p>
        </w:tc>
        <w:tc>
          <w:tcPr>
            <w:tcW w:w="80" w:type="dxa"/>
            <w:vAlign w:val="bottom"/>
          </w:tcPr>
          <w:p>
            <w:pPr>
              <w:spacing w:after="0"/>
              <w:rPr>
                <w:sz w:val="17"/>
                <w:szCs w:val="17"/>
                <w:color w:val="auto"/>
              </w:rPr>
            </w:pPr>
          </w:p>
        </w:tc>
        <w:tc>
          <w:tcPr>
            <w:tcW w:w="132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8,693</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29,272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337%</w:t>
            </w:r>
          </w:p>
        </w:tc>
        <w:tc>
          <w:tcPr>
            <w:tcW w:w="0" w:type="dxa"/>
            <w:vAlign w:val="bottom"/>
          </w:tcPr>
          <w:p>
            <w:pPr>
              <w:spacing w:after="0"/>
              <w:rPr>
                <w:sz w:val="1"/>
                <w:szCs w:val="1"/>
                <w:color w:val="auto"/>
              </w:rPr>
            </w:pPr>
          </w:p>
        </w:tc>
      </w:tr>
      <w:tr>
        <w:trPr>
          <w:trHeight w:val="182"/>
        </w:trPr>
        <w:tc>
          <w:tcPr>
            <w:tcW w:w="58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Gross (loss) profit</w:t>
            </w: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32,040</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(3,157)</w:t>
            </w: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35,197</w:t>
            </w:r>
          </w:p>
        </w:tc>
        <w:tc>
          <w:tcPr>
            <w:tcW w:w="2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Gross margin %</w:t>
            </w:r>
          </w:p>
        </w:tc>
        <w:tc>
          <w:tcPr>
            <w:tcW w:w="10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15"/>
                <w:szCs w:val="15"/>
                <w:color w:val="auto"/>
              </w:rPr>
            </w:pPr>
          </w:p>
        </w:tc>
        <w:tc>
          <w:tcPr>
            <w:tcW w:w="13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(57)%</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Sales commissions</w:t>
            </w:r>
          </w:p>
        </w:tc>
        <w:tc>
          <w:tcPr>
            <w:tcW w:w="100" w:type="dxa"/>
            <w:vAlign w:val="bottom"/>
          </w:tcPr>
          <w:p>
            <w:pPr>
              <w:spacing w:after="0"/>
              <w:rPr>
                <w:sz w:val="15"/>
                <w:szCs w:val="15"/>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7,534</w:t>
            </w:r>
          </w:p>
        </w:tc>
        <w:tc>
          <w:tcPr>
            <w:tcW w:w="80" w:type="dxa"/>
            <w:vAlign w:val="bottom"/>
          </w:tcPr>
          <w:p>
            <w:pPr>
              <w:spacing w:after="0"/>
              <w:rPr>
                <w:sz w:val="15"/>
                <w:szCs w:val="15"/>
                <w:color w:val="auto"/>
              </w:rPr>
            </w:pPr>
          </w:p>
        </w:tc>
        <w:tc>
          <w:tcPr>
            <w:tcW w:w="132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7,270</w:t>
            </w: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264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82"/>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Sales and marketing</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6,467</w:t>
            </w:r>
          </w:p>
        </w:tc>
        <w:tc>
          <w:tcPr>
            <w:tcW w:w="80" w:type="dxa"/>
            <w:vAlign w:val="bottom"/>
            <w:shd w:val="clear" w:color="auto" w:fill="CCEEFF"/>
          </w:tcPr>
          <w:p>
            <w:pPr>
              <w:spacing w:after="0"/>
              <w:rPr>
                <w:sz w:val="15"/>
                <w:szCs w:val="15"/>
                <w:color w:val="auto"/>
              </w:rPr>
            </w:pPr>
          </w:p>
        </w:tc>
        <w:tc>
          <w:tcPr>
            <w:tcW w:w="1320" w:type="dxa"/>
            <w:vAlign w:val="bottom"/>
            <w:tcBorders>
              <w:right w:val="single" w:sz="8" w:color="CCEEFF"/>
            </w:tcBorders>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1,093</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5,374</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96"/>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00" w:type="dxa"/>
            <w:vAlign w:val="bottom"/>
          </w:tcPr>
          <w:p>
            <w:pPr>
              <w:spacing w:after="0"/>
              <w:rPr>
                <w:sz w:val="17"/>
                <w:szCs w:val="17"/>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21,483</w:t>
            </w:r>
          </w:p>
        </w:tc>
        <w:tc>
          <w:tcPr>
            <w:tcW w:w="80" w:type="dxa"/>
            <w:vAlign w:val="bottom"/>
          </w:tcPr>
          <w:p>
            <w:pPr>
              <w:spacing w:after="0"/>
              <w:rPr>
                <w:sz w:val="17"/>
                <w:szCs w:val="17"/>
                <w:color w:val="auto"/>
              </w:rPr>
            </w:pPr>
          </w:p>
        </w:tc>
        <w:tc>
          <w:tcPr>
            <w:tcW w:w="132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18,450</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3,033</w:t>
            </w:r>
          </w:p>
        </w:tc>
        <w:tc>
          <w:tcPr>
            <w:tcW w:w="2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2"/>
        </w:trPr>
        <w:tc>
          <w:tcPr>
            <w:tcW w:w="588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35,484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26,813</w:t>
            </w:r>
          </w:p>
        </w:tc>
        <w:tc>
          <w:tcPr>
            <w:tcW w:w="2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65"/>
        </w:trPr>
        <w:tc>
          <w:tcPr>
            <w:tcW w:w="5880" w:type="dxa"/>
            <w:vAlign w:val="bottom"/>
            <w:gridSpan w:val="2"/>
          </w:tcPr>
          <w:p>
            <w:pPr>
              <w:ind w:left="260"/>
              <w:spacing w:after="0" w:line="165" w:lineRule="exact"/>
              <w:rPr>
                <w:sz w:val="20"/>
                <w:szCs w:val="20"/>
                <w:color w:val="auto"/>
              </w:rPr>
            </w:pPr>
            <w:r>
              <w:rPr>
                <w:rFonts w:ascii="Times New Roman" w:cs="Times New Roman" w:eastAsia="Times New Roman" w:hAnsi="Times New Roman"/>
                <w:sz w:val="15"/>
                <w:szCs w:val="15"/>
                <w:color w:val="auto"/>
              </w:rPr>
              <w:t>Loss from continuing operations</w:t>
            </w:r>
          </w:p>
        </w:tc>
        <w:tc>
          <w:tcPr>
            <w:tcW w:w="100" w:type="dxa"/>
            <w:vAlign w:val="bottom"/>
          </w:tcPr>
          <w:p>
            <w:pPr>
              <w:spacing w:after="0"/>
              <w:rPr>
                <w:sz w:val="14"/>
                <w:szCs w:val="14"/>
                <w:color w:val="auto"/>
              </w:rPr>
            </w:pPr>
          </w:p>
        </w:tc>
        <w:tc>
          <w:tcPr>
            <w:tcW w:w="10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(3,444)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(29,970)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26,526</w:t>
            </w:r>
          </w:p>
        </w:tc>
        <w:tc>
          <w:tcPr>
            <w:tcW w:w="200" w:type="dxa"/>
            <w:vAlign w:val="bottom"/>
          </w:tcPr>
          <w:p>
            <w:pPr>
              <w:spacing w:after="0"/>
              <w:rPr>
                <w:sz w:val="14"/>
                <w:szCs w:val="14"/>
                <w:color w:val="auto"/>
              </w:rPr>
            </w:pPr>
          </w:p>
        </w:tc>
        <w:tc>
          <w:tcPr>
            <w:tcW w:w="13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Interest expense</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(8,104)</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5"/>
                <w:szCs w:val="15"/>
                <w:color w:val="auto"/>
              </w:rPr>
              <w:t>(2,338)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(5,766)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247%</w:t>
            </w:r>
          </w:p>
        </w:tc>
        <w:tc>
          <w:tcPr>
            <w:tcW w:w="0" w:type="dxa"/>
            <w:vAlign w:val="bottom"/>
          </w:tcPr>
          <w:p>
            <w:pPr>
              <w:spacing w:after="0"/>
              <w:rPr>
                <w:sz w:val="1"/>
                <w:szCs w:val="1"/>
                <w:color w:val="auto"/>
              </w:rPr>
            </w:pPr>
          </w:p>
        </w:tc>
      </w:tr>
      <w:tr>
        <w:trPr>
          <w:trHeight w:val="182"/>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tcPr>
          <w:p>
            <w:pPr>
              <w:spacing w:after="0"/>
              <w:rPr>
                <w:sz w:val="15"/>
                <w:szCs w:val="15"/>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86</w:t>
            </w:r>
          </w:p>
        </w:tc>
        <w:tc>
          <w:tcPr>
            <w:tcW w:w="2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Other expense, net</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(4,256)</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5"/>
                <w:szCs w:val="15"/>
                <w:color w:val="auto"/>
              </w:rPr>
              <w:t>(65,684)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61,428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196"/>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Gain on extinguishment of debt</w:t>
            </w:r>
          </w:p>
        </w:tc>
        <w:tc>
          <w:tcPr>
            <w:tcW w:w="100" w:type="dxa"/>
            <w:vAlign w:val="bottom"/>
          </w:tcPr>
          <w:p>
            <w:pPr>
              <w:spacing w:after="0"/>
              <w:rPr>
                <w:sz w:val="17"/>
                <w:szCs w:val="17"/>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2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19,948</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(19,948)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2"/>
        </w:trPr>
        <w:tc>
          <w:tcPr>
            <w:tcW w:w="588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Loss from continuing operations before taxes</w:t>
            </w: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(15,804)</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(77,958)</w:t>
            </w: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62,154</w:t>
            </w:r>
          </w:p>
        </w:tc>
        <w:tc>
          <w:tcPr>
            <w:tcW w:w="2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193"/>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benefit (provision)</w:t>
            </w:r>
          </w:p>
        </w:tc>
        <w:tc>
          <w:tcPr>
            <w:tcW w:w="10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
        </w:trPr>
        <w:tc>
          <w:tcPr>
            <w:tcW w:w="5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from continuing operations</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line="20" w:lineRule="exact"/>
              <w:rPr>
                <w:sz w:val="1"/>
                <w:szCs w:val="1"/>
                <w:color w:val="auto"/>
              </w:rPr>
            </w:pPr>
          </w:p>
        </w:tc>
      </w:tr>
      <w:tr>
        <w:trPr>
          <w:trHeight w:val="208"/>
        </w:trPr>
        <w:tc>
          <w:tcPr>
            <w:tcW w:w="5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(15,804</w:t>
            </w: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(77,958</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62,154</w:t>
            </w:r>
          </w:p>
        </w:tc>
        <w:tc>
          <w:tcPr>
            <w:tcW w:w="13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
        <w:spacing w:after="0"/>
        <w:tabs>
          <w:tab w:leader="none" w:pos="249" w:val="left"/>
        </w:tabs>
        <w:rPr>
          <w:sz w:val="20"/>
          <w:szCs w:val="20"/>
          <w:color w:val="auto"/>
        </w:rPr>
      </w:pPr>
      <w:r>
        <w:rPr>
          <w:rFonts w:ascii="Times New Roman" w:cs="Times New Roman" w:eastAsia="Times New Roman" w:hAnsi="Times New Roman"/>
          <w:sz w:val="15"/>
          <w:szCs w:val="15"/>
          <w:color w:val="auto"/>
        </w:rPr>
        <w:t>*</w:t>
        <w:tab/>
        <w:t>Percentage change is not meaningful.</w:t>
      </w:r>
    </w:p>
    <w:p>
      <w:pPr>
        <w:spacing w:after="0" w:line="192" w:lineRule="exact"/>
        <w:rPr>
          <w:sz w:val="20"/>
          <w:szCs w:val="20"/>
          <w:color w:val="auto"/>
        </w:rPr>
      </w:pPr>
    </w:p>
    <w:p>
      <w:pPr>
        <w:ind w:left="269" w:hanging="269"/>
        <w:spacing w:after="0" w:line="197" w:lineRule="auto"/>
        <w:tabs>
          <w:tab w:leader="none" w:pos="269"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interest expense and amortization of debt issuance costs to related party of $1.8 million and $1.5 million in the thirteen-weeks ended September 28, 2025 and September 29, 2024, respectively.</w:t>
      </w:r>
    </w:p>
    <w:p>
      <w:pPr>
        <w:spacing w:after="0" w:line="168" w:lineRule="exact"/>
        <w:rPr>
          <w:rFonts w:ascii="Times New Roman" w:cs="Times New Roman" w:eastAsia="Times New Roman" w:hAnsi="Times New Roman"/>
          <w:sz w:val="25"/>
          <w:szCs w:val="25"/>
          <w:color w:val="auto"/>
          <w:vertAlign w:val="superscript"/>
        </w:rPr>
      </w:pPr>
    </w:p>
    <w:p>
      <w:pPr>
        <w:jc w:val="both"/>
        <w:ind w:left="269" w:hanging="269"/>
        <w:spacing w:after="0" w:line="212" w:lineRule="auto"/>
        <w:tabs>
          <w:tab w:leader="none" w:pos="269"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loss of $3.0 million on issuance of derivative liability with a related party in the thirteen week period ended September 29, 2024. Includes expense of $0.3 million and $22.8 million due to the change in the fair value of derivative liabilities with related parties in the thirteen weeks ended September 28, 2025 and September 29, 2024, respectively. Refer to Note 9 - Borrowings and Derivative Liabilities for details.</w:t>
      </w:r>
    </w:p>
    <w:p>
      <w:pPr>
        <w:spacing w:after="0" w:line="169" w:lineRule="exact"/>
        <w:rPr>
          <w:rFonts w:ascii="Times New Roman" w:cs="Times New Roman" w:eastAsia="Times New Roman" w:hAnsi="Times New Roman"/>
          <w:sz w:val="25"/>
          <w:szCs w:val="25"/>
          <w:color w:val="auto"/>
          <w:vertAlign w:val="superscript"/>
        </w:rPr>
      </w:pPr>
    </w:p>
    <w:p>
      <w:pPr>
        <w:ind w:left="269"/>
        <w:spacing w:after="0" w:line="287"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Other expense, net includes related party transactions of $2.8 million of income due to the change in the fair value of a forward purchase agreement, and $0.9 million of expense related to the change in fair value of a SAFE Agreement in the thirteen week period ended September 29, 2024.</w:t>
      </w:r>
    </w:p>
    <w:p>
      <w:pPr>
        <w:spacing w:after="0" w:line="3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59" w:name="page60"/>
    <w:bookmarkEnd w:id="59"/>
    <w:tbl>
      <w:tblPr>
        <w:tblLayout w:type="fixed"/>
        <w:tblInd w:w="9" w:type="dxa"/>
        <w:tblCellMar>
          <w:top w:w="0" w:type="dxa"/>
          <w:left w:w="0" w:type="dxa"/>
          <w:bottom w:w="0" w:type="dxa"/>
          <w:right w:w="0" w:type="dxa"/>
        </w:tblCellMar>
      </w:tblP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Revenues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59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 xml:space="preserve">We disaggregate our revenues based on the following types of services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4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4"/>
                <w:szCs w:val="14"/>
                <w:color w:val="auto"/>
              </w:rPr>
            </w:pPr>
          </w:p>
        </w:tc>
        <w:tc>
          <w:tcPr>
            <w:tcW w:w="1300" w:type="dxa"/>
            <w:vAlign w:val="bottom"/>
            <w:gridSpan w:val="2"/>
          </w:tcPr>
          <w:p>
            <w:pPr>
              <w:jc w:val="right"/>
              <w:ind w:right="40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38,579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5,536</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33,043</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597%</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27,116</w:t>
            </w: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27,116</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Sunder</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4,310</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4,310</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 revenues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1,165%</w:t>
            </w: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70,005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5,536</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64,469</w:t>
            </w:r>
          </w:p>
        </w:tc>
        <w:tc>
          <w:tcPr>
            <w:tcW w:w="1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
        <w:spacing w:after="0"/>
        <w:tabs>
          <w:tab w:leader="none" w:pos="249" w:val="left"/>
        </w:tabs>
        <w:rPr>
          <w:sz w:val="20"/>
          <w:szCs w:val="20"/>
          <w:color w:val="auto"/>
        </w:rPr>
      </w:pPr>
      <w:r>
        <w:rPr>
          <w:rFonts w:ascii="Times New Roman" w:cs="Times New Roman" w:eastAsia="Times New Roman" w:hAnsi="Times New Roman"/>
          <w:sz w:val="15"/>
          <w:szCs w:val="15"/>
          <w:color w:val="auto"/>
        </w:rPr>
        <w:t>*</w:t>
        <w:tab/>
        <w:t>Percentage change is not meaningful.</w:t>
      </w:r>
    </w:p>
    <w:p>
      <w:pPr>
        <w:spacing w:after="0" w:line="192" w:lineRule="exact"/>
        <w:rPr>
          <w:sz w:val="20"/>
          <w:szCs w:val="20"/>
          <w:color w:val="auto"/>
        </w:rPr>
      </w:pPr>
    </w:p>
    <w:p>
      <w:pPr>
        <w:jc w:val="both"/>
        <w:ind w:left="9" w:firstLine="273"/>
        <w:spacing w:after="0" w:line="287" w:lineRule="auto"/>
        <w:rPr>
          <w:sz w:val="20"/>
          <w:szCs w:val="20"/>
          <w:color w:val="auto"/>
        </w:rPr>
      </w:pPr>
      <w:r>
        <w:rPr>
          <w:rFonts w:ascii="Times New Roman" w:cs="Times New Roman" w:eastAsia="Times New Roman" w:hAnsi="Times New Roman"/>
          <w:sz w:val="15"/>
          <w:szCs w:val="15"/>
          <w:color w:val="auto"/>
        </w:rPr>
        <w:t>The revenue increase is primarily attributed to the SunPower Acquisition in the fourth quarter of fiscal 2024. As a result, installations increased compared to the same period in the prior year by approximately 1,290 and 757 for Residential Solar Installation and New Homes Business reportable segments, respectively.</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40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Cost of revenues and gross margins</w:t>
            </w: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5"/>
          </w:tcPr>
          <w:p>
            <w:pPr>
              <w:jc w:val="right"/>
              <w:ind w:right="780"/>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98"/>
              </w:rPr>
              <w:t>September 29,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5"/>
                <w:szCs w:val="15"/>
                <w:color w:val="auto"/>
              </w:rPr>
            </w:pPr>
          </w:p>
        </w:tc>
        <w:tc>
          <w:tcPr>
            <w:tcW w:w="112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20,984</w:t>
            </w: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8,693</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12,291</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141%</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13,329</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13,329</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Sunder</w:t>
            </w: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3,652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3,652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 cost of revenues</w:t>
            </w: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337%</w:t>
            </w: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37,965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8,693</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29,272</w:t>
            </w: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margin</w:t>
            </w: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40" w:type="dxa"/>
            <w:vAlign w:val="bottom"/>
            <w:vMerge w:val="continue"/>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(57)%</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69" w:hanging="369"/>
        <w:spacing w:after="0"/>
        <w:tabs>
          <w:tab w:leader="none" w:pos="369"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Percentage change is not meaningful.</w:t>
      </w:r>
    </w:p>
    <w:p>
      <w:pPr>
        <w:spacing w:after="0" w:line="192" w:lineRule="exact"/>
        <w:rPr>
          <w:sz w:val="20"/>
          <w:szCs w:val="20"/>
          <w:color w:val="auto"/>
        </w:rPr>
      </w:pPr>
    </w:p>
    <w:p>
      <w:pPr>
        <w:ind w:left="9" w:right="20" w:firstLine="273"/>
        <w:spacing w:after="0" w:line="287" w:lineRule="auto"/>
        <w:rPr>
          <w:sz w:val="20"/>
          <w:szCs w:val="20"/>
          <w:color w:val="auto"/>
        </w:rPr>
      </w:pPr>
      <w:r>
        <w:rPr>
          <w:rFonts w:ascii="Times New Roman" w:cs="Times New Roman" w:eastAsia="Times New Roman" w:hAnsi="Times New Roman"/>
          <w:sz w:val="15"/>
          <w:szCs w:val="15"/>
          <w:color w:val="auto"/>
        </w:rPr>
        <w:t>Cost of revenues increased attributed to the SunPower Acquisition as installations increased the over the same period in the prior year period by approximately 1,290 and 757 for Residential Solar Installation and New Homes Business reportable segments, respectively.</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Sales commissions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4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4"/>
                <w:szCs w:val="14"/>
                <w:color w:val="auto"/>
              </w:rPr>
            </w:pPr>
          </w:p>
        </w:tc>
        <w:tc>
          <w:tcPr>
            <w:tcW w:w="1300" w:type="dxa"/>
            <w:vAlign w:val="bottom"/>
            <w:gridSpan w:val="2"/>
          </w:tcPr>
          <w:p>
            <w:pPr>
              <w:jc w:val="right"/>
              <w:ind w:right="40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w w:val="99"/>
              </w:rPr>
              <w:t>3%</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55</w:t>
            </w:r>
          </w:p>
        </w:tc>
        <w:tc>
          <w:tcPr>
            <w:tcW w:w="1440" w:type="dxa"/>
            <w:vAlign w:val="bottom"/>
            <w:gridSpan w:val="3"/>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Sunder</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 sales commissions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3"/>
            <w:vMerge w:val="restart"/>
          </w:tcPr>
          <w:p>
            <w:pPr>
              <w:ind w:left="1220"/>
              <w:spacing w:after="0"/>
              <w:rPr>
                <w:sz w:val="20"/>
                <w:szCs w:val="20"/>
                <w:color w:val="auto"/>
              </w:rPr>
            </w:pPr>
            <w:r>
              <w:rPr>
                <w:rFonts w:ascii="Times New Roman" w:cs="Times New Roman" w:eastAsia="Times New Roman" w:hAnsi="Times New Roman"/>
                <w:sz w:val="15"/>
                <w:szCs w:val="15"/>
                <w:color w:val="auto"/>
                <w:w w:val="99"/>
              </w:rPr>
              <w:t>4%</w:t>
            </w: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7,534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7,270</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264</w:t>
            </w:r>
          </w:p>
        </w:tc>
        <w:tc>
          <w:tcPr>
            <w:tcW w:w="1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9" w:hanging="369"/>
        <w:spacing w:after="0"/>
        <w:tabs>
          <w:tab w:leader="none" w:pos="36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Percentage change is not meaningful.</w:t>
      </w:r>
    </w:p>
    <w:p>
      <w:pPr>
        <w:spacing w:after="0" w:line="3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60" w:name="page61"/>
    <w:bookmarkEnd w:id="60"/>
    <w:p>
      <w:pPr>
        <w:ind w:left="9" w:right="20" w:firstLine="273"/>
        <w:spacing w:after="0" w:line="287" w:lineRule="auto"/>
        <w:rPr>
          <w:sz w:val="20"/>
          <w:szCs w:val="20"/>
          <w:color w:val="auto"/>
        </w:rPr>
      </w:pPr>
      <w:r>
        <w:rPr>
          <w:rFonts w:ascii="Times New Roman" w:cs="Times New Roman" w:eastAsia="Times New Roman" w:hAnsi="Times New Roman"/>
          <w:sz w:val="15"/>
          <w:szCs w:val="15"/>
          <w:color w:val="auto"/>
        </w:rPr>
        <w:t>Sales commissions for the Residential Solar Installation and New Homes Business reportable segments increased due to the increase in revenue arising from the SunPower Acquisition in the fourth quarter of fiscal 2024.</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Sales and marketing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4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4"/>
                <w:szCs w:val="14"/>
                <w:color w:val="auto"/>
              </w:rPr>
            </w:pPr>
          </w:p>
        </w:tc>
        <w:tc>
          <w:tcPr>
            <w:tcW w:w="1300" w:type="dxa"/>
            <w:vAlign w:val="bottom"/>
            <w:gridSpan w:val="2"/>
          </w:tcPr>
          <w:p>
            <w:pPr>
              <w:jc w:val="right"/>
              <w:ind w:right="40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4,781</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1,093</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3,688</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337%</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1,686</w:t>
            </w: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1,686</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Sunder</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 sales and marketing</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6,467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1,093</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5,374</w:t>
            </w:r>
          </w:p>
        </w:tc>
        <w:tc>
          <w:tcPr>
            <w:tcW w:w="1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9" w:hanging="369"/>
        <w:spacing w:after="0"/>
        <w:tabs>
          <w:tab w:leader="none" w:pos="369"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Percentage change is not meaningful.</w:t>
      </w:r>
    </w:p>
    <w:p>
      <w:pPr>
        <w:spacing w:after="0" w:line="19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Sales and marketing expenses in the Residential Solar Installation reportable segment increased due to the SunPower Acquisition in the fourth quarter of fiscal 2024.</w:t>
      </w:r>
    </w:p>
    <w:p>
      <w:pPr>
        <w:spacing w:after="0" w:line="188"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General and administrative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32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4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4"/>
                <w:szCs w:val="14"/>
                <w:color w:val="auto"/>
              </w:rPr>
            </w:pPr>
          </w:p>
        </w:tc>
        <w:tc>
          <w:tcPr>
            <w:tcW w:w="1120" w:type="dxa"/>
            <w:vAlign w:val="bottom"/>
          </w:tcPr>
          <w:p>
            <w:pPr>
              <w:jc w:val="right"/>
              <w:ind w:right="40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300" w:type="dxa"/>
            <w:vAlign w:val="bottom"/>
            <w:gridSpan w:val="2"/>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82"/>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12,240</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18,450</w:t>
            </w: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(6,210)</w:t>
            </w: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9,243</w:t>
            </w:r>
          </w:p>
        </w:tc>
        <w:tc>
          <w:tcPr>
            <w:tcW w:w="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9,243</w:t>
            </w:r>
          </w:p>
        </w:tc>
        <w:tc>
          <w:tcPr>
            <w:tcW w:w="200" w:type="dxa"/>
            <w:vAlign w:val="bottom"/>
          </w:tcPr>
          <w:p>
            <w:pPr>
              <w:spacing w:after="0"/>
              <w:rPr>
                <w:sz w:val="15"/>
                <w:szCs w:val="15"/>
                <w:color w:val="auto"/>
              </w:rPr>
            </w:pPr>
          </w:p>
        </w:tc>
        <w:tc>
          <w:tcPr>
            <w:tcW w:w="130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Sunder</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 general and administrative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21,483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18,450</w:t>
            </w:r>
          </w:p>
        </w:tc>
        <w:tc>
          <w:tcPr>
            <w:tcW w:w="20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3,033</w:t>
            </w: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9" w:hanging="369"/>
        <w:spacing w:after="0"/>
        <w:tabs>
          <w:tab w:leader="none" w:pos="369"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Percentage change is not meaningful.</w:t>
      </w:r>
    </w:p>
    <w:p>
      <w:pPr>
        <w:spacing w:after="0" w:line="192" w:lineRule="exact"/>
        <w:rPr>
          <w:sz w:val="20"/>
          <w:szCs w:val="20"/>
          <w:color w:val="auto"/>
        </w:rPr>
      </w:pPr>
    </w:p>
    <w:p>
      <w:pPr>
        <w:jc w:val="both"/>
        <w:ind w:left="9" w:right="20" w:firstLine="273"/>
        <w:spacing w:after="0" w:line="287" w:lineRule="auto"/>
        <w:rPr>
          <w:sz w:val="20"/>
          <w:szCs w:val="20"/>
          <w:color w:val="auto"/>
        </w:rPr>
      </w:pPr>
      <w:r>
        <w:rPr>
          <w:rFonts w:ascii="Times New Roman" w:cs="Times New Roman" w:eastAsia="Times New Roman" w:hAnsi="Times New Roman"/>
          <w:sz w:val="15"/>
          <w:szCs w:val="15"/>
          <w:color w:val="auto"/>
        </w:rPr>
        <w:t>General and administrative expenses for the Residential Solar Installation and New Homes Business reportable segments increased due to the SunPower Acquisition in the fourth quarter of fiscal 2024.</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196" w:lineRule="exact"/>
        <w:rPr>
          <w:sz w:val="20"/>
          <w:szCs w:val="20"/>
          <w:color w:val="auto"/>
        </w:rPr>
      </w:pPr>
    </w:p>
    <w:p>
      <w:pPr>
        <w:jc w:val="both"/>
        <w:ind w:left="9" w:firstLine="273"/>
        <w:spacing w:after="0" w:line="280" w:lineRule="auto"/>
        <w:rPr>
          <w:sz w:val="20"/>
          <w:szCs w:val="20"/>
          <w:color w:val="auto"/>
        </w:rPr>
      </w:pPr>
      <w:r>
        <w:rPr>
          <w:rFonts w:ascii="Times New Roman" w:cs="Times New Roman" w:eastAsia="Times New Roman" w:hAnsi="Times New Roman"/>
          <w:sz w:val="15"/>
          <w:szCs w:val="15"/>
          <w:color w:val="auto"/>
        </w:rPr>
        <w:t>Interest expense inclusive of amortization of debt issuance costs was $8.1 million in the thirteen-weeks ended September 28, 2025. Interest expense and amortization of debt issuance costs primarily consisted of $2.5 million attributable to the 12% Notes, $5.2 million attributable to the 7% Notes, and the remainder attributable to interest expense on our other obligations</w:t>
      </w:r>
    </w:p>
    <w:p>
      <w:pPr>
        <w:spacing w:after="0" w:line="326" w:lineRule="exact"/>
        <w:rPr>
          <w:sz w:val="20"/>
          <w:szCs w:val="20"/>
          <w:color w:val="auto"/>
        </w:rPr>
      </w:pPr>
    </w:p>
    <w:p>
      <w:pPr>
        <w:jc w:val="both"/>
        <w:ind w:left="9" w:right="20" w:firstLine="273"/>
        <w:spacing w:after="0" w:line="287" w:lineRule="auto"/>
        <w:rPr>
          <w:sz w:val="20"/>
          <w:szCs w:val="20"/>
          <w:color w:val="auto"/>
        </w:rPr>
      </w:pPr>
      <w:r>
        <w:rPr>
          <w:rFonts w:ascii="Times New Roman" w:cs="Times New Roman" w:eastAsia="Times New Roman" w:hAnsi="Times New Roman"/>
          <w:sz w:val="15"/>
          <w:szCs w:val="15"/>
          <w:color w:val="auto"/>
        </w:rPr>
        <w:t>Interest expense was $2.3 million in the thirteen weeks ended September 29, 2024, and consisted of $1.3 million of interest expense relating to our 12% Notes and $0.5 million relating to the 7% Notes.</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Other expense, net</w:t>
      </w:r>
    </w:p>
    <w:p>
      <w:pPr>
        <w:spacing w:after="0" w:line="196"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Other expense, net for the thirteen weeks ended September 28, 2025, was $4.3 million. The main drivers consist of $2.0 million expense due to the remeasurement of the fair value of derivative liabilities associated with our 12% and 7% senior unsecured convertible notes and $2.4 million expense associated with the change in the fair value of our forward purchase agreements.</w:t>
      </w:r>
    </w:p>
    <w:p>
      <w:pPr>
        <w:spacing w:after="0" w:line="146" w:lineRule="exact"/>
        <w:rPr>
          <w:sz w:val="20"/>
          <w:szCs w:val="20"/>
          <w:color w:val="auto"/>
        </w:rPr>
      </w:pPr>
    </w:p>
    <w:p>
      <w:pPr>
        <w:jc w:val="both"/>
        <w:ind w:left="9" w:firstLine="273"/>
        <w:spacing w:after="0" w:line="264" w:lineRule="auto"/>
        <w:rPr>
          <w:sz w:val="20"/>
          <w:szCs w:val="20"/>
          <w:color w:val="auto"/>
        </w:rPr>
      </w:pPr>
      <w:r>
        <w:rPr>
          <w:rFonts w:ascii="Times New Roman" w:cs="Times New Roman" w:eastAsia="Times New Roman" w:hAnsi="Times New Roman"/>
          <w:sz w:val="15"/>
          <w:szCs w:val="15"/>
          <w:color w:val="auto"/>
        </w:rPr>
        <w:t>Other expense, net in the thirteen-weeks ended September 29, 2024 was expense of $65.7 million and was comprised of $62.6 million related to the recognition of a derivative liability and subsequent change in fair value, $6.0 million of expense arising from changes in the fair value of warrants issued for our common stock, $3.8 million of other financing costs, $0.9 million expense arising from the change in the fair value of a SAFE Agreement and $0.1 million of other expenses, partially offset by $7.7 million of income related to changes in the fair value of our forward purchase agreements.</w:t>
      </w:r>
    </w:p>
    <w:p>
      <w:pPr>
        <w:spacing w:after="0" w:line="3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61" w:name="page62"/>
    <w:bookmarkEnd w:id="61"/>
    <w:p>
      <w:pPr>
        <w:ind w:left="9"/>
        <w:spacing w:after="0"/>
        <w:rPr>
          <w:sz w:val="20"/>
          <w:szCs w:val="20"/>
          <w:color w:val="auto"/>
        </w:rPr>
      </w:pPr>
      <w:r>
        <w:rPr>
          <w:rFonts w:ascii="Times New Roman" w:cs="Times New Roman" w:eastAsia="Times New Roman" w:hAnsi="Times New Roman"/>
          <w:sz w:val="15"/>
          <w:szCs w:val="15"/>
          <w:i w:val="1"/>
          <w:iCs w:val="1"/>
          <w:color w:val="auto"/>
        </w:rPr>
        <w:t>Net loss from continuing operations</w:t>
      </w:r>
    </w:p>
    <w:p>
      <w:pPr>
        <w:spacing w:after="0" w:line="196" w:lineRule="exact"/>
        <w:rPr>
          <w:sz w:val="20"/>
          <w:szCs w:val="20"/>
          <w:color w:val="auto"/>
        </w:rPr>
      </w:pPr>
    </w:p>
    <w:p>
      <w:pPr>
        <w:ind w:left="9" w:right="20" w:firstLine="273"/>
        <w:spacing w:after="0" w:line="287" w:lineRule="auto"/>
        <w:rPr>
          <w:sz w:val="20"/>
          <w:szCs w:val="20"/>
          <w:color w:val="auto"/>
        </w:rPr>
      </w:pPr>
      <w:r>
        <w:rPr>
          <w:rFonts w:ascii="Times New Roman" w:cs="Times New Roman" w:eastAsia="Times New Roman" w:hAnsi="Times New Roman"/>
          <w:sz w:val="15"/>
          <w:szCs w:val="15"/>
          <w:color w:val="auto"/>
        </w:rPr>
        <w:t>As a result of the factors discussed above, our net loss from continuing operations for the thirteen-weeks ended September 28, 2025 was $15.8 million, a $62.2 million decrease in our net loss as compared to a net loss from continuing operations of $78.0 million for the thirteen weeks ended September 29, 2024.</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Thirty-nine weeks ended September 28, 2025 compared to the thirty-nine weeks ended September 29, 2024</w:t>
      </w:r>
    </w:p>
    <w:p>
      <w:pPr>
        <w:spacing w:after="0" w:line="196" w:lineRule="exact"/>
        <w:rPr>
          <w:sz w:val="20"/>
          <w:szCs w:val="20"/>
          <w:color w:val="auto"/>
        </w:rPr>
      </w:pPr>
    </w:p>
    <w:p>
      <w:pPr>
        <w:ind w:left="9" w:firstLine="273"/>
        <w:spacing w:after="0" w:line="287" w:lineRule="auto"/>
        <w:rPr>
          <w:sz w:val="20"/>
          <w:szCs w:val="20"/>
          <w:color w:val="auto"/>
        </w:rPr>
      </w:pPr>
      <w:r>
        <w:rPr>
          <w:rFonts w:ascii="Times New Roman" w:cs="Times New Roman" w:eastAsia="Times New Roman" w:hAnsi="Times New Roman"/>
          <w:sz w:val="15"/>
          <w:szCs w:val="15"/>
          <w:color w:val="auto"/>
        </w:rPr>
        <w:t>The following table sets forth our unaudited statements of operations from continuing operations for the thirty-nine weeks ended September 28, 2025, and the thirty-nine weeks ended September 29, 2024.</w:t>
      </w:r>
    </w:p>
    <w:p>
      <w:pPr>
        <w:spacing w:after="0" w:line="141"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5"/>
          </w:tcPr>
          <w:p>
            <w:pPr>
              <w:jc w:val="right"/>
              <w:ind w:right="642"/>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26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4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4"/>
                <w:szCs w:val="14"/>
                <w:color w:val="auto"/>
              </w:rPr>
            </w:pPr>
          </w:p>
        </w:tc>
        <w:tc>
          <w:tcPr>
            <w:tcW w:w="1120" w:type="dxa"/>
            <w:vAlign w:val="bottom"/>
          </w:tcPr>
          <w:p>
            <w:pPr>
              <w:jc w:val="right"/>
              <w:ind w:right="40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220,269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20,068</w:t>
            </w:r>
          </w:p>
        </w:tc>
        <w:tc>
          <w:tcPr>
            <w:tcW w:w="2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200,201</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998%</w:t>
            </w:r>
          </w:p>
        </w:tc>
        <w:tc>
          <w:tcPr>
            <w:tcW w:w="0" w:type="dxa"/>
            <w:vAlign w:val="bottom"/>
          </w:tcPr>
          <w:p>
            <w:pPr>
              <w:spacing w:after="0"/>
              <w:rPr>
                <w:sz w:val="1"/>
                <w:szCs w:val="1"/>
                <w:color w:val="auto"/>
              </w:rPr>
            </w:pPr>
          </w:p>
        </w:tc>
      </w:tr>
      <w:tr>
        <w:trPr>
          <w:trHeight w:val="196"/>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00" w:type="dxa"/>
            <w:vAlign w:val="bottom"/>
          </w:tcPr>
          <w:p>
            <w:pPr>
              <w:spacing w:after="0"/>
              <w:rPr>
                <w:sz w:val="17"/>
                <w:szCs w:val="17"/>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126,970</w:t>
            </w:r>
          </w:p>
        </w:tc>
        <w:tc>
          <w:tcPr>
            <w:tcW w:w="80" w:type="dxa"/>
            <w:vAlign w:val="bottom"/>
          </w:tcPr>
          <w:p>
            <w:pPr>
              <w:spacing w:after="0"/>
              <w:rPr>
                <w:sz w:val="17"/>
                <w:szCs w:val="17"/>
                <w:color w:val="auto"/>
              </w:rPr>
            </w:pPr>
          </w:p>
        </w:tc>
        <w:tc>
          <w:tcPr>
            <w:tcW w:w="132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21,834</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105,136</w:t>
            </w:r>
          </w:p>
        </w:tc>
        <w:tc>
          <w:tcPr>
            <w:tcW w:w="2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482%</w:t>
            </w:r>
          </w:p>
        </w:tc>
        <w:tc>
          <w:tcPr>
            <w:tcW w:w="0" w:type="dxa"/>
            <w:vAlign w:val="bottom"/>
          </w:tcPr>
          <w:p>
            <w:pPr>
              <w:spacing w:after="0"/>
              <w:rPr>
                <w:sz w:val="1"/>
                <w:szCs w:val="1"/>
                <w:color w:val="auto"/>
              </w:rPr>
            </w:pPr>
          </w:p>
        </w:tc>
      </w:tr>
      <w:tr>
        <w:trPr>
          <w:trHeight w:val="182"/>
        </w:trPr>
        <w:tc>
          <w:tcPr>
            <w:tcW w:w="58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Gross profit (loss)</w:t>
            </w: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93,299</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(1,766)</w:t>
            </w: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95,065</w:t>
            </w:r>
          </w:p>
        </w:tc>
        <w:tc>
          <w:tcPr>
            <w:tcW w:w="2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Gross margin %</w:t>
            </w:r>
          </w:p>
        </w:tc>
        <w:tc>
          <w:tcPr>
            <w:tcW w:w="10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5"/>
                <w:szCs w:val="15"/>
                <w:color w:val="auto"/>
              </w:rPr>
            </w:pPr>
          </w:p>
        </w:tc>
        <w:tc>
          <w:tcPr>
            <w:tcW w:w="13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(9)%</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Sales commissions</w:t>
            </w:r>
          </w:p>
        </w:tc>
        <w:tc>
          <w:tcPr>
            <w:tcW w:w="100" w:type="dxa"/>
            <w:vAlign w:val="bottom"/>
          </w:tcPr>
          <w:p>
            <w:pPr>
              <w:spacing w:after="0"/>
              <w:rPr>
                <w:sz w:val="15"/>
                <w:szCs w:val="15"/>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24,273</w:t>
            </w:r>
          </w:p>
        </w:tc>
        <w:tc>
          <w:tcPr>
            <w:tcW w:w="80" w:type="dxa"/>
            <w:vAlign w:val="bottom"/>
          </w:tcPr>
          <w:p>
            <w:pPr>
              <w:spacing w:after="0"/>
              <w:rPr>
                <w:sz w:val="15"/>
                <w:szCs w:val="15"/>
                <w:color w:val="auto"/>
              </w:rPr>
            </w:pPr>
          </w:p>
        </w:tc>
        <w:tc>
          <w:tcPr>
            <w:tcW w:w="132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11,691</w:t>
            </w:r>
          </w:p>
        </w:tc>
        <w:tc>
          <w:tcPr>
            <w:tcW w:w="200" w:type="dxa"/>
            <w:vAlign w:val="bottom"/>
          </w:tcPr>
          <w:p>
            <w:pPr>
              <w:spacing w:after="0"/>
              <w:rPr>
                <w:sz w:val="15"/>
                <w:szCs w:val="15"/>
                <w:color w:val="auto"/>
              </w:rPr>
            </w:pPr>
          </w:p>
        </w:tc>
        <w:tc>
          <w:tcPr>
            <w:tcW w:w="11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12,582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108%</w:t>
            </w:r>
          </w:p>
        </w:tc>
        <w:tc>
          <w:tcPr>
            <w:tcW w:w="0" w:type="dxa"/>
            <w:vAlign w:val="bottom"/>
          </w:tcPr>
          <w:p>
            <w:pPr>
              <w:spacing w:after="0"/>
              <w:rPr>
                <w:sz w:val="1"/>
                <w:szCs w:val="1"/>
                <w:color w:val="auto"/>
              </w:rPr>
            </w:pPr>
          </w:p>
        </w:tc>
      </w:tr>
      <w:tr>
        <w:trPr>
          <w:trHeight w:val="182"/>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Sales and marketing</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21,764</w:t>
            </w:r>
          </w:p>
        </w:tc>
        <w:tc>
          <w:tcPr>
            <w:tcW w:w="80" w:type="dxa"/>
            <w:vAlign w:val="bottom"/>
            <w:shd w:val="clear" w:color="auto" w:fill="CCEEFF"/>
          </w:tcPr>
          <w:p>
            <w:pPr>
              <w:spacing w:after="0"/>
              <w:rPr>
                <w:sz w:val="15"/>
                <w:szCs w:val="15"/>
                <w:color w:val="auto"/>
              </w:rPr>
            </w:pPr>
          </w:p>
        </w:tc>
        <w:tc>
          <w:tcPr>
            <w:tcW w:w="1320" w:type="dxa"/>
            <w:vAlign w:val="bottom"/>
            <w:tcBorders>
              <w:right w:val="single" w:sz="8" w:color="CCEEFF"/>
            </w:tcBorders>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3,762</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18,002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479%</w:t>
            </w:r>
          </w:p>
        </w:tc>
        <w:tc>
          <w:tcPr>
            <w:tcW w:w="0" w:type="dxa"/>
            <w:vAlign w:val="bottom"/>
          </w:tcPr>
          <w:p>
            <w:pPr>
              <w:spacing w:after="0"/>
              <w:rPr>
                <w:sz w:val="1"/>
                <w:szCs w:val="1"/>
                <w:color w:val="auto"/>
              </w:rPr>
            </w:pPr>
          </w:p>
        </w:tc>
      </w:tr>
      <w:tr>
        <w:trPr>
          <w:trHeight w:val="196"/>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00" w:type="dxa"/>
            <w:vAlign w:val="bottom"/>
          </w:tcPr>
          <w:p>
            <w:pPr>
              <w:spacing w:after="0"/>
              <w:rPr>
                <w:sz w:val="17"/>
                <w:szCs w:val="17"/>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52,382</w:t>
            </w:r>
          </w:p>
        </w:tc>
        <w:tc>
          <w:tcPr>
            <w:tcW w:w="80" w:type="dxa"/>
            <w:vAlign w:val="bottom"/>
          </w:tcPr>
          <w:p>
            <w:pPr>
              <w:spacing w:after="0"/>
              <w:rPr>
                <w:sz w:val="17"/>
                <w:szCs w:val="17"/>
                <w:color w:val="auto"/>
              </w:rPr>
            </w:pPr>
          </w:p>
        </w:tc>
        <w:tc>
          <w:tcPr>
            <w:tcW w:w="132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29,789</w:t>
            </w:r>
          </w:p>
        </w:tc>
        <w:tc>
          <w:tcPr>
            <w:tcW w:w="200" w:type="dxa"/>
            <w:vAlign w:val="bottom"/>
          </w:tcPr>
          <w:p>
            <w:pPr>
              <w:spacing w:after="0"/>
              <w:rPr>
                <w:sz w:val="17"/>
                <w:szCs w:val="17"/>
                <w:color w:val="auto"/>
              </w:rPr>
            </w:pPr>
          </w:p>
        </w:tc>
        <w:tc>
          <w:tcPr>
            <w:tcW w:w="11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22,593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202"/>
        </w:trPr>
        <w:tc>
          <w:tcPr>
            <w:tcW w:w="588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98,419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45,242</w:t>
            </w:r>
          </w:p>
        </w:tc>
        <w:tc>
          <w:tcPr>
            <w:tcW w:w="2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53,177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168"/>
        </w:trPr>
        <w:tc>
          <w:tcPr>
            <w:tcW w:w="5880" w:type="dxa"/>
            <w:vAlign w:val="bottom"/>
            <w:tcBorders>
              <w:bottom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5"/>
                <w:szCs w:val="15"/>
                <w:color w:val="auto"/>
              </w:rPr>
              <w:t>Loss from continuing operations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(5,120</w:t>
            </w:r>
          </w:p>
        </w:tc>
        <w:tc>
          <w:tcPr>
            <w:tcW w:w="240" w:type="dxa"/>
            <w:vAlign w:val="bottom"/>
            <w:tcBorders>
              <w:bottom w:val="single" w:sz="8" w:color="CCEEFF"/>
            </w:tcBorders>
          </w:tcPr>
          <w:p>
            <w:pPr>
              <w:jc w:val="right"/>
              <w:ind w:right="10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(47,008</w:t>
            </w:r>
          </w:p>
        </w:tc>
        <w:tc>
          <w:tcPr>
            <w:tcW w:w="28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(41,888</w:t>
            </w:r>
          </w:p>
        </w:tc>
        <w:tc>
          <w:tcPr>
            <w:tcW w:w="200" w:type="dxa"/>
            <w:vAlign w:val="bottom"/>
            <w:tcBorders>
              <w:bottom w:val="single" w:sz="8" w:color="CCEEFF"/>
            </w:tcBorders>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bottom w:val="single" w:sz="8" w:color="CCEEFF"/>
            </w:tcBorders>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205"/>
        </w:trPr>
        <w:tc>
          <w:tcPr>
            <w:tcW w:w="58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4"/>
                <w:szCs w:val="14"/>
                <w:color w:val="auto"/>
              </w:rPr>
              <w:t>Interest expense</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(23,258)</w:t>
            </w:r>
          </w:p>
        </w:tc>
        <w:tc>
          <w:tcPr>
            <w:tcW w:w="8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5"/>
                <w:szCs w:val="15"/>
                <w:color w:val="auto"/>
              </w:rPr>
              <w:t>(8,230)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(15,028)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182"/>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tcPr>
          <w:p>
            <w:pPr>
              <w:spacing w:after="0"/>
              <w:rPr>
                <w:sz w:val="15"/>
                <w:szCs w:val="15"/>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5"/>
                <w:szCs w:val="15"/>
                <w:color w:val="auto"/>
              </w:rPr>
            </w:pPr>
          </w:p>
        </w:tc>
        <w:tc>
          <w:tcPr>
            <w:tcW w:w="132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102</w:t>
            </w:r>
          </w:p>
        </w:tc>
        <w:tc>
          <w:tcPr>
            <w:tcW w:w="200" w:type="dxa"/>
            <w:vAlign w:val="bottom"/>
          </w:tcPr>
          <w:p>
            <w:pPr>
              <w:spacing w:after="0"/>
              <w:rPr>
                <w:sz w:val="15"/>
                <w:szCs w:val="15"/>
                <w:color w:val="auto"/>
              </w:rPr>
            </w:pPr>
          </w:p>
        </w:tc>
        <w:tc>
          <w:tcPr>
            <w:tcW w:w="112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Other expense, net</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(1,724)</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5"/>
                <w:szCs w:val="15"/>
                <w:color w:val="auto"/>
              </w:rPr>
              <w:t>(66,234)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64,510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196"/>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Gain on extinguishment of debt</w:t>
            </w:r>
          </w:p>
        </w:tc>
        <w:tc>
          <w:tcPr>
            <w:tcW w:w="100" w:type="dxa"/>
            <w:vAlign w:val="bottom"/>
          </w:tcPr>
          <w:p>
            <w:pPr>
              <w:spacing w:after="0"/>
              <w:rPr>
                <w:sz w:val="17"/>
                <w:szCs w:val="17"/>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2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19,948</w:t>
            </w:r>
          </w:p>
        </w:tc>
        <w:tc>
          <w:tcPr>
            <w:tcW w:w="200" w:type="dxa"/>
            <w:vAlign w:val="bottom"/>
          </w:tcPr>
          <w:p>
            <w:pPr>
              <w:spacing w:after="0"/>
              <w:rPr>
                <w:sz w:val="17"/>
                <w:szCs w:val="17"/>
                <w:color w:val="auto"/>
              </w:rPr>
            </w:pPr>
          </w:p>
        </w:tc>
        <w:tc>
          <w:tcPr>
            <w:tcW w:w="112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(19,948)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2"/>
        </w:trPr>
        <w:tc>
          <w:tcPr>
            <w:tcW w:w="5880" w:type="dxa"/>
            <w:vAlign w:val="bottom"/>
            <w:tcBorders>
              <w:top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Loss from continuing operations before income taxes</w:t>
            </w: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(30,099)</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(101,422)</w:t>
            </w: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71,323</w:t>
            </w:r>
          </w:p>
        </w:tc>
        <w:tc>
          <w:tcPr>
            <w:tcW w:w="2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193"/>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10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202"/>
              <w:spacing w:after="0"/>
              <w:rPr>
                <w:sz w:val="20"/>
                <w:szCs w:val="20"/>
                <w:color w:val="auto"/>
              </w:rPr>
            </w:pPr>
            <w:r>
              <w:rPr>
                <w:rFonts w:ascii="Times New Roman" w:cs="Times New Roman" w:eastAsia="Times New Roman" w:hAnsi="Times New Roman"/>
                <w:sz w:val="15"/>
                <w:szCs w:val="15"/>
                <w:color w:val="auto"/>
              </w:rPr>
              <w:t>(11)</w:t>
            </w:r>
          </w:p>
        </w:tc>
        <w:tc>
          <w:tcPr>
            <w:tcW w:w="200" w:type="dxa"/>
            <w:vAlign w:val="bottom"/>
          </w:tcPr>
          <w:p>
            <w:pPr>
              <w:spacing w:after="0"/>
              <w:rPr>
                <w:sz w:val="16"/>
                <w:szCs w:val="16"/>
                <w:color w:val="auto"/>
              </w:rPr>
            </w:pPr>
          </w:p>
        </w:tc>
        <w:tc>
          <w:tcPr>
            <w:tcW w:w="11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3"/>
        </w:trPr>
        <w:tc>
          <w:tcPr>
            <w:tcW w:w="5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from continuing operations</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line="20" w:lineRule="exact"/>
              <w:rPr>
                <w:sz w:val="1"/>
                <w:szCs w:val="1"/>
                <w:color w:val="auto"/>
              </w:rPr>
            </w:pPr>
          </w:p>
        </w:tc>
      </w:tr>
      <w:tr>
        <w:trPr>
          <w:trHeight w:val="208"/>
        </w:trPr>
        <w:tc>
          <w:tcPr>
            <w:tcW w:w="5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(30,099</w:t>
            </w: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(101,433</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71,334</w:t>
            </w:r>
          </w:p>
        </w:tc>
        <w:tc>
          <w:tcPr>
            <w:tcW w:w="13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
        <w:spacing w:after="0"/>
        <w:tabs>
          <w:tab w:leader="none" w:pos="249" w:val="left"/>
        </w:tabs>
        <w:rPr>
          <w:sz w:val="20"/>
          <w:szCs w:val="20"/>
          <w:color w:val="auto"/>
        </w:rPr>
      </w:pPr>
      <w:r>
        <w:rPr>
          <w:rFonts w:ascii="Times New Roman" w:cs="Times New Roman" w:eastAsia="Times New Roman" w:hAnsi="Times New Roman"/>
          <w:sz w:val="15"/>
          <w:szCs w:val="15"/>
          <w:color w:val="auto"/>
        </w:rPr>
        <w:t>*</w:t>
        <w:tab/>
        <w:t>Percentage change is not meaningful.</w:t>
      </w:r>
    </w:p>
    <w:p>
      <w:pPr>
        <w:spacing w:after="0" w:line="192" w:lineRule="exact"/>
        <w:rPr>
          <w:sz w:val="20"/>
          <w:szCs w:val="20"/>
          <w:color w:val="auto"/>
        </w:rPr>
      </w:pPr>
    </w:p>
    <w:p>
      <w:pPr>
        <w:ind w:left="269" w:hanging="269"/>
        <w:spacing w:after="0" w:line="197" w:lineRule="auto"/>
        <w:tabs>
          <w:tab w:leader="none" w:pos="269"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interest expense and amortization of debt issuance costs to related parties of $5.4 million and $5.6 million in the thirty-nine week periods ended September 28, 2025 and September 29, 2024, respectively.</w:t>
      </w:r>
    </w:p>
    <w:p>
      <w:pPr>
        <w:spacing w:after="0" w:line="168" w:lineRule="exact"/>
        <w:rPr>
          <w:rFonts w:ascii="Times New Roman" w:cs="Times New Roman" w:eastAsia="Times New Roman" w:hAnsi="Times New Roman"/>
          <w:sz w:val="25"/>
          <w:szCs w:val="25"/>
          <w:color w:val="auto"/>
          <w:vertAlign w:val="superscript"/>
        </w:rPr>
      </w:pPr>
    </w:p>
    <w:p>
      <w:pPr>
        <w:jc w:val="both"/>
        <w:ind w:left="269" w:hanging="269"/>
        <w:spacing w:after="0" w:line="212" w:lineRule="auto"/>
        <w:tabs>
          <w:tab w:leader="none" w:pos="269"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loss of $3.0 million on issuance of derivative liability with a related party in the thirty-nine week period ended September 29, 2024. Includes a gain of $1.8 million and a loss of $22.8 million due to the change in the fair value of derivative liabilities with related parties in the thirty-nine week periods ended September 28, 2025 and September 29, 2024, respectively. Refer to Note 9 - Borrowings and Derivative Liabilities for details.</w:t>
      </w:r>
    </w:p>
    <w:p>
      <w:pPr>
        <w:spacing w:after="0" w:line="169" w:lineRule="exact"/>
        <w:rPr>
          <w:rFonts w:ascii="Times New Roman" w:cs="Times New Roman" w:eastAsia="Times New Roman" w:hAnsi="Times New Roman"/>
          <w:sz w:val="25"/>
          <w:szCs w:val="25"/>
          <w:color w:val="auto"/>
          <w:vertAlign w:val="superscript"/>
        </w:rPr>
      </w:pPr>
    </w:p>
    <w:p>
      <w:pPr>
        <w:ind w:left="269" w:right="20"/>
        <w:spacing w:after="0" w:line="287"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Also includes $0.1 million of other income, net due to a change in the fair value of a forward purchase agreement with a related party in the thirty-nine week period ended September 28, 2025.</w:t>
      </w:r>
    </w:p>
    <w:p>
      <w:pPr>
        <w:spacing w:after="0" w:line="133" w:lineRule="exact"/>
        <w:rPr>
          <w:rFonts w:ascii="Times New Roman" w:cs="Times New Roman" w:eastAsia="Times New Roman" w:hAnsi="Times New Roman"/>
          <w:sz w:val="25"/>
          <w:szCs w:val="25"/>
          <w:color w:val="auto"/>
          <w:vertAlign w:val="superscript"/>
        </w:rPr>
      </w:pPr>
    </w:p>
    <w:p>
      <w:pPr>
        <w:jc w:val="both"/>
        <w:ind w:left="269"/>
        <w:spacing w:after="0" w:line="270"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Other expense, net includes related party transactions of $1.0 million of income due to the change in the fair value of a forward purchase agreement, $1.3 million loss on the conversion of SAFE Agreements, $0.9 million of expense related to the change in fair value of a SAFE Agreement and a $2.9 million gain due to the change in the fair value of the Carlyle warrants in the thirty-nine week period ended September 29, 2024.</w:t>
      </w:r>
    </w:p>
    <w:p>
      <w:pPr>
        <w:spacing w:after="0" w:line="3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62" w:name="page63"/>
    <w:bookmarkEnd w:id="62"/>
    <w:tbl>
      <w:tblPr>
        <w:tblLayout w:type="fixed"/>
        <w:tblInd w:w="9" w:type="dxa"/>
        <w:tblCellMar>
          <w:top w:w="0" w:type="dxa"/>
          <w:left w:w="0" w:type="dxa"/>
          <w:bottom w:w="0" w:type="dxa"/>
          <w:right w:w="0" w:type="dxa"/>
        </w:tblCellMar>
      </w:tblPr>
      <w:tr>
        <w:trPr>
          <w:trHeight w:val="201"/>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Revenues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160" w:type="dxa"/>
            <w:vAlign w:val="bottom"/>
          </w:tcPr>
          <w:p>
            <w:pPr>
              <w:spacing w:after="0"/>
              <w:rPr>
                <w:sz w:val="24"/>
                <w:szCs w:val="24"/>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xml:space="preserve">We disaggregate our revenues based on the following types of services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4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4"/>
                <w:szCs w:val="14"/>
                <w:color w:val="auto"/>
              </w:rPr>
            </w:pPr>
          </w:p>
        </w:tc>
        <w:tc>
          <w:tcPr>
            <w:tcW w:w="1120" w:type="dxa"/>
            <w:vAlign w:val="bottom"/>
          </w:tcPr>
          <w:p>
            <w:pPr>
              <w:jc w:val="right"/>
              <w:ind w:right="40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 w:type="dxa"/>
            <w:vAlign w:val="bottom"/>
            <w:tcBorders>
              <w:bottom w:val="single" w:sz="8" w:color="CCEEFF"/>
            </w:tcBorders>
          </w:tcPr>
          <w:p>
            <w:pPr>
              <w:spacing w:after="0"/>
              <w:rPr>
                <w:sz w:val="17"/>
                <w:szCs w:val="17"/>
                <w:color w:val="auto"/>
              </w:rPr>
            </w:pPr>
          </w:p>
        </w:tc>
        <w:tc>
          <w:tcPr>
            <w:tcW w:w="58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114,097</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20,068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94,029</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469%</w:t>
            </w:r>
          </w:p>
        </w:tc>
        <w:tc>
          <w:tcPr>
            <w:tcW w:w="0" w:type="dxa"/>
            <w:vAlign w:val="bottom"/>
          </w:tcPr>
          <w:p>
            <w:pPr>
              <w:spacing w:after="0"/>
              <w:rPr>
                <w:sz w:val="1"/>
                <w:szCs w:val="1"/>
                <w:color w:val="auto"/>
              </w:rPr>
            </w:pPr>
          </w:p>
        </w:tc>
      </w:tr>
      <w:tr>
        <w:trPr>
          <w:trHeight w:val="182"/>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101,862</w:t>
            </w: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101,862</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Sunder</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4,310</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4,310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5"/>
                <w:szCs w:val="15"/>
                <w:color w:val="auto"/>
              </w:rPr>
              <w:t>Total revenues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998%</w:t>
            </w:r>
          </w:p>
        </w:tc>
        <w:tc>
          <w:tcPr>
            <w:tcW w:w="0" w:type="dxa"/>
            <w:vAlign w:val="bottom"/>
          </w:tcPr>
          <w:p>
            <w:pPr>
              <w:spacing w:after="0" w:line="20" w:lineRule="exact"/>
              <w:rPr>
                <w:sz w:val="1"/>
                <w:szCs w:val="1"/>
                <w:color w:val="auto"/>
              </w:rPr>
            </w:pPr>
          </w:p>
        </w:tc>
      </w:tr>
      <w:tr>
        <w:trPr>
          <w:trHeight w:val="190"/>
        </w:trPr>
        <w:tc>
          <w:tcPr>
            <w:tcW w:w="5960" w:type="dxa"/>
            <w:vAlign w:val="bottom"/>
            <w:gridSpan w:val="2"/>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220,269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20,068</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200,201</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58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Percentage change is not meaningful.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0" w:type="dxa"/>
            <w:vAlign w:val="bottom"/>
            <w:vMerge w:val="continue"/>
          </w:tcPr>
          <w:p>
            <w:pPr>
              <w:spacing w:after="0"/>
              <w:rPr>
                <w:sz w:val="24"/>
                <w:szCs w:val="24"/>
                <w:color w:val="auto"/>
              </w:rPr>
            </w:pPr>
          </w:p>
        </w:tc>
        <w:tc>
          <w:tcPr>
            <w:tcW w:w="5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9" w:firstLine="273"/>
        <w:spacing w:after="0" w:line="287" w:lineRule="auto"/>
        <w:rPr>
          <w:sz w:val="20"/>
          <w:szCs w:val="20"/>
          <w:color w:val="auto"/>
        </w:rPr>
      </w:pPr>
      <w:r>
        <w:rPr>
          <w:rFonts w:ascii="Times New Roman" w:cs="Times New Roman" w:eastAsia="Times New Roman" w:hAnsi="Times New Roman"/>
          <w:sz w:val="15"/>
          <w:szCs w:val="15"/>
          <w:color w:val="auto"/>
        </w:rPr>
        <w:t>The increase in revenues is primarily attributed to the SunPower Acquisition. As a result, installations increased compared to the same period in the prior year by 3,067 and 4,859 for Residential Solar Installation and New Homes Business reportable segments, respectively.</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404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Cost of revenues and gross margins</w:t>
            </w: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5"/>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98"/>
              </w:rPr>
              <w:t>September 29,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5"/>
                <w:szCs w:val="15"/>
                <w:color w:val="auto"/>
              </w:rPr>
            </w:pPr>
          </w:p>
        </w:tc>
        <w:tc>
          <w:tcPr>
            <w:tcW w:w="112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67,388</w:t>
            </w: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21,834</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45,554</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209%</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55,930</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55,930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Sunder</w:t>
            </w: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3,652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3,652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 cost of revenues</w:t>
            </w: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482%</w:t>
            </w: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126,970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21,834</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105,136</w:t>
            </w: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margin</w:t>
            </w: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40" w:type="dxa"/>
            <w:vAlign w:val="bottom"/>
            <w:vMerge w:val="continue"/>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69" w:hanging="369"/>
        <w:spacing w:after="0"/>
        <w:tabs>
          <w:tab w:leader="none" w:pos="36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Percentage change is not meaningful.</w:t>
      </w:r>
    </w:p>
    <w:p>
      <w:pPr>
        <w:spacing w:after="0" w:line="192" w:lineRule="exact"/>
        <w:rPr>
          <w:sz w:val="20"/>
          <w:szCs w:val="20"/>
          <w:color w:val="auto"/>
        </w:rPr>
      </w:pPr>
    </w:p>
    <w:p>
      <w:pPr>
        <w:ind w:left="9" w:firstLine="273"/>
        <w:spacing w:after="0" w:line="287" w:lineRule="auto"/>
        <w:rPr>
          <w:sz w:val="20"/>
          <w:szCs w:val="20"/>
          <w:color w:val="auto"/>
        </w:rPr>
      </w:pPr>
      <w:r>
        <w:rPr>
          <w:rFonts w:ascii="Times New Roman" w:cs="Times New Roman" w:eastAsia="Times New Roman" w:hAnsi="Times New Roman"/>
          <w:sz w:val="15"/>
          <w:szCs w:val="15"/>
          <w:color w:val="auto"/>
        </w:rPr>
        <w:t>Cost of revenues increased primarily attributed to the SunPower Acquisition. As a result, installations increased compared to the same period in the prior year by approximately 3,067 and 4,859 for Residential Solar Installation and New Homes Business reportable segments, respectively.</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Sales commissions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4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4"/>
                <w:szCs w:val="14"/>
                <w:color w:val="auto"/>
              </w:rPr>
            </w:pPr>
          </w:p>
        </w:tc>
        <w:tc>
          <w:tcPr>
            <w:tcW w:w="1300" w:type="dxa"/>
            <w:vAlign w:val="bottom"/>
            <w:gridSpan w:val="2"/>
          </w:tcPr>
          <w:p>
            <w:pPr>
              <w:jc w:val="right"/>
              <w:ind w:right="40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22,882</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11,691</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11,191</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96%</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1,391</w:t>
            </w: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1,391</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Sunder</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 sales commissions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108%</w:t>
            </w: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24,273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11,691</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12,582</w:t>
            </w:r>
          </w:p>
        </w:tc>
        <w:tc>
          <w:tcPr>
            <w:tcW w:w="1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9" w:hanging="369"/>
        <w:spacing w:after="0"/>
        <w:tabs>
          <w:tab w:leader="none" w:pos="36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Percentage change is not meaningful.</w:t>
      </w:r>
    </w:p>
    <w:p>
      <w:pPr>
        <w:spacing w:after="0" w:line="3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63" w:name="page64"/>
    <w:bookmarkEnd w:id="63"/>
    <w:p>
      <w:pPr>
        <w:ind w:left="9" w:right="20" w:firstLine="273"/>
        <w:spacing w:after="0" w:line="287" w:lineRule="auto"/>
        <w:rPr>
          <w:sz w:val="20"/>
          <w:szCs w:val="20"/>
          <w:color w:val="auto"/>
        </w:rPr>
      </w:pPr>
      <w:r>
        <w:rPr>
          <w:rFonts w:ascii="Times New Roman" w:cs="Times New Roman" w:eastAsia="Times New Roman" w:hAnsi="Times New Roman"/>
          <w:sz w:val="15"/>
          <w:szCs w:val="15"/>
          <w:color w:val="auto"/>
        </w:rPr>
        <w:t>Sales commissions for the Residential Solar Installation and New Homes Business reportable segments increased due to the increase in revenue arising from the SunPower Acquisition in the fourth quarter of fiscal 2024.</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Sales and marketing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4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4"/>
                <w:szCs w:val="14"/>
                <w:color w:val="auto"/>
              </w:rPr>
            </w:pPr>
          </w:p>
        </w:tc>
        <w:tc>
          <w:tcPr>
            <w:tcW w:w="1300" w:type="dxa"/>
            <w:vAlign w:val="bottom"/>
            <w:gridSpan w:val="2"/>
          </w:tcPr>
          <w:p>
            <w:pPr>
              <w:jc w:val="right"/>
              <w:ind w:right="40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19,591</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3,762</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15,829</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421%</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2,173</w:t>
            </w: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2,173</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Sunder</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 sales and marketing</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479%</w:t>
            </w: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21,764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3,762</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18,002</w:t>
            </w:r>
          </w:p>
        </w:tc>
        <w:tc>
          <w:tcPr>
            <w:tcW w:w="1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9" w:hanging="369"/>
        <w:spacing w:after="0"/>
        <w:tabs>
          <w:tab w:leader="none" w:pos="36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Percentage change is not meaningful.</w:t>
      </w:r>
    </w:p>
    <w:p>
      <w:pPr>
        <w:spacing w:after="0" w:line="19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Sales and marketing expenses in the Residential Solar Installation reportable segment increased due to the SunPower Acquisition in the fourth quarter of fiscal 2024.</w:t>
      </w:r>
    </w:p>
    <w:p>
      <w:pPr>
        <w:spacing w:after="0" w:line="188"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General and administrative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9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4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4"/>
                <w:szCs w:val="14"/>
                <w:color w:val="auto"/>
              </w:rPr>
            </w:pPr>
          </w:p>
        </w:tc>
        <w:tc>
          <w:tcPr>
            <w:tcW w:w="1300" w:type="dxa"/>
            <w:vAlign w:val="bottom"/>
            <w:gridSpan w:val="2"/>
          </w:tcPr>
          <w:p>
            <w:pPr>
              <w:jc w:val="right"/>
              <w:ind w:right="404"/>
              <w:spacing w:after="0" w:line="164" w:lineRule="exact"/>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32,782</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29,789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2,993</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19,600</w:t>
            </w: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19,600</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Sunder</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 general and administrative</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52,382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29,789</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22,593</w:t>
            </w:r>
          </w:p>
        </w:tc>
        <w:tc>
          <w:tcPr>
            <w:tcW w:w="1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9" w:hanging="369"/>
        <w:spacing w:after="0"/>
        <w:tabs>
          <w:tab w:leader="none" w:pos="369"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Percentage change is not meaningful.</w:t>
      </w:r>
    </w:p>
    <w:p>
      <w:pPr>
        <w:spacing w:after="0" w:line="192" w:lineRule="exact"/>
        <w:rPr>
          <w:sz w:val="20"/>
          <w:szCs w:val="20"/>
          <w:color w:val="auto"/>
        </w:rPr>
      </w:pPr>
    </w:p>
    <w:p>
      <w:pPr>
        <w:jc w:val="both"/>
        <w:ind w:left="9" w:right="20" w:firstLine="273"/>
        <w:spacing w:after="0" w:line="287" w:lineRule="auto"/>
        <w:rPr>
          <w:sz w:val="20"/>
          <w:szCs w:val="20"/>
          <w:color w:val="auto"/>
        </w:rPr>
      </w:pPr>
      <w:r>
        <w:rPr>
          <w:rFonts w:ascii="Times New Roman" w:cs="Times New Roman" w:eastAsia="Times New Roman" w:hAnsi="Times New Roman"/>
          <w:sz w:val="15"/>
          <w:szCs w:val="15"/>
          <w:color w:val="auto"/>
        </w:rPr>
        <w:t>General and administrative expenses for the Residential Solar Installation and New Homes Business reportable segments increased due to the SunPower Acquisition in the fourth quarter of fiscal 2024.</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196"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Interest expense inclusive of amortization of debt issuance costs was $23.3 million in the thirty-nine weeks ended September 28, 2025. Interest expense and amortization of debt issuance costs primarily consisted of $7.2 million attributable to the 12% Notes and $15.3 million attributable to the 7% Notes, with the remainder attributable to interest expense on our other obligations.</w:t>
      </w:r>
    </w:p>
    <w:p>
      <w:pPr>
        <w:spacing w:after="0" w:line="146"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Interest expense was $8.2 million in the thirty-nine weeks ended September 29, 2024, and consisted of $1.8 million of interest expense relating to our 12% Notes, $0.5 million relating to our 7% Notes, $3.9 million relating to our obligation to Carlyle, $1.0 million relating to our secured credit line, $0.7 million related to our 2018 Bridge Loan and $0.3 million attributable to the $5.0 million revolver balance.</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Other expense, net</w:t>
      </w:r>
    </w:p>
    <w:p>
      <w:pPr>
        <w:spacing w:after="0" w:line="196" w:lineRule="exact"/>
        <w:rPr>
          <w:sz w:val="20"/>
          <w:szCs w:val="20"/>
          <w:color w:val="auto"/>
        </w:rPr>
      </w:pPr>
    </w:p>
    <w:p>
      <w:pPr>
        <w:jc w:val="both"/>
        <w:ind w:left="9" w:firstLine="273"/>
        <w:spacing w:after="0" w:line="264" w:lineRule="auto"/>
        <w:rPr>
          <w:sz w:val="20"/>
          <w:szCs w:val="20"/>
          <w:color w:val="auto"/>
        </w:rPr>
      </w:pPr>
      <w:r>
        <w:rPr>
          <w:rFonts w:ascii="Times New Roman" w:cs="Times New Roman" w:eastAsia="Times New Roman" w:hAnsi="Times New Roman"/>
          <w:sz w:val="15"/>
          <w:szCs w:val="15"/>
          <w:color w:val="auto"/>
        </w:rPr>
        <w:t>Other expense, net for the thirty-nine weeks ended September 28, 2025, was $1.7 million. The main drivers consisted of $3.1 million of expense associated with the change in the fair value of our public, private placement and working capital warrants which are accounted for as liabilities and $0.8 million arising from the change in the fair value of our forward purchase agreements. These expenses were partially offset by $1.6 of gains from changes in the fair value of derivative liabilities associated with our 12% and 7% senior unsecured convertible notes.</w:t>
      </w:r>
    </w:p>
    <w:p>
      <w:pPr>
        <w:spacing w:after="0" w:line="3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64" w:name="page65"/>
    <w:bookmarkEnd w:id="64"/>
    <w:p>
      <w:pPr>
        <w:jc w:val="both"/>
        <w:ind w:left="9" w:firstLine="273"/>
        <w:spacing w:after="0" w:line="264" w:lineRule="auto"/>
        <w:rPr>
          <w:sz w:val="20"/>
          <w:szCs w:val="20"/>
          <w:color w:val="auto"/>
        </w:rPr>
      </w:pPr>
      <w:r>
        <w:rPr>
          <w:rFonts w:ascii="Times New Roman" w:cs="Times New Roman" w:eastAsia="Times New Roman" w:hAnsi="Times New Roman"/>
          <w:sz w:val="15"/>
          <w:szCs w:val="15"/>
          <w:color w:val="auto"/>
        </w:rPr>
        <w:t>We had other expense, net of $66.2 million, in the thirty-nine weeks ended September 29, 2024, which was comprised of $62.6 million related to the recognition of a derivative liability and subsequent change in fair value, $3.8 million of other financing costs, $2.1 million of expense incurred on the conversion and changes in the fair value our SAFE Agreements, $2.1 million of expense arising from changes in the fair value of warrants issued for our common stock and $0.5 million of other expenses partially offset by income of $4.9 million related to changes in the fair value of our forward purchase agreements.</w:t>
      </w:r>
    </w:p>
    <w:p>
      <w:pPr>
        <w:spacing w:after="0" w:line="14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Net loss from continuing operations</w:t>
      </w:r>
    </w:p>
    <w:p>
      <w:pPr>
        <w:spacing w:after="0" w:line="196" w:lineRule="exact"/>
        <w:rPr>
          <w:sz w:val="20"/>
          <w:szCs w:val="20"/>
          <w:color w:val="auto"/>
        </w:rPr>
      </w:pPr>
    </w:p>
    <w:p>
      <w:pPr>
        <w:jc w:val="both"/>
        <w:ind w:left="9" w:firstLine="273"/>
        <w:spacing w:after="0" w:line="287" w:lineRule="auto"/>
        <w:rPr>
          <w:sz w:val="20"/>
          <w:szCs w:val="20"/>
          <w:color w:val="auto"/>
        </w:rPr>
      </w:pPr>
      <w:r>
        <w:rPr>
          <w:rFonts w:ascii="Times New Roman" w:cs="Times New Roman" w:eastAsia="Times New Roman" w:hAnsi="Times New Roman"/>
          <w:sz w:val="15"/>
          <w:szCs w:val="15"/>
          <w:color w:val="auto"/>
        </w:rPr>
        <w:t>As a result of the factors discussed above, our net loss from continuing operations for the thirty-nine weeks ended September 28, 2025 was $30.1 million, as compared to a net loss from continuing operations of $101.4 million in the thirty-nine week period ended September 29, 2024.</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Fiscal year ended December 29, 2024 (“fiscal 2024”) compared to year ended December 31, 2023 (“fiscal 2023”)</w:t>
      </w:r>
    </w:p>
    <w:p>
      <w:pPr>
        <w:spacing w:after="0" w:line="196" w:lineRule="exact"/>
        <w:rPr>
          <w:sz w:val="20"/>
          <w:szCs w:val="20"/>
          <w:color w:val="auto"/>
        </w:rPr>
      </w:pPr>
    </w:p>
    <w:p>
      <w:pPr>
        <w:jc w:val="both"/>
        <w:ind w:left="9" w:right="20" w:firstLine="273"/>
        <w:spacing w:after="0" w:line="287" w:lineRule="auto"/>
        <w:rPr>
          <w:sz w:val="20"/>
          <w:szCs w:val="20"/>
          <w:color w:val="auto"/>
        </w:rPr>
      </w:pPr>
      <w:r>
        <w:rPr>
          <w:rFonts w:ascii="Times New Roman" w:cs="Times New Roman" w:eastAsia="Times New Roman" w:hAnsi="Times New Roman"/>
          <w:sz w:val="15"/>
          <w:szCs w:val="15"/>
          <w:color w:val="auto"/>
        </w:rPr>
        <w:t>In this section, we discuss the results of our operations for fiscal 2024 compared to fiscal 2023. We discuss our cash flows and current financial condition under “Liquidity and Capital Resources”.</w:t>
      </w:r>
    </w:p>
    <w:p>
      <w:pPr>
        <w:spacing w:after="0" w:line="134" w:lineRule="exact"/>
        <w:rPr>
          <w:sz w:val="20"/>
          <w:szCs w:val="20"/>
          <w:color w:val="auto"/>
        </w:rPr>
      </w:pPr>
    </w:p>
    <w:p>
      <w:pPr>
        <w:jc w:val="both"/>
        <w:ind w:left="9" w:firstLine="273"/>
        <w:spacing w:after="0" w:line="264" w:lineRule="auto"/>
        <w:rPr>
          <w:sz w:val="20"/>
          <w:szCs w:val="20"/>
          <w:color w:val="auto"/>
        </w:rPr>
      </w:pPr>
      <w:r>
        <w:rPr>
          <w:rFonts w:ascii="Times New Roman" w:cs="Times New Roman" w:eastAsia="Times New Roman" w:hAnsi="Times New Roman"/>
          <w:sz w:val="15"/>
          <w:szCs w:val="15"/>
          <w:color w:val="auto"/>
        </w:rPr>
        <w:t>The following table sets forth our statements of operations data for the fiscal years ended December 29, 2024 and December 31, 2023, respectively. We have derived this data from our consolidated financial statements included elsewhere in this prospectus. This information should be read in conjunction with our consolidated financial statements and related notes included elsewhere in this prospectus. The results of historical periods are not necessarily indicative of the results of operations for any future period. Within the tables presented, percentages are calculated based on the underlying whole-dollar amounts and, therefore, may not recalculate exactly from the rounded numbers used for disclosure purposes.</w:t>
      </w:r>
    </w:p>
    <w:p>
      <w:pPr>
        <w:spacing w:after="0" w:line="159"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5"/>
          </w:tcPr>
          <w:p>
            <w:pPr>
              <w:jc w:val="right"/>
              <w:ind w:right="804"/>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342"/>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5"/>
                <w:szCs w:val="15"/>
                <w:color w:val="auto"/>
              </w:rPr>
            </w:pPr>
          </w:p>
        </w:tc>
        <w:tc>
          <w:tcPr>
            <w:tcW w:w="112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108,742</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87,616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21,126</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line="228" w:lineRule="exact"/>
              <w:rPr>
                <w:sz w:val="20"/>
                <w:szCs w:val="20"/>
                <w:color w:val="auto"/>
              </w:rPr>
            </w:pPr>
            <w:r>
              <w:rPr>
                <w:rFonts w:ascii="Times New Roman" w:cs="Times New Roman" w:eastAsia="Times New Roman" w:hAnsi="Times New Roman"/>
                <w:sz w:val="15"/>
                <w:szCs w:val="15"/>
                <w:color w:val="auto"/>
              </w:rPr>
              <w:t xml:space="preserve">Cost of revenues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20"/>
                <w:szCs w:val="20"/>
                <w:color w:val="auto"/>
              </w:rPr>
            </w:pPr>
          </w:p>
        </w:tc>
        <w:tc>
          <w:tcPr>
            <w:tcW w:w="1280" w:type="dxa"/>
            <w:vAlign w:val="bottom"/>
            <w:gridSpan w:val="2"/>
          </w:tcPr>
          <w:p>
            <w:pPr>
              <w:jc w:val="right"/>
              <w:ind w:right="202"/>
              <w:spacing w:after="0"/>
              <w:rPr>
                <w:sz w:val="20"/>
                <w:szCs w:val="20"/>
                <w:color w:val="auto"/>
              </w:rPr>
            </w:pPr>
            <w:r>
              <w:rPr>
                <w:rFonts w:ascii="Times New Roman" w:cs="Times New Roman" w:eastAsia="Times New Roman" w:hAnsi="Times New Roman"/>
                <w:sz w:val="15"/>
                <w:szCs w:val="15"/>
                <w:color w:val="auto"/>
              </w:rPr>
              <w:t>69,240</w:t>
            </w:r>
          </w:p>
        </w:tc>
        <w:tc>
          <w:tcPr>
            <w:tcW w:w="80" w:type="dxa"/>
            <w:vAlign w:val="bottom"/>
          </w:tcPr>
          <w:p>
            <w:pPr>
              <w:spacing w:after="0"/>
              <w:rPr>
                <w:sz w:val="20"/>
                <w:szCs w:val="20"/>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69,828</w:t>
            </w: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(588)</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82"/>
        </w:trPr>
        <w:tc>
          <w:tcPr>
            <w:tcW w:w="59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Gross profit</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39,502</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17,788</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21,714</w:t>
            </w: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182"/>
        </w:trPr>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Gross margin %</w:t>
            </w:r>
          </w:p>
        </w:tc>
        <w:tc>
          <w:tcPr>
            <w:tcW w:w="100" w:type="dxa"/>
            <w:vAlign w:val="bottom"/>
          </w:tcPr>
          <w:p>
            <w:pPr>
              <w:spacing w:after="0"/>
              <w:rPr>
                <w:sz w:val="15"/>
                <w:szCs w:val="15"/>
                <w:color w:val="auto"/>
              </w:rPr>
            </w:pPr>
          </w:p>
        </w:tc>
        <w:tc>
          <w:tcPr>
            <w:tcW w:w="128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Pr>
          <w:p>
            <w:pPr>
              <w:spacing w:after="0"/>
              <w:rPr>
                <w:sz w:val="15"/>
                <w:szCs w:val="15"/>
                <w:color w:val="auto"/>
              </w:rPr>
            </w:pPr>
          </w:p>
        </w:tc>
        <w:tc>
          <w:tcPr>
            <w:tcW w:w="12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20%</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Sales commissions</w:t>
            </w:r>
          </w:p>
        </w:tc>
        <w:tc>
          <w:tcPr>
            <w:tcW w:w="100" w:type="dxa"/>
            <w:vAlign w:val="bottom"/>
          </w:tcPr>
          <w:p>
            <w:pPr>
              <w:spacing w:after="0"/>
              <w:rPr>
                <w:sz w:val="15"/>
                <w:szCs w:val="15"/>
                <w:color w:val="auto"/>
              </w:rPr>
            </w:pPr>
          </w:p>
        </w:tc>
        <w:tc>
          <w:tcPr>
            <w:tcW w:w="1280" w:type="dxa"/>
            <w:vAlign w:val="bottom"/>
            <w:gridSpan w:val="2"/>
          </w:tcPr>
          <w:p>
            <w:pPr>
              <w:jc w:val="right"/>
              <w:ind w:right="202"/>
              <w:spacing w:after="0"/>
              <w:rPr>
                <w:sz w:val="20"/>
                <w:szCs w:val="20"/>
                <w:color w:val="auto"/>
              </w:rPr>
            </w:pPr>
            <w:r>
              <w:rPr>
                <w:rFonts w:ascii="Times New Roman" w:cs="Times New Roman" w:eastAsia="Times New Roman" w:hAnsi="Times New Roman"/>
                <w:sz w:val="15"/>
                <w:szCs w:val="15"/>
                <w:color w:val="auto"/>
              </w:rPr>
              <w:t>24,590</w:t>
            </w:r>
          </w:p>
        </w:tc>
        <w:tc>
          <w:tcPr>
            <w:tcW w:w="80" w:type="dxa"/>
            <w:vAlign w:val="bottom"/>
          </w:tcPr>
          <w:p>
            <w:pPr>
              <w:spacing w:after="0"/>
              <w:rPr>
                <w:sz w:val="15"/>
                <w:szCs w:val="15"/>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31,127</w:t>
            </w:r>
          </w:p>
        </w:tc>
        <w:tc>
          <w:tcPr>
            <w:tcW w:w="2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(6,537)</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5"/>
                <w:szCs w:val="15"/>
                <w:color w:val="auto"/>
              </w:rPr>
              <w:t xml:space="preserve">Sales and marketing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5"/>
                <w:szCs w:val="15"/>
                <w:color w:val="auto"/>
              </w:rPr>
              <w:t>6,827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6,920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(93)</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0"/>
        </w:trPr>
        <w:tc>
          <w:tcPr>
            <w:tcW w:w="5960" w:type="dxa"/>
            <w:vAlign w:val="bottom"/>
            <w:gridSpan w:val="2"/>
          </w:tcPr>
          <w:p>
            <w:pPr>
              <w:ind w:left="120"/>
              <w:spacing w:after="0" w:line="228" w:lineRule="exact"/>
              <w:rPr>
                <w:sz w:val="20"/>
                <w:szCs w:val="20"/>
                <w:color w:val="auto"/>
              </w:rPr>
            </w:pPr>
            <w:r>
              <w:rPr>
                <w:rFonts w:ascii="Times New Roman" w:cs="Times New Roman" w:eastAsia="Times New Roman" w:hAnsi="Times New Roman"/>
                <w:sz w:val="15"/>
                <w:szCs w:val="15"/>
                <w:color w:val="auto"/>
              </w:rPr>
              <w:t xml:space="preserve">General and administrative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20"/>
                <w:szCs w:val="20"/>
                <w:color w:val="auto"/>
              </w:rPr>
            </w:pPr>
          </w:p>
        </w:tc>
        <w:tc>
          <w:tcPr>
            <w:tcW w:w="1280" w:type="dxa"/>
            <w:vAlign w:val="bottom"/>
            <w:gridSpan w:val="2"/>
          </w:tcPr>
          <w:p>
            <w:pPr>
              <w:jc w:val="right"/>
              <w:ind w:right="202"/>
              <w:spacing w:after="0"/>
              <w:rPr>
                <w:sz w:val="20"/>
                <w:szCs w:val="20"/>
                <w:color w:val="auto"/>
              </w:rPr>
            </w:pPr>
            <w:r>
              <w:rPr>
                <w:rFonts w:ascii="Times New Roman" w:cs="Times New Roman" w:eastAsia="Times New Roman" w:hAnsi="Times New Roman"/>
                <w:sz w:val="15"/>
                <w:szCs w:val="15"/>
                <w:color w:val="auto"/>
              </w:rPr>
              <w:t>76,594</w:t>
            </w:r>
          </w:p>
        </w:tc>
        <w:tc>
          <w:tcPr>
            <w:tcW w:w="80" w:type="dxa"/>
            <w:vAlign w:val="bottom"/>
          </w:tcPr>
          <w:p>
            <w:pPr>
              <w:spacing w:after="0"/>
              <w:rPr>
                <w:sz w:val="20"/>
                <w:szCs w:val="20"/>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32,099</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44,495</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202"/>
        </w:trPr>
        <w:tc>
          <w:tcPr>
            <w:tcW w:w="596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108,011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70,146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37,865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9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Loss from continuing operations</w:t>
            </w:r>
          </w:p>
        </w:tc>
        <w:tc>
          <w:tcPr>
            <w:tcW w:w="10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(68,509)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(52,358)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(16,151)</w:t>
            </w:r>
          </w:p>
        </w:tc>
        <w:tc>
          <w:tcPr>
            <w:tcW w:w="200" w:type="dxa"/>
            <w:vAlign w:val="bottom"/>
          </w:tcPr>
          <w:p>
            <w:pPr>
              <w:spacing w:after="0"/>
              <w:rPr>
                <w:sz w:val="14"/>
                <w:szCs w:val="14"/>
                <w:color w:val="auto"/>
              </w:rPr>
            </w:pPr>
          </w:p>
        </w:tc>
        <w:tc>
          <w:tcPr>
            <w:tcW w:w="11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Interest expense </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(16,223)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(14,033)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(2,190)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tcPr>
          <w:p>
            <w:pPr>
              <w:spacing w:after="0"/>
              <w:rPr>
                <w:sz w:val="15"/>
                <w:szCs w:val="15"/>
                <w:color w:val="auto"/>
              </w:rPr>
            </w:pPr>
          </w:p>
        </w:tc>
        <w:tc>
          <w:tcPr>
            <w:tcW w:w="1280" w:type="dxa"/>
            <w:vAlign w:val="bottom"/>
            <w:gridSpan w:val="2"/>
          </w:tcPr>
          <w:p>
            <w:pPr>
              <w:jc w:val="right"/>
              <w:ind w:right="202"/>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Pr>
          <w:p>
            <w:pPr>
              <w:spacing w:after="0"/>
              <w:rPr>
                <w:sz w:val="15"/>
                <w:szCs w:val="15"/>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36</w:t>
            </w:r>
          </w:p>
        </w:tc>
        <w:tc>
          <w:tcPr>
            <w:tcW w:w="2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Other income (expense), net </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5"/>
                <w:szCs w:val="15"/>
                <w:color w:val="auto"/>
              </w:rPr>
              <w:t>7,932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(29,862)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37,794</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(127)</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line="228" w:lineRule="exact"/>
              <w:rPr>
                <w:sz w:val="20"/>
                <w:szCs w:val="20"/>
                <w:color w:val="auto"/>
              </w:rPr>
            </w:pPr>
            <w:r>
              <w:rPr>
                <w:rFonts w:ascii="Times New Roman" w:cs="Times New Roman" w:eastAsia="Times New Roman" w:hAnsi="Times New Roman"/>
                <w:sz w:val="15"/>
                <w:szCs w:val="15"/>
                <w:color w:val="auto"/>
              </w:rPr>
              <w:t xml:space="preserve">Gain on troubled debt restructuring </w:t>
            </w:r>
            <w:r>
              <w:rPr>
                <w:rFonts w:ascii="Times New Roman" w:cs="Times New Roman" w:eastAsia="Times New Roman" w:hAnsi="Times New Roman"/>
                <w:sz w:val="25"/>
                <w:szCs w:val="25"/>
                <w:color w:val="auto"/>
                <w:vertAlign w:val="superscript"/>
              </w:rPr>
              <w:t>(4)</w:t>
            </w:r>
          </w:p>
        </w:tc>
        <w:tc>
          <w:tcPr>
            <w:tcW w:w="100" w:type="dxa"/>
            <w:vAlign w:val="bottom"/>
          </w:tcPr>
          <w:p>
            <w:pPr>
              <w:spacing w:after="0"/>
              <w:rPr>
                <w:sz w:val="20"/>
                <w:szCs w:val="20"/>
                <w:color w:val="auto"/>
              </w:rPr>
            </w:pPr>
          </w:p>
        </w:tc>
        <w:tc>
          <w:tcPr>
            <w:tcW w:w="1280" w:type="dxa"/>
            <w:vAlign w:val="bottom"/>
            <w:gridSpan w:val="2"/>
          </w:tcPr>
          <w:p>
            <w:pPr>
              <w:jc w:val="right"/>
              <w:ind w:right="202"/>
              <w:spacing w:after="0"/>
              <w:rPr>
                <w:sz w:val="20"/>
                <w:szCs w:val="20"/>
                <w:color w:val="auto"/>
              </w:rPr>
            </w:pPr>
            <w:r>
              <w:rPr>
                <w:rFonts w:ascii="Times New Roman" w:cs="Times New Roman" w:eastAsia="Times New Roman" w:hAnsi="Times New Roman"/>
                <w:sz w:val="15"/>
                <w:szCs w:val="15"/>
                <w:color w:val="auto"/>
              </w:rPr>
              <w:t>22,337</w:t>
            </w:r>
          </w:p>
        </w:tc>
        <w:tc>
          <w:tcPr>
            <w:tcW w:w="80" w:type="dxa"/>
            <w:vAlign w:val="bottom"/>
          </w:tcPr>
          <w:p>
            <w:pPr>
              <w:spacing w:after="0"/>
              <w:rPr>
                <w:sz w:val="20"/>
                <w:szCs w:val="20"/>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22,337</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59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Loss from continuing operations before taxes</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(54,444)</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(96,217)</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41,773</w:t>
            </w: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193"/>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benefit (provision)</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20</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3"/>
        </w:trPr>
        <w:tc>
          <w:tcPr>
            <w:tcW w:w="5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from continuing operations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line="20" w:lineRule="exact"/>
              <w:rPr>
                <w:sz w:val="1"/>
                <w:szCs w:val="1"/>
                <w:color w:val="auto"/>
              </w:rPr>
            </w:pPr>
          </w:p>
        </w:tc>
      </w:tr>
      <w:tr>
        <w:trPr>
          <w:trHeight w:val="208"/>
        </w:trPr>
        <w:tc>
          <w:tcPr>
            <w:tcW w:w="5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(54,444</w:t>
            </w: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(96,197</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41,753</w:t>
            </w: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9" w:hanging="269"/>
        <w:spacing w:after="0"/>
        <w:tabs>
          <w:tab w:leader="none" w:pos="269"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stock-based compensation expense. See table below.</w:t>
      </w:r>
    </w:p>
    <w:p>
      <w:pPr>
        <w:spacing w:after="0" w:line="191"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interest expense to related parties of $7.6 million and $0.4 million during the fiscal years ended December 29, 2024, and December 31, 2023, respectively.</w:t>
      </w:r>
    </w:p>
    <w:p>
      <w:pPr>
        <w:spacing w:after="0" w:line="3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65" w:name="page66"/>
    <w:bookmarkEnd w:id="65"/>
    <w:p>
      <w:pPr>
        <w:jc w:val="both"/>
        <w:ind w:left="269" w:hanging="269"/>
        <w:spacing w:after="0" w:line="264" w:lineRule="auto"/>
        <w:tabs>
          <w:tab w:leader="none" w:pos="269"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income (expense), net, in the fiscal year ended December 29, 2024, includes the following related party transactions; (i) $0.7 million of expense in connection with the conversion of SAFE Agreements into shares of common stock and the change in the fair value of SAFE Agreements, (ii) $3.0 million of expense in connection with the loss on issuance of a derivative liability and $0.3 million of income due to the change in the value of derivative liabilities, and (iii) $0.1 million of income in connection with the change in the fair value of forward purchase agreements.</w:t>
      </w:r>
    </w:p>
    <w:p>
      <w:pPr>
        <w:spacing w:after="0" w:line="151" w:lineRule="exact"/>
        <w:rPr>
          <w:rFonts w:ascii="Times New Roman" w:cs="Times New Roman" w:eastAsia="Times New Roman" w:hAnsi="Times New Roman"/>
          <w:sz w:val="15"/>
          <w:szCs w:val="15"/>
          <w:color w:val="auto"/>
        </w:rPr>
      </w:pPr>
    </w:p>
    <w:p>
      <w:pPr>
        <w:jc w:val="both"/>
        <w:ind w:left="269"/>
        <w:spacing w:after="0" w:line="27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income (expense), net in the fiscal year ended December 31, 2023, includes the following related party transaction; $0.7 million of expense for bonus shares issued in connection with the Mergers; $0.4 million of forward purchase agreements entered into and $9.1 million of change in the fair value of the forward purchase agreements; and $30.7 million of expense for shares issued in connection with the forward purchase agreements</w:t>
      </w:r>
    </w:p>
    <w:p>
      <w:pPr>
        <w:spacing w:after="0" w:line="146"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Gain includes $12.5 million with a related party in the fiscal year ended December 29, 2024.</w:t>
      </w:r>
    </w:p>
    <w:p>
      <w:pPr>
        <w:spacing w:after="0" w:line="214" w:lineRule="exact"/>
        <w:rPr>
          <w:sz w:val="20"/>
          <w:szCs w:val="20"/>
          <w:color w:val="auto"/>
        </w:rPr>
      </w:pPr>
    </w:p>
    <w:tbl>
      <w:tblPr>
        <w:tblLayout w:type="fixed"/>
        <w:tblInd w:w="9" w:type="dxa"/>
        <w:tblCellMar>
          <w:top w:w="0" w:type="dxa"/>
          <w:left w:w="0" w:type="dxa"/>
          <w:bottom w:w="0" w:type="dxa"/>
          <w:right w:w="0" w:type="dxa"/>
        </w:tblCellMar>
      </w:tblPr>
      <w:tr>
        <w:trPr>
          <w:trHeight w:val="197"/>
        </w:trPr>
        <w:tc>
          <w:tcPr>
            <w:tcW w:w="8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Percentage change not meaningful.</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7"/>
        </w:trPr>
        <w:tc>
          <w:tcPr>
            <w:tcW w:w="89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Includes stock-based compensation expense as follows (in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6"/>
        </w:trPr>
        <w:tc>
          <w:tcPr>
            <w:tcW w:w="8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8900" w:type="dxa"/>
            <w:vAlign w:val="bottom"/>
          </w:tcPr>
          <w:p>
            <w:pPr>
              <w:spacing w:after="0"/>
              <w:rPr>
                <w:sz w:val="14"/>
                <w:szCs w:val="14"/>
                <w:color w:val="auto"/>
              </w:rPr>
            </w:pPr>
          </w:p>
        </w:tc>
        <w:tc>
          <w:tcPr>
            <w:tcW w:w="1260" w:type="dxa"/>
            <w:vAlign w:val="bottom"/>
            <w:gridSpan w:val="3"/>
          </w:tcPr>
          <w:p>
            <w:pPr>
              <w:jc w:val="right"/>
              <w:ind w:right="300"/>
              <w:spacing w:after="0" w:line="164" w:lineRule="exact"/>
              <w:rPr>
                <w:sz w:val="20"/>
                <w:szCs w:val="20"/>
                <w:color w:val="auto"/>
              </w:rPr>
            </w:pPr>
            <w:r>
              <w:rPr>
                <w:rFonts w:ascii="Times New Roman" w:cs="Times New Roman" w:eastAsia="Times New Roman" w:hAnsi="Times New Roman"/>
                <w:sz w:val="15"/>
                <w:szCs w:val="15"/>
                <w:b w:val="1"/>
                <w:bCs w:val="1"/>
                <w:color w:val="auto"/>
              </w:rPr>
              <w:t>December 29,</w:t>
            </w:r>
          </w:p>
        </w:tc>
        <w:tc>
          <w:tcPr>
            <w:tcW w:w="100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gridSpan w:val="2"/>
          </w:tcPr>
          <w:p>
            <w:pPr>
              <w:spacing w:after="0"/>
              <w:rPr>
                <w:sz w:val="14"/>
                <w:szCs w:val="14"/>
                <w:color w:val="auto"/>
              </w:rPr>
            </w:pPr>
          </w:p>
        </w:tc>
      </w:tr>
      <w:tr>
        <w:trPr>
          <w:trHeight w:val="203"/>
        </w:trPr>
        <w:tc>
          <w:tcPr>
            <w:tcW w:w="89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2"/>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Sales and marketing</w:t>
            </w:r>
          </w:p>
        </w:tc>
        <w:tc>
          <w:tcPr>
            <w:tcW w:w="2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598</w:t>
            </w:r>
          </w:p>
        </w:tc>
        <w:tc>
          <w:tcPr>
            <w:tcW w:w="64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487</w:t>
            </w:r>
          </w:p>
        </w:tc>
        <w:tc>
          <w:tcPr>
            <w:tcW w:w="80" w:type="dxa"/>
            <w:vAlign w:val="bottom"/>
          </w:tcPr>
          <w:p>
            <w:pPr>
              <w:spacing w:after="0"/>
              <w:rPr>
                <w:sz w:val="15"/>
                <w:szCs w:val="15"/>
                <w:color w:val="auto"/>
              </w:rPr>
            </w:pPr>
          </w:p>
        </w:tc>
      </w:tr>
      <w:tr>
        <w:trPr>
          <w:trHeight w:val="202"/>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2,312</w:t>
            </w:r>
          </w:p>
        </w:tc>
        <w:tc>
          <w:tcPr>
            <w:tcW w:w="6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2,252</w:t>
            </w:r>
          </w:p>
        </w:tc>
        <w:tc>
          <w:tcPr>
            <w:tcW w:w="80" w:type="dxa"/>
            <w:vAlign w:val="bottom"/>
            <w:shd w:val="clear" w:color="auto" w:fill="CCEEFF"/>
          </w:tcPr>
          <w:p>
            <w:pPr>
              <w:spacing w:after="0"/>
              <w:rPr>
                <w:sz w:val="17"/>
                <w:szCs w:val="17"/>
                <w:color w:val="auto"/>
              </w:rPr>
            </w:pPr>
          </w:p>
        </w:tc>
      </w:tr>
      <w:tr>
        <w:trPr>
          <w:trHeight w:val="168"/>
        </w:trPr>
        <w:tc>
          <w:tcPr>
            <w:tcW w:w="890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stock-based compensation expense</w:t>
            </w:r>
          </w:p>
        </w:tc>
        <w:tc>
          <w:tcPr>
            <w:tcW w:w="220" w:type="dxa"/>
            <w:vAlign w:val="bottom"/>
            <w:tcBorders>
              <w:top w:val="single" w:sz="8" w:color="auto"/>
              <w:bottom w:val="single" w:sz="8" w:color="auto"/>
            </w:tcBorders>
          </w:tcPr>
          <w:p>
            <w:pPr>
              <w:jc w:val="right"/>
              <w:ind w:right="6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3,067</w:t>
            </w:r>
          </w:p>
        </w:tc>
        <w:tc>
          <w:tcPr>
            <w:tcW w:w="240" w:type="dxa"/>
            <w:vAlign w:val="bottom"/>
            <w:tcBorders>
              <w:top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2,823</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6"/>
        </w:trPr>
        <w:tc>
          <w:tcPr>
            <w:tcW w:w="8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63"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64"/>
        </w:trPr>
        <w:tc>
          <w:tcPr>
            <w:tcW w:w="59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We disaggregate our revenues based on the following operating segments (in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5"/>
        </w:trPr>
        <w:tc>
          <w:tcPr>
            <w:tcW w:w="59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5"/>
                <w:szCs w:val="15"/>
                <w:color w:val="auto"/>
              </w:rPr>
            </w:pPr>
          </w:p>
        </w:tc>
        <w:tc>
          <w:tcPr>
            <w:tcW w:w="112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5"/>
                <w:szCs w:val="15"/>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80" w:type="dxa"/>
            <w:vAlign w:val="bottom"/>
            <w:tcBorders>
              <w:bottom w:val="single" w:sz="8" w:color="CCEEFF"/>
            </w:tcBorders>
          </w:tcPr>
          <w:p>
            <w:pPr>
              <w:spacing w:after="0"/>
              <w:rPr>
                <w:sz w:val="17"/>
                <w:szCs w:val="17"/>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67,460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(20,156)</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41,282</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41,282</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100</w:t>
            </w: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108,742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21,126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9" w:firstLine="273"/>
        <w:spacing w:after="0" w:line="264" w:lineRule="auto"/>
        <w:rPr>
          <w:sz w:val="20"/>
          <w:szCs w:val="20"/>
          <w:color w:val="auto"/>
        </w:rPr>
      </w:pPr>
      <w:r>
        <w:rPr>
          <w:rFonts w:ascii="Times New Roman" w:cs="Times New Roman" w:eastAsia="Times New Roman" w:hAnsi="Times New Roman"/>
          <w:sz w:val="15"/>
          <w:szCs w:val="15"/>
          <w:color w:val="auto"/>
        </w:rPr>
        <w:t>Total revenues increased by $21.1 million or 24%, during fiscal 2024 compared to fiscal 2023. This increase includes $84.6 million in revenue generated from the SunPower acquisition, partially offset by a decrease in legacy solar energy system installation of $61.0 million or 70% when compared to the previous year. The decrease in Residential Solar Installation during fiscal 2024 is primarily a result of decreased demand for solar energy systems due to the net energy metering program (“NEM 3.0”) that went live in California in April 2023, an overall softening in the industry due to reduced economic outlook in key markets, and rising interest rates.</w:t>
      </w:r>
    </w:p>
    <w:p>
      <w:pPr>
        <w:spacing w:after="0" w:line="151"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decrease in software enhanced services during fiscal 2024 was the result of a shift in focus towards solar energy installations.</w:t>
      </w:r>
    </w:p>
    <w:p>
      <w:pPr>
        <w:spacing w:after="0" w:line="3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1"/>
        </w:trPr>
        <w:tc>
          <w:tcPr>
            <w:tcW w:w="5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5"/>
                <w:szCs w:val="15"/>
                <w:color w:val="auto"/>
              </w:rPr>
            </w:pPr>
          </w:p>
        </w:tc>
        <w:tc>
          <w:tcPr>
            <w:tcW w:w="112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45,266</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69,828</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(24,562)</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8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23,974</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23,974</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cost of revenues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69,240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69,828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5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Margin</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Total gross margin</w:t>
            </w:r>
          </w:p>
        </w:tc>
        <w:tc>
          <w:tcPr>
            <w:tcW w:w="8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Total costs of revenues decreased by $0.5 million, during fiscal 2024 compared to fiscal 2023. This decrease includes $49.0 million in cost of revenue generated from the SunPower acquisition partially offset by a $49.5 million or 1% decrease in costs attributable to decrease in legacy solar energy systems revenues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Gross Margin</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Gross margin increased from 20% for the fiscal year ended December 31, 2023 to 36% for the fiscal year ended December 29, 2024. The increase in gross margin is primarily attributed to the SunPower acquisition. New Homes Business has a higher gross margin because the systems are integrated into new builds whereas solar system installations require retrofitting that may require additional labor and costly renovations for optimal roof orientation and proper installation.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Sales Commissions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78"/>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5"/>
        </w:trPr>
        <w:tc>
          <w:tcPr>
            <w:tcW w:w="59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5"/>
                <w:szCs w:val="15"/>
                <w:color w:val="auto"/>
              </w:rPr>
            </w:pPr>
          </w:p>
        </w:tc>
        <w:tc>
          <w:tcPr>
            <w:tcW w:w="112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5"/>
                <w:szCs w:val="15"/>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80" w:type="dxa"/>
            <w:vAlign w:val="bottom"/>
            <w:tcBorders>
              <w:bottom w:val="single" w:sz="8" w:color="CCEEFF"/>
            </w:tcBorders>
          </w:tcPr>
          <w:p>
            <w:pPr>
              <w:spacing w:after="0"/>
              <w:rPr>
                <w:sz w:val="17"/>
                <w:szCs w:val="17"/>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23,388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(7,739)</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1,202</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1,202</w:t>
            </w:r>
          </w:p>
        </w:tc>
        <w:tc>
          <w:tcPr>
            <w:tcW w:w="2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100</w:t>
            </w: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 Commission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24,590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(6,537</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(21)</w:t>
            </w: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The decrease in Residential Solar Installations commissions during fiscal 2024 compared to fiscal 2023 is attributed to a decrease in sales in solar system installation revenue and overall decrease in customer acquisition costs.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Sales and Marketing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78"/>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5"/>
        </w:trPr>
        <w:tc>
          <w:tcPr>
            <w:tcW w:w="59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5"/>
                <w:szCs w:val="15"/>
                <w:color w:val="auto"/>
              </w:rPr>
            </w:pPr>
          </w:p>
        </w:tc>
        <w:tc>
          <w:tcPr>
            <w:tcW w:w="112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5"/>
                <w:szCs w:val="15"/>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80" w:type="dxa"/>
            <w:vAlign w:val="bottom"/>
            <w:tcBorders>
              <w:bottom w:val="single" w:sz="8" w:color="CCEEFF"/>
            </w:tcBorders>
          </w:tcPr>
          <w:p>
            <w:pPr>
              <w:spacing w:after="0"/>
              <w:rPr>
                <w:sz w:val="17"/>
                <w:szCs w:val="17"/>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 &amp; Marketing</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w:t>
            </w: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Residential Solar Installation expense decreased in fiscal 2024 compared to fiscal 2023 due to the decrease in revenues and a reduction in incentives and rebates for the solar energy system installations.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880"/>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5"/>
                <w:szCs w:val="15"/>
                <w:color w:val="auto"/>
              </w:rPr>
            </w:pPr>
          </w:p>
        </w:tc>
        <w:tc>
          <w:tcPr>
            <w:tcW w:w="1120" w:type="dxa"/>
            <w:vAlign w:val="bottom"/>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Installations</w:t>
            </w: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73,362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32,099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41,263</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w w:val="97"/>
              </w:rPr>
              <w:t>129%</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3,232</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3,232</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5"/>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 &amp; Marketing</w:t>
            </w:r>
          </w:p>
        </w:tc>
        <w:tc>
          <w:tcPr>
            <w:tcW w:w="2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76,594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32,099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44,495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CCEEFF"/>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80" w:type="dxa"/>
            <w:vAlign w:val="bottom"/>
            <w:vMerge w:val="restart"/>
          </w:tcPr>
          <w:p>
            <w:pPr>
              <w:jc w:val="right"/>
              <w:ind w:right="184"/>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3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3" w:right="319" w:bottom="1440" w:gutter="0" w:footer="0" w:header="0"/>
        </w:sectPr>
      </w:pPr>
    </w:p>
    <w:bookmarkStart w:id="67" w:name="page68"/>
    <w:bookmarkEnd w:id="67"/>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increase in general and administrative costs during fiscal 2024 compared to fiscal 2023 was primarily attributed to transformation costs as it relates to the SunPower acquisition. Increases in contractors, professional services such as legal, accounting and other outside services costs of $14.0 million related to the acquisition, payroll of $10.4 million, bad debt expense of $10.0 million, and overall one-time costs of $13.3 million of integrating the companies include consultants to identify areas of automation and operational synergies, software implementation, and data migration.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Interest expense for the fiscal year ended December 29, 2024 increased $2.2 million or 16%, compared to the fiscal year ended December 31, 2023. The increase was primarily attributed to debt restructuring that was completed during the third quarter of fiscal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Income (Expense), Net</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Other income (expense), net was $7.9 million for the fiscal year ended December 29, 2024. The expenses consisted primarily of and increased due to $34.0 million gain on remeasurement of derivative liability, and $6.5 million due to the change in fair value of warrant liability, warrants, forward purchase agreement liabilities and SAFE Agreement. The increase is offset by $24.7 million loss on issuance of a derivative liability, $1.3 million change in the fair value of FACT public, private placement and working capital warrants, $1.3 million loss on conversion of SAFE agreements to common stock with a related party and $3.8 million in other financing costs.</w:t>
      </w:r>
    </w:p>
    <w:p>
      <w:pPr>
        <w:spacing w:after="0" w:line="151"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Other income (expense), net was $29.9 million for the fiscal year ended December 31, 2023. The expenses consisted primarily of $35.4 million in other expense related to the issuance of common stock in connection with the FPAs, the loss on extinguishment of debt in CS Solis, LLC (“</w:t>
      </w:r>
      <w:r>
        <w:rPr>
          <w:rFonts w:ascii="Times New Roman" w:cs="Times New Roman" w:eastAsia="Times New Roman" w:hAnsi="Times New Roman"/>
          <w:sz w:val="15"/>
          <w:szCs w:val="15"/>
          <w:b w:val="1"/>
          <w:bCs w:val="1"/>
          <w:color w:val="auto"/>
        </w:rPr>
        <w:t>CS Solis</w:t>
      </w:r>
      <w:r>
        <w:rPr>
          <w:rFonts w:ascii="Times New Roman" w:cs="Times New Roman" w:eastAsia="Times New Roman" w:hAnsi="Times New Roman"/>
          <w:sz w:val="15"/>
          <w:szCs w:val="15"/>
          <w:color w:val="auto"/>
        </w:rPr>
        <w:t>”) of $10.3 million, the loss on sale of Maxeon equity securities of $4.2 million, $3.9 million in other expense associated with the change in fair value of FPAs, $2.4 million for the issuance of bonus shares in connection with the Mergers, $3.0 million relating to expenses relating to disposed operations and other expenses of $0.4 million. These expenses were offset by $29.3 million related to the change in fair value of our warrant liabilities.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Loss from Continuing Operations</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As a result of the factors discussed above, our net loss from continuing operations for the fiscal year ended December 29, 2024, was $54.4 million a decrease of $41.8 million, as compared to a net loss from continuing operations of $96.2 million for the fiscal year ended December 31,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Overview</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Since inception, we have incurred losses and negative cash flows from operations. We had a net loss from continuing operations of $30.1 million in the thirty-nine week period ended September 28, 2025. As of September 28, 2025, we had an accumulated deficit of $442.6 million, total debt, including derivative liabilities of $204.3 million, and cash and cash equivalents (excluding restricted cash) of $5.1 million which was held for working capital expenditures. We believe our operating losses and negative operating cash flows will continue into the foreseeable future.</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material cash requirements include cash required to fund our operations, to meet our working capital requirements and to fund our capital expenditures.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68" w:name="page69"/>
    <w:bookmarkEnd w:id="68"/>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We have financed our operations primarily through sales of equity securities, debt, issuance of convertible notes, cash generated from operations and the proceeds from the Mergers. As a result of not timely filing our Form 10-Q for the quarter ended September 28, 2025 and the Current Report on Form 8-K filing the financial statements required to be filed in connection with the Sunder Acquisition,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may significantly impair our ability to raise the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spacing w:after="0" w:line="345"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Our cash equivalents are on deposit with major financial institutions. Our cash position raises substantial doubt regarding our ability to continue as a going concern for 12 months following the issuance of the unaudited condensed consolidated financial statements.</w:t>
      </w:r>
    </w:p>
    <w:p>
      <w:pPr>
        <w:spacing w:after="0" w:line="134"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We will receive the proceeds from any cash exercise of warrants for shares of our common stock. The aggregate amount of proceeds could be up to $257.2 million if all the warrants are exercised for cash. However, to the extent the warrants are exercised on a “cashless basis,” the amount of cash we would receive from the exercise of those warrants will decrease. The Private Warrants and Working Capital Warrants, as so identified in our unaudited condensed consolidated financial statements, may be exercised for cash or on a “cashless basis.” The Public Warrants and the Merger Warrants may only be exercised for cash provided there is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expect to use any such proceeds for general corporate and working capital purposes, which would increase our liquidity. As of January 30, 2026, the closing price of our common stock was $1.72 per share. We believe the likelihood that warrant holders will exercise their warrants, and therefore the amount of cash proceeds that we would receive is dependent upon the market price of our common stock. If the market price for our common stock remains less than the exercise price, we believe warrant holders will be unlikely to exercise.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Debt financings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12.0% Unsecured Convertible Senior Notes</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In July 2024, we issued $46.0 million of 12% Notes to various lenders in connection with the exchange agreement transactions summarized below. Of the 12% Notes, $18.0 million were issued in exchange for the cancellation of existing indebtedness, which amount included $10.0 million issued to CRSEF Solis Holdings, LLC and its affiliates (“</w:t>
      </w:r>
      <w:r>
        <w:rPr>
          <w:rFonts w:ascii="Times New Roman" w:cs="Times New Roman" w:eastAsia="Times New Roman" w:hAnsi="Times New Roman"/>
          <w:sz w:val="15"/>
          <w:szCs w:val="15"/>
          <w:b w:val="1"/>
          <w:bCs w:val="1"/>
          <w:color w:val="auto"/>
        </w:rPr>
        <w:t>Carlyle</w:t>
      </w:r>
      <w:r>
        <w:rPr>
          <w:rFonts w:ascii="Times New Roman" w:cs="Times New Roman" w:eastAsia="Times New Roman" w:hAnsi="Times New Roman"/>
          <w:sz w:val="15"/>
          <w:szCs w:val="15"/>
          <w:color w:val="auto"/>
        </w:rPr>
        <w:t>”), identified by us as a related party at the transaction date. During the thirteen week period ended June 29, 2025, Carlyle ceased to be a significant shareholder and therefore is no longer deemed a related party with the Company. The 12% Notes also include $18.0 million initially issued to a related party affiliated with the Company’s CEO, Rodgers Massey Revocable Living Trust (“Rodgers Revocable Trust”). The 12% Notes bear interest at 12.0% per annum and mature on July 1, 2029. The interest rate increases by 3% in the event of default. Interest is payable semiannually in arrears on January 1 and July 1. The 12% Notes are convertible into shares of our common stock at the option of the holder at a conversion rate initially equal to 595.2381 shares of common stock per $1,000 principal amount of the July notes. The 12% Notes may be declared due and payable at the option of the holder upon an event of default and upon a qualifying change of control event.</w:t>
      </w:r>
    </w:p>
    <w:p>
      <w:pPr>
        <w:spacing w:after="0" w:line="151"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July 10, 2025, the Company issued a convertible promissory note (the “</w:t>
      </w:r>
      <w:r>
        <w:rPr>
          <w:rFonts w:ascii="Times New Roman" w:cs="Times New Roman" w:eastAsia="Times New Roman" w:hAnsi="Times New Roman"/>
          <w:sz w:val="15"/>
          <w:szCs w:val="15"/>
          <w:b w:val="1"/>
          <w:bCs w:val="1"/>
          <w:color w:val="auto"/>
        </w:rPr>
        <w:t>July 2025 Note</w:t>
      </w:r>
      <w:r>
        <w:rPr>
          <w:rFonts w:ascii="Times New Roman" w:cs="Times New Roman" w:eastAsia="Times New Roman" w:hAnsi="Times New Roman"/>
          <w:sz w:val="15"/>
          <w:szCs w:val="15"/>
          <w:color w:val="auto"/>
        </w:rPr>
        <w:t>”) to the Rodgers Revocable Trust in exchange for $5.0 million of proceeds received by the Company. The July 2025 Note bears the same features as the 12% Notes except for the conversion rate which is initially equal to 558.6592 shares of common stock per $1,000 principal amount due under the July 2025 Note. The conversion rate is subject to adjustment from time to time pursuant to the terms of the July 2025 Note. The July 2025 Note matures on July 1, 2029.</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69" w:name="page70"/>
    <w:bookmarkEnd w:id="69"/>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November 20, 2025, the Company issued a convertible promissory note (the “</w:t>
      </w:r>
      <w:r>
        <w:rPr>
          <w:rFonts w:ascii="Times New Roman" w:cs="Times New Roman" w:eastAsia="Times New Roman" w:hAnsi="Times New Roman"/>
          <w:sz w:val="15"/>
          <w:szCs w:val="15"/>
          <w:b w:val="1"/>
          <w:bCs w:val="1"/>
          <w:color w:val="auto"/>
        </w:rPr>
        <w:t>November 2025 Note</w:t>
      </w:r>
      <w:r>
        <w:rPr>
          <w:rFonts w:ascii="Times New Roman" w:cs="Times New Roman" w:eastAsia="Times New Roman" w:hAnsi="Times New Roman"/>
          <w:sz w:val="15"/>
          <w:szCs w:val="15"/>
          <w:color w:val="auto"/>
        </w:rPr>
        <w:t>”) to the Rodgers Massey Freedom and Free Markets Charitable Trust in exchange for $2.0 million of proceeds received by the Company. The November 2025 Note bears the same features as the 12% Notes except for the conversion rate which is initially equal to 626.9592 shares of common stock per $1,000 principal amount due under the November 2025 Note. The conversion rate is subject to adjustment from time to time pursuant to the terms of the November 2025 Note. The November 2025 Note matures on July 1, 2029.</w:t>
      </w:r>
    </w:p>
    <w:p>
      <w:pPr>
        <w:spacing w:after="0" w:line="146"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January 29, 2026, the Company issued a convertible promissory note (the “</w:t>
      </w:r>
      <w:r>
        <w:rPr>
          <w:rFonts w:ascii="Times New Roman" w:cs="Times New Roman" w:eastAsia="Times New Roman" w:hAnsi="Times New Roman"/>
          <w:sz w:val="15"/>
          <w:szCs w:val="15"/>
          <w:b w:val="1"/>
          <w:bCs w:val="1"/>
          <w:color w:val="auto"/>
        </w:rPr>
        <w:t>January 2026 Note</w:t>
      </w:r>
      <w:r>
        <w:rPr>
          <w:rFonts w:ascii="Times New Roman" w:cs="Times New Roman" w:eastAsia="Times New Roman" w:hAnsi="Times New Roman"/>
          <w:sz w:val="15"/>
          <w:szCs w:val="15"/>
          <w:color w:val="auto"/>
        </w:rPr>
        <w:t>”) to the Rodgers Massey Freedom and Free Markets Charitable Trust in exchange for $3.3 million of proceeds received by the Company. The January 2026 Note bears the same features as the 12% Notes except for the conversion rate which is initially equal to 540.5405 shares of common stock per $1,000 principal amount due under the January 2026 Note. The conversion rate is subject to adjustment from time to time pursuant to the terms of the January 2026 Note. The January 2026 Note matures on July 1, 2029.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7.0%% Unsecured Convertible Senior Notes</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In September 2024, we issued $66.8 million of the 7% Notes to various lenders, $8.0 million of which were issued to a related party. In December 2024, we issued additional 7% Notes for cash proceeds of $13.0 million, and we issued an additional $0.2 million of the 7% Notes in the thirteen week period ended March 30, 2025. On September 23, 2025, we issued $22.0 million aggregate principal amount of the 7% Notes for net proceeds to us of $19,800,000, which net proceeds were used to pay a portion of the purchase price for the Sunder Acquisition. The 7% Notes bear interest at 7.0% per annum and mature on July 1, 2029. Interest is payable semiannually in arrears on January 1 and July 1. The 7% Notes are initially convertible into 467.8363 shares of common stock per$1,000 principal amount of 7% Notes, subject to the adjustment provisions, including make-whole adjustment terms, included in the 7% Notes. The 7% Notes may be declared due and payable at the option of the holder upon an event of default and upon a qualifying change of control event.</w:t>
      </w:r>
    </w:p>
    <w:p>
      <w:pPr>
        <w:spacing w:after="0" w:line="153"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In September 2025, we issued an additional $22.0 million of the 7.0% Notes to various creditors for net proceeds of $19.6 million, which was used to fund our acquisition of Sunder.</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Seller Note</w:t>
      </w:r>
    </w:p>
    <w:p>
      <w:pPr>
        <w:spacing w:after="0" w:line="192"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In addition to the 7% Notes we issued to finance the acquisition of Sunder, we also issued a note to the seller of Sunder (“</w:t>
      </w:r>
      <w:r>
        <w:rPr>
          <w:rFonts w:ascii="Times New Roman" w:cs="Times New Roman" w:eastAsia="Times New Roman" w:hAnsi="Times New Roman"/>
          <w:sz w:val="15"/>
          <w:szCs w:val="15"/>
          <w:b w:val="1"/>
          <w:bCs w:val="1"/>
          <w:color w:val="auto"/>
        </w:rPr>
        <w:t>Seller Note</w:t>
      </w:r>
      <w:r>
        <w:rPr>
          <w:rFonts w:ascii="Times New Roman" w:cs="Times New Roman" w:eastAsia="Times New Roman" w:hAnsi="Times New Roman"/>
          <w:sz w:val="15"/>
          <w:szCs w:val="15"/>
          <w:color w:val="auto"/>
        </w:rPr>
        <w:t>”) on September 24, 2025. 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our failure to pay the Seller Note when due, (b) our voluntary or involuntary bankruptcy, (c) our liquidation or dissolution, (d) a change of control of the Company, (e) our material breach of the covenants applicable to us under the Seller Note, subject to applicable cure periods, and (f) if any of our representations or warranties made in the Seller Note were untrue in any material respect when made.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Loan with related party</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have a fixed principal balance of $1.5 million outstanding as of September 28, 2025, due to the Rodgers Revocable Trust, a related party.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Forward purchase agreements</w:t>
      </w:r>
    </w:p>
    <w:p>
      <w:pPr>
        <w:spacing w:after="0" w:line="192"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color w:val="auto"/>
        </w:rPr>
        <w:t>In July 2023, FACT and Legacy Complete Solaria, Inc. entered into FPAs with each of (i) Meteora Special Opportunity Fund I, LP (“</w:t>
      </w:r>
      <w:r>
        <w:rPr>
          <w:rFonts w:ascii="Times New Roman" w:cs="Times New Roman" w:eastAsia="Times New Roman" w:hAnsi="Times New Roman"/>
          <w:sz w:val="15"/>
          <w:szCs w:val="15"/>
          <w:b w:val="1"/>
          <w:bCs w:val="1"/>
          <w:color w:val="auto"/>
        </w:rPr>
        <w:t>MSOF</w:t>
      </w:r>
      <w:r>
        <w:rPr>
          <w:rFonts w:ascii="Times New Roman" w:cs="Times New Roman" w:eastAsia="Times New Roman" w:hAnsi="Times New Roman"/>
          <w:sz w:val="15"/>
          <w:szCs w:val="15"/>
          <w:color w:val="auto"/>
        </w:rPr>
        <w:t>”), Meteora Capital Partners, LP (“</w:t>
      </w:r>
      <w:r>
        <w:rPr>
          <w:rFonts w:ascii="Times New Roman" w:cs="Times New Roman" w:eastAsia="Times New Roman" w:hAnsi="Times New Roman"/>
          <w:sz w:val="15"/>
          <w:szCs w:val="15"/>
          <w:b w:val="1"/>
          <w:bCs w:val="1"/>
          <w:color w:val="auto"/>
        </w:rPr>
        <w:t>MCP</w:t>
      </w:r>
      <w:r>
        <w:rPr>
          <w:rFonts w:ascii="Times New Roman" w:cs="Times New Roman" w:eastAsia="Times New Roman" w:hAnsi="Times New Roman"/>
          <w:sz w:val="15"/>
          <w:szCs w:val="15"/>
          <w:color w:val="auto"/>
        </w:rPr>
        <w:t>”) and Meteora Select Trading Opportunities Master, LP (“</w:t>
      </w:r>
      <w:r>
        <w:rPr>
          <w:rFonts w:ascii="Times New Roman" w:cs="Times New Roman" w:eastAsia="Times New Roman" w:hAnsi="Times New Roman"/>
          <w:sz w:val="15"/>
          <w:szCs w:val="15"/>
          <w:b w:val="1"/>
          <w:bCs w:val="1"/>
          <w:color w:val="auto"/>
        </w:rPr>
        <w:t>MSTO</w:t>
      </w:r>
      <w:r>
        <w:rPr>
          <w:rFonts w:ascii="Times New Roman" w:cs="Times New Roman" w:eastAsia="Times New Roman" w:hAnsi="Times New Roman"/>
          <w:sz w:val="15"/>
          <w:szCs w:val="15"/>
          <w:color w:val="auto"/>
        </w:rPr>
        <w:t>”) (with MSOF, MCP, and MSTO collectively as “Meteora”); (ii) Sandia Investment Management LP (“</w:t>
      </w:r>
      <w:r>
        <w:rPr>
          <w:rFonts w:ascii="Times New Roman" w:cs="Times New Roman" w:eastAsia="Times New Roman" w:hAnsi="Times New Roman"/>
          <w:sz w:val="15"/>
          <w:szCs w:val="15"/>
          <w:b w:val="1"/>
          <w:bCs w:val="1"/>
          <w:color w:val="auto"/>
        </w:rPr>
        <w:t>Sandia</w:t>
      </w:r>
      <w:r>
        <w:rPr>
          <w:rFonts w:ascii="Times New Roman" w:cs="Times New Roman" w:eastAsia="Times New Roman" w:hAnsi="Times New Roman"/>
          <w:sz w:val="15"/>
          <w:szCs w:val="15"/>
          <w:color w:val="auto"/>
        </w:rPr>
        <w:t>”) , and (iii) Polar Multi-Strategy Master Fund (“</w:t>
      </w:r>
      <w:r>
        <w:rPr>
          <w:rFonts w:ascii="Times New Roman" w:cs="Times New Roman" w:eastAsia="Times New Roman" w:hAnsi="Times New Roman"/>
          <w:sz w:val="15"/>
          <w:szCs w:val="15"/>
          <w:b w:val="1"/>
          <w:bCs w:val="1"/>
          <w:color w:val="auto"/>
        </w:rPr>
        <w:t>Polar</w:t>
      </w:r>
      <w:r>
        <w:rPr>
          <w:rFonts w:ascii="Times New Roman" w:cs="Times New Roman" w:eastAsia="Times New Roman" w:hAnsi="Times New Roman"/>
          <w:sz w:val="15"/>
          <w:szCs w:val="15"/>
          <w:color w:val="auto"/>
        </w:rPr>
        <w:t>”) (each individually, a “</w:t>
      </w:r>
      <w:r>
        <w:rPr>
          <w:rFonts w:ascii="Times New Roman" w:cs="Times New Roman" w:eastAsia="Times New Roman" w:hAnsi="Times New Roman"/>
          <w:sz w:val="15"/>
          <w:szCs w:val="15"/>
          <w:b w:val="1"/>
          <w:bCs w:val="1"/>
          <w:color w:val="auto"/>
        </w:rPr>
        <w:t>Seller</w:t>
      </w:r>
      <w:r>
        <w:rPr>
          <w:rFonts w:ascii="Times New Roman" w:cs="Times New Roman" w:eastAsia="Times New Roman" w:hAnsi="Times New Roman"/>
          <w:sz w:val="15"/>
          <w:szCs w:val="15"/>
          <w:color w:val="auto"/>
        </w:rPr>
        <w:t>”, and together, the “</w:t>
      </w:r>
      <w:r>
        <w:rPr>
          <w:rFonts w:ascii="Times New Roman" w:cs="Times New Roman" w:eastAsia="Times New Roman" w:hAnsi="Times New Roman"/>
          <w:sz w:val="15"/>
          <w:szCs w:val="15"/>
          <w:b w:val="1"/>
          <w:bCs w:val="1"/>
          <w:color w:val="auto"/>
        </w:rPr>
        <w:t>FPA Sellers</w:t>
      </w:r>
      <w:r>
        <w:rPr>
          <w:rFonts w:ascii="Times New Roman" w:cs="Times New Roman" w:eastAsia="Times New Roman" w:hAnsi="Times New Roman"/>
          <w:sz w:val="15"/>
          <w:szCs w:val="15"/>
          <w:color w:val="auto"/>
        </w:rPr>
        <w: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70" w:name="page71"/>
    <w:bookmarkEnd w:id="70"/>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Pursuant to the terms of the FPAs, the FPA Sellers may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key terms of the forward contracts are as follows:</w:t>
      </w:r>
    </w:p>
    <w:p>
      <w:pPr>
        <w:spacing w:after="0" w:line="188" w:lineRule="exact"/>
        <w:rPr>
          <w:sz w:val="20"/>
          <w:szCs w:val="20"/>
          <w:color w:val="auto"/>
        </w:rPr>
      </w:pPr>
    </w:p>
    <w:p>
      <w:pPr>
        <w:jc w:val="both"/>
        <w:ind w:left="540" w:hanging="276"/>
        <w:spacing w:after="0" w:line="266" w:lineRule="auto"/>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FPA Sellers can terminate the transaction following the Optional Early Termination (“</w:t>
      </w:r>
      <w:r>
        <w:rPr>
          <w:rFonts w:ascii="Times New Roman" w:cs="Times New Roman" w:eastAsia="Times New Roman" w:hAnsi="Times New Roman"/>
          <w:sz w:val="15"/>
          <w:szCs w:val="15"/>
          <w:b w:val="1"/>
          <w:bCs w:val="1"/>
          <w:color w:val="auto"/>
        </w:rPr>
        <w:t>OET</w:t>
      </w:r>
      <w:r>
        <w:rPr>
          <w:rFonts w:ascii="Times New Roman" w:cs="Times New Roman" w:eastAsia="Times New Roman" w:hAnsi="Times New Roman"/>
          <w:sz w:val="15"/>
          <w:szCs w:val="15"/>
          <w:color w:val="auto"/>
        </w:rPr>
        <w: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w:t>
      </w:r>
      <w:r>
        <w:rPr>
          <w:rFonts w:ascii="Times New Roman" w:cs="Times New Roman" w:eastAsia="Times New Roman" w:hAnsi="Times New Roman"/>
          <w:sz w:val="15"/>
          <w:szCs w:val="15"/>
          <w:b w:val="1"/>
          <w:bCs w:val="1"/>
          <w:color w:val="auto"/>
        </w:rPr>
        <w:t>Initial Price</w:t>
      </w:r>
      <w:r>
        <w:rPr>
          <w:rFonts w:ascii="Times New Roman" w:cs="Times New Roman" w:eastAsia="Times New Roman" w:hAnsi="Times New Roman"/>
          <w:sz w:val="15"/>
          <w:szCs w:val="15"/>
          <w:color w:val="auto"/>
        </w:rPr>
        <w:t>”) and is subject to a $5.00 floor.</w:t>
      </w:r>
    </w:p>
    <w:p>
      <w:pPr>
        <w:spacing w:after="0" w:line="149" w:lineRule="exact"/>
        <w:rPr>
          <w:rFonts w:ascii="Times New Roman" w:cs="Times New Roman" w:eastAsia="Times New Roman" w:hAnsi="Times New Roman"/>
          <w:sz w:val="15"/>
          <w:szCs w:val="15"/>
          <w:color w:val="auto"/>
        </w:rPr>
      </w:pPr>
    </w:p>
    <w:p>
      <w:pPr>
        <w:jc w:val="both"/>
        <w:ind w:left="540" w:hanging="276"/>
        <w:spacing w:after="0" w:line="260" w:lineRule="auto"/>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FPAs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SunPower Common Stock, with a per share price based on the volume-weighted average price (“</w:t>
      </w:r>
      <w:r>
        <w:rPr>
          <w:rFonts w:ascii="Times New Roman" w:cs="Times New Roman" w:eastAsia="Times New Roman" w:hAnsi="Times New Roman"/>
          <w:sz w:val="15"/>
          <w:szCs w:val="15"/>
          <w:b w:val="1"/>
          <w:bCs w:val="1"/>
          <w:color w:val="auto"/>
        </w:rPr>
        <w:t>VWAP</w:t>
      </w:r>
      <w:r>
        <w:rPr>
          <w:rFonts w:ascii="Times New Roman" w:cs="Times New Roman" w:eastAsia="Times New Roman" w:hAnsi="Times New Roman"/>
          <w:sz w:val="15"/>
          <w:szCs w:val="15"/>
          <w:color w:val="auto"/>
        </w:rPr>
        <w:t>”)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p>
      <w:pPr>
        <w:spacing w:after="0" w:line="153" w:lineRule="exact"/>
        <w:rPr>
          <w:rFonts w:ascii="Times New Roman" w:cs="Times New Roman" w:eastAsia="Times New Roman" w:hAnsi="Times New Roman"/>
          <w:sz w:val="15"/>
          <w:szCs w:val="15"/>
          <w:color w:val="auto"/>
        </w:rPr>
      </w:pPr>
    </w:p>
    <w:p>
      <w:pPr>
        <w:jc w:val="both"/>
        <w:ind w:left="540" w:hanging="276"/>
        <w:spacing w:after="0" w:line="264" w:lineRule="auto"/>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w:t>
      </w:r>
      <w:r>
        <w:rPr>
          <w:rFonts w:ascii="Times New Roman" w:cs="Times New Roman" w:eastAsia="Times New Roman" w:hAnsi="Times New Roman"/>
          <w:sz w:val="15"/>
          <w:szCs w:val="15"/>
          <w:b w:val="1"/>
          <w:bCs w:val="1"/>
          <w:color w:val="auto"/>
        </w:rPr>
        <w:t>Measurement Period</w:t>
      </w:r>
      <w:r>
        <w:rPr>
          <w:rFonts w:ascii="Times New Roman" w:cs="Times New Roman" w:eastAsia="Times New Roman" w:hAnsi="Times New Roman"/>
          <w:sz w:val="15"/>
          <w:szCs w:val="15"/>
          <w:color w:val="auto"/>
        </w:rPr>
        <w:t>”) that occurs at least 6 months after the Closing Date, the VWAP Price is less than the then applicable Reset Price.</w:t>
      </w:r>
    </w:p>
    <w:p>
      <w:pPr>
        <w:spacing w:after="0" w:line="151"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We entered into four separate FPAs, three of which, associated with the obligation to issue 6,300,000 Shares, were entered into prior to the closing of the Mergers. Upon signing the FPAs, we incurred an obligation to issue a fixed number of shares to the FPA Sellers contingent upon the closing of the Mergers in addition to the terms and conditions associated with the settlement of the FPAs.</w:t>
      </w:r>
    </w:p>
    <w:p>
      <w:pPr>
        <w:spacing w:after="0" w:line="142"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On December 18, 2023, we and the FPA Sellers entered into separate amendments to the FPA (the “</w:t>
      </w:r>
      <w:r>
        <w:rPr>
          <w:rFonts w:ascii="Times New Roman" w:cs="Times New Roman" w:eastAsia="Times New Roman" w:hAnsi="Times New Roman"/>
          <w:sz w:val="15"/>
          <w:szCs w:val="15"/>
          <w:b w:val="1"/>
          <w:bCs w:val="1"/>
          <w:color w:val="auto"/>
        </w:rPr>
        <w:t>Amendments</w:t>
      </w:r>
      <w:r>
        <w:rPr>
          <w:rFonts w:ascii="Times New Roman" w:cs="Times New Roman" w:eastAsia="Times New Roman" w:hAnsi="Times New Roman"/>
          <w:sz w:val="15"/>
          <w:szCs w:val="15"/>
          <w:color w:val="auto"/>
        </w:rPr>
        <w:t>”). The Amendments lowered the reset floor price of each FPA from $5.00 to $3.00 and allow us to raise up to $10.0 million of equity from existing stockholders without triggering certain anti-dilution provisions contained in the FPA;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47"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May 7 and 8, 2024, respectively, we entered into and executed separate amendments to the FPAs (collectively the “</w:t>
      </w:r>
      <w:r>
        <w:rPr>
          <w:rFonts w:ascii="Times New Roman" w:cs="Times New Roman" w:eastAsia="Times New Roman" w:hAnsi="Times New Roman"/>
          <w:sz w:val="15"/>
          <w:szCs w:val="15"/>
          <w:b w:val="1"/>
          <w:bCs w:val="1"/>
          <w:color w:val="auto"/>
        </w:rPr>
        <w:t>Second Amendments</w:t>
      </w:r>
      <w:r>
        <w:rPr>
          <w:rFonts w:ascii="Times New Roman" w:cs="Times New Roman" w:eastAsia="Times New Roman" w:hAnsi="Times New Roman"/>
          <w:sz w:val="15"/>
          <w:szCs w:val="15"/>
          <w:color w:val="auto"/>
        </w:rPr>
        <w:t>”) with Sandia (the “</w:t>
      </w:r>
      <w:r>
        <w:rPr>
          <w:rFonts w:ascii="Times New Roman" w:cs="Times New Roman" w:eastAsia="Times New Roman" w:hAnsi="Times New Roman"/>
          <w:sz w:val="15"/>
          <w:szCs w:val="15"/>
          <w:b w:val="1"/>
          <w:bCs w:val="1"/>
          <w:color w:val="auto"/>
        </w:rPr>
        <w:t>Sandia Second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Amendment</w:t>
      </w:r>
      <w:r>
        <w:rPr>
          <w:rFonts w:ascii="Times New Roman" w:cs="Times New Roman" w:eastAsia="Times New Roman" w:hAnsi="Times New Roman"/>
          <w:sz w:val="15"/>
          <w:szCs w:val="15"/>
          <w:color w:val="auto"/>
        </w:rPr>
        <w:t>”) and Polar (the “</w:t>
      </w:r>
      <w:r>
        <w:rPr>
          <w:rFonts w:ascii="Times New Roman" w:cs="Times New Roman" w:eastAsia="Times New Roman" w:hAnsi="Times New Roman"/>
          <w:sz w:val="15"/>
          <w:szCs w:val="15"/>
          <w:b w:val="1"/>
          <w:bCs w:val="1"/>
          <w:color w:val="auto"/>
        </w:rPr>
        <w:t>Polar Second Amendment</w:t>
      </w:r>
      <w:r>
        <w:rPr>
          <w:rFonts w:ascii="Times New Roman" w:cs="Times New Roman" w:eastAsia="Times New Roman" w:hAnsi="Times New Roman"/>
          <w:sz w:val="15"/>
          <w:szCs w:val="15"/>
          <w:color w:val="auto"/>
        </w:rPr>
        <w:t>”). The Second Amendments lowered the reset price of each FPA from $3.00 to $1.00 per share and amended the VWAP</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Trigger Event provision to read as “After December 31, 2024, an event that occurs if the VWAP Price, for any 20 trading days during a 30 consecutive trading day-period, is below $1.00 per Share”. The Sandia Second Amendment is not effective until we execute similar amendments with both Polar and Meteora.</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71" w:name="page72"/>
    <w:bookmarkEnd w:id="71"/>
    <w:p>
      <w:pPr>
        <w:jc w:val="both"/>
        <w:ind w:firstLine="273"/>
        <w:spacing w:after="0" w:line="273" w:lineRule="auto"/>
        <w:rPr>
          <w:sz w:val="20"/>
          <w:szCs w:val="20"/>
          <w:color w:val="auto"/>
        </w:rPr>
      </w:pPr>
      <w:r>
        <w:rPr>
          <w:rFonts w:ascii="Times New Roman" w:cs="Times New Roman" w:eastAsia="Times New Roman" w:hAnsi="Times New Roman"/>
          <w:sz w:val="15"/>
          <w:szCs w:val="15"/>
          <w:color w:val="auto"/>
        </w:rPr>
        <w:t>On June 14, 2024, we entered into and executed an amendment to the FPA with Sandia (the “</w:t>
      </w:r>
      <w:r>
        <w:rPr>
          <w:rFonts w:ascii="Times New Roman" w:cs="Times New Roman" w:eastAsia="Times New Roman" w:hAnsi="Times New Roman"/>
          <w:sz w:val="15"/>
          <w:szCs w:val="15"/>
          <w:b w:val="1"/>
          <w:bCs w:val="1"/>
          <w:color w:val="auto"/>
        </w:rPr>
        <w:t>Sandia Third Amendment</w:t>
      </w:r>
      <w:r>
        <w:rPr>
          <w:rFonts w:ascii="Times New Roman" w:cs="Times New Roman" w:eastAsia="Times New Roman" w:hAnsi="Times New Roman"/>
          <w:sz w:val="15"/>
          <w:szCs w:val="15"/>
          <w:color w:val="auto"/>
        </w:rPr>
        <w: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w:t>
      </w:r>
    </w:p>
    <w:p>
      <w:pPr>
        <w:spacing w:after="0" w:line="144"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On July 17, 2024, we entered into an amendment to the FPA with Polar pursuant to which we and Polar agreed that Section 2 (Most Favored Nation) of the FPA is applicable to all 2,450,000 shares subject to the FPA.</w:t>
      </w:r>
    </w:p>
    <w:p>
      <w:pPr>
        <w:spacing w:after="0" w:line="134"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On July 15, 2025, we and Meteora entered into an amendment to the FPA between Meteora and us, on July 16, 2025, we and Sandia entered into an amendment to the FPA between Sandia and us, and on August 1, 2025, we and Polar entered in an amendment to the FPA between Polar and us (collectively, the “</w:t>
      </w:r>
      <w:r>
        <w:rPr>
          <w:rFonts w:ascii="Times New Roman" w:cs="Times New Roman" w:eastAsia="Times New Roman" w:hAnsi="Times New Roman"/>
          <w:sz w:val="15"/>
          <w:szCs w:val="15"/>
          <w:b w:val="1"/>
          <w:bCs w:val="1"/>
          <w:color w:val="auto"/>
        </w:rPr>
        <w:t>July 2025 FPA Amendments</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The July 2025 FPA Amendments extend the valuation date applicable to the Forward Purchase Agreements (the “</w:t>
      </w:r>
      <w:r>
        <w:rPr>
          <w:rFonts w:ascii="Times New Roman" w:cs="Times New Roman" w:eastAsia="Times New Roman" w:hAnsi="Times New Roman"/>
          <w:sz w:val="15"/>
          <w:szCs w:val="15"/>
          <w:b w:val="1"/>
          <w:bCs w:val="1"/>
          <w:color w:val="auto"/>
        </w:rPr>
        <w:t>Valuation Date</w:t>
      </w:r>
      <w:r>
        <w:rPr>
          <w:rFonts w:ascii="Times New Roman" w:cs="Times New Roman" w:eastAsia="Times New Roman" w:hAnsi="Times New Roman"/>
          <w:sz w:val="15"/>
          <w:szCs w:val="15"/>
          <w:color w:val="auto"/>
        </w:rPr>
        <w:t>”) to the earliest to occur of (a) 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w:t>
      </w:r>
    </w:p>
    <w:p>
      <w:pPr>
        <w:spacing w:after="0" w:line="151"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July 2025 FPA Amendments further amend the definition of “Settlement Amount Adjustment” to provide that if the expected Settlement Amount (as defined in the July 2025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our option, in cash or shares of the our common stock.</w:t>
      </w:r>
    </w:p>
    <w:p>
      <w:pPr>
        <w:spacing w:after="0" w:line="151"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The July 2025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July 2025 FPA Amendments further provide that the Settlement Amount will be used solely as a calculation mechanism to determine any liability we may owe to the applicable seller via the Settlement Amount Adjustment, and notwithstanding anything to the contrary, the applicable seller shall not be required to remit the Settlement Amount to us or return any portion of the Prepayment Amount.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Simple agreement for future equity (“SAFE”) agreements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First SAFE</w:t>
      </w:r>
    </w:p>
    <w:p>
      <w:pPr>
        <w:spacing w:after="0" w:line="192"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On January 31, 2024, we entered into a SAFE (“</w:t>
      </w:r>
      <w:r>
        <w:rPr>
          <w:rFonts w:ascii="Times New Roman" w:cs="Times New Roman" w:eastAsia="Times New Roman" w:hAnsi="Times New Roman"/>
          <w:sz w:val="15"/>
          <w:szCs w:val="15"/>
          <w:b w:val="1"/>
          <w:bCs w:val="1"/>
          <w:color w:val="auto"/>
        </w:rPr>
        <w:t>First SAFE</w:t>
      </w:r>
      <w:r>
        <w:rPr>
          <w:rFonts w:ascii="Times New Roman" w:cs="Times New Roman" w:eastAsia="Times New Roman" w:hAnsi="Times New Roman"/>
          <w:sz w:val="15"/>
          <w:szCs w:val="15"/>
          <w:color w:val="auto"/>
        </w:rPr>
        <w:t>”) with the Rodgers Massey Freedom and Free Markets Charitable Trust (the “</w:t>
      </w:r>
      <w:r>
        <w:rPr>
          <w:rFonts w:ascii="Times New Roman" w:cs="Times New Roman" w:eastAsia="Times New Roman" w:hAnsi="Times New Roman"/>
          <w:sz w:val="15"/>
          <w:szCs w:val="15"/>
          <w:b w:val="1"/>
          <w:bCs w:val="1"/>
          <w:color w:val="auto"/>
        </w:rPr>
        <w:t>Purchaser</w:t>
      </w:r>
      <w:r>
        <w:rPr>
          <w:rFonts w:ascii="Times New Roman" w:cs="Times New Roman" w:eastAsia="Times New Roman" w:hAnsi="Times New Roman"/>
          <w:sz w:val="15"/>
          <w:szCs w:val="15"/>
          <w:color w:val="auto"/>
        </w:rPr>
        <w:t>”) in connection with the Purchaser investing $1.5 million in the Company. The First SAFE is convertible into shares of our common stock, par value $0.0001 per share, upon the initial closing of a bona fide transaction or series of transactions with the principal purpose of raising capital, pursuant to which we issue and sell common stock at a fixed valuation (an “Equity Financing”), at a per share conversion price which is equal to the lower of (i) (a) $53.54 million divided by (b) our capitalization immediately prior to such Equity Financing (such conversion price, the “SAFE Price”), and (ii) 80% of the price per share of our common stock sold in an Equity Financing transaction. If we consummate a change of control prior to the termination of the First SAFE, the Purchaser will be automatically entitled to receive a portion of the proceeds of such liquidity event equal to the greater of (i) $1.5 million and (ii) the amount payable on the number of shares of our common stock equal to (a) $1.5 million divided by (b)(1) $53.54 million divided by (2) our capitalization immediately prior to such liquidity event (the “</w:t>
      </w:r>
      <w:r>
        <w:rPr>
          <w:rFonts w:ascii="Times New Roman" w:cs="Times New Roman" w:eastAsia="Times New Roman" w:hAnsi="Times New Roman"/>
          <w:sz w:val="15"/>
          <w:szCs w:val="15"/>
          <w:b w:val="1"/>
          <w:bCs w:val="1"/>
          <w:color w:val="auto"/>
        </w:rPr>
        <w:t>Liquidity Price</w:t>
      </w:r>
      <w:r>
        <w:rPr>
          <w:rFonts w:ascii="Times New Roman" w:cs="Times New Roman" w:eastAsia="Times New Roman" w:hAnsi="Times New Roman"/>
          <w:sz w:val="15"/>
          <w:szCs w:val="15"/>
          <w:color w:val="auto"/>
        </w:rPr>
        <w:t>”), subject to certain adjustments as set forth in the First SAFE. The First SAFE was convertible into a maximum of 1,431,297 shares of our common stock, assuming a per share conversion price of $1.05, which is the product of (i) $1.31, the closing price of our common stock on January 31, 2024, multiplied by (ii) 80%.</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72" w:name="page73"/>
    <w:bookmarkEnd w:id="72"/>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April 21, 2024, we entered into an amendment (“</w:t>
      </w:r>
      <w:r>
        <w:rPr>
          <w:rFonts w:ascii="Times New Roman" w:cs="Times New Roman" w:eastAsia="Times New Roman" w:hAnsi="Times New Roman"/>
          <w:sz w:val="15"/>
          <w:szCs w:val="15"/>
          <w:b w:val="1"/>
          <w:bCs w:val="1"/>
          <w:color w:val="auto"/>
        </w:rPr>
        <w:t>First SAFE Amendment</w:t>
      </w:r>
      <w:r>
        <w:rPr>
          <w:rFonts w:ascii="Times New Roman" w:cs="Times New Roman" w:eastAsia="Times New Roman" w:hAnsi="Times New Roman"/>
          <w:sz w:val="15"/>
          <w:szCs w:val="15"/>
          <w:color w:val="auto"/>
        </w:rPr>
        <w:t>”) that converted the First SAFE investment of $1.5 million into 4,166,667 shares of our common stock based on a conversion price of $0.36 per share, defined in the First SAFE Amendment as the product of (i) $0.45, the closing price of our common stock on April 19, 2024, multiplied by (ii) 80%. Upon conversion, we recorded a debit to SAFE Agreement of $1.5 million, a credit to Additional paid-in-capital of $1.9 million and recognized expense of $0.4 million within Other expense, net in our results of operations for that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Second SAFE</w:t>
      </w:r>
    </w:p>
    <w:p>
      <w:pPr>
        <w:spacing w:after="0" w:line="192"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On February 15, 2024, we entered into a second SAFE (the “</w:t>
      </w:r>
      <w:r>
        <w:rPr>
          <w:rFonts w:ascii="Times New Roman" w:cs="Times New Roman" w:eastAsia="Times New Roman" w:hAnsi="Times New Roman"/>
          <w:sz w:val="15"/>
          <w:szCs w:val="15"/>
          <w:b w:val="1"/>
          <w:bCs w:val="1"/>
          <w:color w:val="auto"/>
        </w:rPr>
        <w:t>Second SAFE</w:t>
      </w:r>
      <w:r>
        <w:rPr>
          <w:rFonts w:ascii="Times New Roman" w:cs="Times New Roman" w:eastAsia="Times New Roman" w:hAnsi="Times New Roman"/>
          <w:sz w:val="15"/>
          <w:szCs w:val="15"/>
          <w:color w:val="auto"/>
        </w:rPr>
        <w:t>”) with the Purchaser, in connection with the Purchaser investing $3.5 million in the Company. The Second SAFE did not accrue interest. The Second SAFE was initially convertible into shares of our common stock upon the initial closing of an Equity Financing transaction at a per share conversion price which was equal to the lower of (i) the Second SAFE Price, and (ii) 80% of the price per share of our common stock sold in such Equity Financing. If we consummated a change of control prior to the termination of the Second SAFE, the Purchaser would have been automatically entitled to receive an amount equal to the greater of (i) $3.5 million and (ii) the amount payable on the number of shares of our common stock equal to $3.5 million divided by the Liquidity Price, subject to certain adjustments as set forth in the Second SAFE. The Second SAFE was convertible into a maximum of 3,707,627 shares of our common stock, assuming a per share conversion price of $0.94, which is the product of (i) $1.18, the closing per share price of our common stock on February 15, 2024, (ii) 80%.</w:t>
      </w:r>
    </w:p>
    <w:p>
      <w:pPr>
        <w:spacing w:after="0" w:line="154"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April 21, 2024, we entered into an amendment (“</w:t>
      </w:r>
      <w:r>
        <w:rPr>
          <w:rFonts w:ascii="Times New Roman" w:cs="Times New Roman" w:eastAsia="Times New Roman" w:hAnsi="Times New Roman"/>
          <w:sz w:val="15"/>
          <w:szCs w:val="15"/>
          <w:b w:val="1"/>
          <w:bCs w:val="1"/>
          <w:color w:val="auto"/>
        </w:rPr>
        <w:t>Second SAFE Amendment</w:t>
      </w:r>
      <w:r>
        <w:rPr>
          <w:rFonts w:ascii="Times New Roman" w:cs="Times New Roman" w:eastAsia="Times New Roman" w:hAnsi="Times New Roman"/>
          <w:sz w:val="15"/>
          <w:szCs w:val="15"/>
          <w:color w:val="auto"/>
        </w:rPr>
        <w:t>”) that converted the Second SAFE investment of $3.5 million into 9,722,222 shares of our common stock based on a conversion price of $0.36 per share, defined in the Second SAFE Amendment as the product of (i) $0.45, the closing price of our common stock on April 19, 2024, multiplied by (ii) 80%. Upon conversion, we recorded a debit to SAFE Agreement of $3.5 million, a credit to Additional paid-in-capital of $4.4 million and recognized expense of $0.9 million within Other expense, net in our results of operations for that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Third SAFE</w:t>
      </w:r>
    </w:p>
    <w:p>
      <w:pPr>
        <w:spacing w:after="0" w:line="192"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On May 13, 2024, we entered into a third SAFE (the “</w:t>
      </w:r>
      <w:r>
        <w:rPr>
          <w:rFonts w:ascii="Times New Roman" w:cs="Times New Roman" w:eastAsia="Times New Roman" w:hAnsi="Times New Roman"/>
          <w:sz w:val="15"/>
          <w:szCs w:val="15"/>
          <w:b w:val="1"/>
          <w:bCs w:val="1"/>
          <w:color w:val="auto"/>
        </w:rPr>
        <w:t>Third SAFE</w:t>
      </w:r>
      <w:r>
        <w:rPr>
          <w:rFonts w:ascii="Times New Roman" w:cs="Times New Roman" w:eastAsia="Times New Roman" w:hAnsi="Times New Roman"/>
          <w:sz w:val="15"/>
          <w:szCs w:val="15"/>
          <w:color w:val="auto"/>
        </w:rPr>
        <w:t>”) with the Purchaser, in connection with the Purchaser investing $1.0 million in the Company. The Third SAFE is convertible into shares of our common stock upon the initial closing of a bona fide transaction or series of transactions with the principal purpose of raising capital, pursuant to which the Company issues and sells shares of its common stock in an Equity Financing transaction, at a per share conversion price which is equal to 50% of the price per share of our common stock sold in such Equity Financing transaction. If we consummate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our common stock, assuming a per share conversion price of $0.275, which is the product of (i) $0.55, the closing price of our common stock on May 13, 2024, multiplied by (ii) 50%. Given that the SAFE could be settled in cash or a variable number of shares, we have accounted for the instrument as a liability at its fair value.</w:t>
      </w:r>
    </w:p>
    <w:p>
      <w:pPr>
        <w:spacing w:after="0" w:line="158"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As September 28, 2025, we estimated the fair value of the Third SAFE at $0.5 million based upon the assumptions disclosed in Note 4 - Fair Value Measurements to our unaudited condensed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Sunder Seller Note</w:t>
      </w:r>
    </w:p>
    <w:p>
      <w:pPr>
        <w:spacing w:after="0" w:line="192"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On September 24, 2025, SunPower issued a promissory note in the principal amount of $20,000,000 (the “</w:t>
      </w:r>
      <w:r>
        <w:rPr>
          <w:rFonts w:ascii="Times New Roman" w:cs="Times New Roman" w:eastAsia="Times New Roman" w:hAnsi="Times New Roman"/>
          <w:sz w:val="15"/>
          <w:szCs w:val="15"/>
          <w:b w:val="1"/>
          <w:bCs w:val="1"/>
          <w:color w:val="auto"/>
        </w:rPr>
        <w:t>Seller Note</w:t>
      </w:r>
      <w:r>
        <w:rPr>
          <w:rFonts w:ascii="Times New Roman" w:cs="Times New Roman" w:eastAsia="Times New Roman" w:hAnsi="Times New Roman"/>
          <w:sz w:val="15"/>
          <w:szCs w:val="15"/>
          <w:color w:val="auto"/>
        </w:rPr>
        <w:t>”) to the selling equity holder in the Sunder Acquisition. The Seller Note bears interest at 7.0% per annum, compounded quarterly, and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The Seller Note also provides that the Company will use its reasonable best efforts to solicit the consent and waiver from the requisite holders of the 7.00% Notes (as defined below) required to grant a security interest and lien in the Company’s assets to secure the Company’s obligations under the Seller Note. If such consent and waiver is obtained, the Company and the Member with negotiate, execute and deliver a separate security agreement with respect to such security interest and lien.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b w:val="1"/>
          <w:bCs w:val="1"/>
          <w:i w:val="1"/>
          <w:iCs w:val="1"/>
          <w:color w:val="auto"/>
        </w:rPr>
        <w:t>The White Lion Facility</w:t>
      </w:r>
    </w:p>
    <w:p>
      <w:pPr>
        <w:spacing w:after="0" w:line="192"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On July 16, 2024, we entered into a common stock purchase agreement with White Lion Capital, LLC (“</w:t>
      </w:r>
      <w:r>
        <w:rPr>
          <w:rFonts w:ascii="Times New Roman" w:cs="Times New Roman" w:eastAsia="Times New Roman" w:hAnsi="Times New Roman"/>
          <w:sz w:val="15"/>
          <w:szCs w:val="15"/>
          <w:b w:val="1"/>
          <w:bCs w:val="1"/>
          <w:color w:val="auto"/>
        </w:rPr>
        <w:t>White Lion</w:t>
      </w:r>
      <w:r>
        <w:rPr>
          <w:rFonts w:ascii="Times New Roman" w:cs="Times New Roman" w:eastAsia="Times New Roman" w:hAnsi="Times New Roman"/>
          <w:sz w:val="15"/>
          <w:szCs w:val="15"/>
          <w:color w:val="auto"/>
        </w:rPr>
        <w:t>”), as amended on July 24, 2024 (“</w:t>
      </w:r>
      <w:r>
        <w:rPr>
          <w:rFonts w:ascii="Times New Roman" w:cs="Times New Roman" w:eastAsia="Times New Roman" w:hAnsi="Times New Roman"/>
          <w:sz w:val="15"/>
          <w:szCs w:val="15"/>
          <w:b w:val="1"/>
          <w:bCs w:val="1"/>
          <w:color w:val="auto"/>
        </w:rPr>
        <w:t>White Lion SPA</w:t>
      </w:r>
      <w:r>
        <w:rPr>
          <w:rFonts w:ascii="Times New Roman" w:cs="Times New Roman" w:eastAsia="Times New Roman" w:hAnsi="Times New Roman"/>
          <w:sz w:val="15"/>
          <w:szCs w:val="15"/>
          <w:color w:val="auto"/>
        </w:rPr>
        <w:t>”),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spacing w:after="0" w:line="147"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On August 14, 2024, the Company entered into Amendment No. 2 to the White Lion SPA (collectively with the White Lion SPA “</w:t>
      </w:r>
      <w:r>
        <w:rPr>
          <w:rFonts w:ascii="Times New Roman" w:cs="Times New Roman" w:eastAsia="Times New Roman" w:hAnsi="Times New Roman"/>
          <w:sz w:val="15"/>
          <w:szCs w:val="15"/>
          <w:b w:val="1"/>
          <w:bCs w:val="1"/>
          <w:color w:val="auto"/>
        </w:rPr>
        <w:t>White Lion Amended SPA</w:t>
      </w:r>
      <w:r>
        <w:rPr>
          <w:rFonts w:ascii="Times New Roman" w:cs="Times New Roman" w:eastAsia="Times New Roman" w:hAnsi="Times New Roman"/>
          <w:sz w:val="15"/>
          <w:szCs w:val="15"/>
          <w:color w:val="auto"/>
        </w:rPr>
        <w:t>”).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spacing w:after="0" w:line="158"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Under the White Lion Amended SPA, the Company issued 1.0 million and 2.9 million shares of the Company’s common stock for proceeds of $1.7 million and $6.7 million in the thirty-nine week period ended September 28, 2025 and fiscal year ended December 29, 2024, respectively.</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On January 11, 2026, the Company and White Lion entered into Amendment No. 3 (the “</w:t>
      </w:r>
      <w:r>
        <w:rPr>
          <w:rFonts w:ascii="Times New Roman" w:cs="Times New Roman" w:eastAsia="Times New Roman" w:hAnsi="Times New Roman"/>
          <w:sz w:val="15"/>
          <w:szCs w:val="15"/>
          <w:b w:val="1"/>
          <w:bCs w:val="1"/>
          <w:color w:val="auto"/>
        </w:rPr>
        <w:t>White Lion Third Amendment</w:t>
      </w:r>
      <w:r>
        <w:rPr>
          <w:rFonts w:ascii="Times New Roman" w:cs="Times New Roman" w:eastAsia="Times New Roman" w:hAnsi="Times New Roman"/>
          <w:sz w:val="15"/>
          <w:szCs w:val="15"/>
          <w:color w:val="auto"/>
        </w:rPr>
        <w:t>”) to the White Lion Amended SPA.</w:t>
      </w:r>
    </w:p>
    <w:p>
      <w:pPr>
        <w:spacing w:after="0" w:line="192"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The White Lion Third Amendment extends the commitment period under the Purchase Agreement (the “</w:t>
      </w:r>
      <w:r>
        <w:rPr>
          <w:rFonts w:ascii="Times New Roman" w:cs="Times New Roman" w:eastAsia="Times New Roman" w:hAnsi="Times New Roman"/>
          <w:sz w:val="15"/>
          <w:szCs w:val="15"/>
          <w:b w:val="1"/>
          <w:bCs w:val="1"/>
          <w:color w:val="auto"/>
        </w:rPr>
        <w:t>Commitment Period</w:t>
      </w:r>
      <w:r>
        <w:rPr>
          <w:rFonts w:ascii="Times New Roman" w:cs="Times New Roman" w:eastAsia="Times New Roman" w:hAnsi="Times New Roman"/>
          <w:sz w:val="15"/>
          <w:szCs w:val="15"/>
          <w:color w:val="auto"/>
        </w:rPr>
        <w:t>”) to the earlier of December 31, 2027 and the date on which White Lion has purchased an aggregate number of shares of the Company’s common stock equal to the White Lion Commitment Amount (as defined below). Further, the Amendment, subject to stockholder approval, from $30,000,000 to up to $55,000,000, increases the commitment amount under the Purchase Agreement, and the Company may elect to sell up to a total of $55,000,000 of shares of its common stock (the “</w:t>
      </w:r>
      <w:r>
        <w:rPr>
          <w:rFonts w:ascii="Times New Roman" w:cs="Times New Roman" w:eastAsia="Times New Roman" w:hAnsi="Times New Roman"/>
          <w:sz w:val="15"/>
          <w:szCs w:val="15"/>
          <w:b w:val="1"/>
          <w:bCs w:val="1"/>
          <w:color w:val="auto"/>
        </w:rPr>
        <w:t>White Lion Commitment Amount</w:t>
      </w:r>
      <w:r>
        <w:rPr>
          <w:rFonts w:ascii="Times New Roman" w:cs="Times New Roman" w:eastAsia="Times New Roman" w:hAnsi="Times New Roman"/>
          <w:sz w:val="15"/>
          <w:szCs w:val="15"/>
          <w:color w:val="auto"/>
        </w:rPr>
        <w:t>”) to White Lion pursuant to the White Lion Amended SPA, from time to time in the Company’s sole discretion, during the Commitment Period. As a result of our total sales of common stock to White Lion as of January 12, 2026, we may receive up to an additional $48,521,163 in gross process under the White Lion Purchase Agreement (assuming the shares to be issued are sold at a price of $1.00 per share) if our stockholders authorize the increase in the White Lion Commitment Amount to $55,000,000.</w:t>
      </w:r>
    </w:p>
    <w:p>
      <w:pPr>
        <w:spacing w:after="0" w:line="158"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Lastly, the Amendment adds an option for the Company to submit three hour rapid purchase notices to White Lion that, if accepted by White Lion and otherwise delivered in accordance with the White Lion Amended SPA, would enable the Company to sell shares of its common stock to White Lion based on the lowest traded price of the Company’s common stock during the three-hour valuation period following White Lion’s written acceptance of a three hour purchase notice.</w:t>
      </w:r>
    </w:p>
    <w:p>
      <w:pPr>
        <w:spacing w:after="0" w:line="142"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b w:val="1"/>
          <w:bCs w:val="1"/>
          <w:color w:val="auto"/>
        </w:rPr>
        <w:t>The Yorkville Standby Equity Purchase Agreement and Convertible Promissory Notes</w:t>
      </w:r>
      <w:r>
        <w:rPr>
          <w:rFonts w:ascii="Times New Roman" w:cs="Times New Roman" w:eastAsia="Times New Roman" w:hAnsi="Times New Roman"/>
          <w:sz w:val="15"/>
          <w:szCs w:val="15"/>
          <w:color w:val="auto"/>
        </w:rPr>
        <w:t>On January 27, 2026 (the “</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we entered into a Standby Equity Purchase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(the “</w:t>
      </w:r>
      <w:r>
        <w:rPr>
          <w:rFonts w:ascii="Times New Roman" w:cs="Times New Roman" w:eastAsia="Times New Roman" w:hAnsi="Times New Roman"/>
          <w:sz w:val="15"/>
          <w:szCs w:val="15"/>
          <w:b w:val="1"/>
          <w:bCs w:val="1"/>
          <w:color w:val="auto"/>
        </w:rPr>
        <w:t>Purchase Agreement</w:t>
      </w:r>
      <w:r>
        <w:rPr>
          <w:rFonts w:ascii="Times New Roman" w:cs="Times New Roman" w:eastAsia="Times New Roman" w:hAnsi="Times New Roman"/>
          <w:sz w:val="15"/>
          <w:szCs w:val="15"/>
          <w:color w:val="auto"/>
        </w:rPr>
        <w:t>”), with YA II PN, LTD., a Cayman Islands exempt limited company (“</w:t>
      </w:r>
      <w:r>
        <w:rPr>
          <w:rFonts w:ascii="Times New Roman" w:cs="Times New Roman" w:eastAsia="Times New Roman" w:hAnsi="Times New Roman"/>
          <w:sz w:val="15"/>
          <w:szCs w:val="15"/>
          <w:b w:val="1"/>
          <w:bCs w:val="1"/>
          <w:color w:val="auto"/>
        </w:rPr>
        <w:t>Yorkville</w:t>
      </w:r>
      <w:r>
        <w:rPr>
          <w:rFonts w:ascii="Times New Roman" w:cs="Times New Roman" w:eastAsia="Times New Roman" w:hAnsi="Times New Roman"/>
          <w:sz w:val="15"/>
          <w:szCs w:val="15"/>
          <w:color w:val="auto"/>
        </w:rPr>
        <w:t>”). Pursuant to the Purchase Agreement, Yorkville will advance us, subject to the satisfaction of certain conditions as set forth in the Purchase Agreement, up to $20.0 million principal amount in two tranches (each, a “</w:t>
      </w:r>
      <w:r>
        <w:rPr>
          <w:rFonts w:ascii="Times New Roman" w:cs="Times New Roman" w:eastAsia="Times New Roman" w:hAnsi="Times New Roman"/>
          <w:sz w:val="15"/>
          <w:szCs w:val="15"/>
          <w:b w:val="1"/>
          <w:bCs w:val="1"/>
          <w:color w:val="auto"/>
        </w:rPr>
        <w:t>Pre-Paid Advance</w:t>
      </w:r>
      <w:r>
        <w:rPr>
          <w:rFonts w:ascii="Times New Roman" w:cs="Times New Roman" w:eastAsia="Times New Roman" w:hAnsi="Times New Roman"/>
          <w:sz w:val="15"/>
          <w:szCs w:val="15"/>
          <w:color w:val="auto"/>
        </w:rPr>
        <w:t>”), which will be evidenced by convertible promissory notes (the “</w:t>
      </w:r>
      <w:r>
        <w:rPr>
          <w:rFonts w:ascii="Times New Roman" w:cs="Times New Roman" w:eastAsia="Times New Roman" w:hAnsi="Times New Roman"/>
          <w:sz w:val="15"/>
          <w:szCs w:val="15"/>
          <w:b w:val="1"/>
          <w:bCs w:val="1"/>
          <w:color w:val="auto"/>
        </w:rPr>
        <w:t>Promissory Notes</w:t>
      </w:r>
      <w:r>
        <w:rPr>
          <w:rFonts w:ascii="Times New Roman" w:cs="Times New Roman" w:eastAsia="Times New Roman" w:hAnsi="Times New Roman"/>
          <w:sz w:val="15"/>
          <w:szCs w:val="15"/>
          <w:color w:val="auto"/>
        </w:rPr>
        <w:t>”). The Promissory Notes will accrue interest on the outstanding principal balance at an annual rate equal to 0%, which will increase to an annual rate of 18% upon the occurrence of an event of default (as defined in the Promissory Notes) for so long as such event remains uncured. The Promissory Notes will mature on January 27, 2027, which may be extended at the option of Yorkville.</w:t>
      </w:r>
    </w:p>
    <w:p>
      <w:pPr>
        <w:spacing w:after="0" w:line="153"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Promissory Notes are convertible at a conversion price equal to the lower of (i) a price per share equal to 125% of the daily VWAP (as defined in the Promissory Notes) on the Trading Day (as defined in the Promissory Notes) prior to the issuance of each Promissory Note or (ii) 93% of the lowest daily VWAP (as defined in the Promissory Notes) during the five consecutive Trading Days immediately preceding the conversion date or other date of determination (but no lower than the “floor price” then in effect, subject to adjustment from time to time in accordance with the terms contained in the Promissory Notes).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74" w:name="page75"/>
    <w:bookmarkEnd w:id="74"/>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The first tranche of the Pre-Paid Advance was disbursed on January 27, 2026 in the principal amount of $1.9 million. A second tranche of the Pre-Paid Advance in a principal amount of up to $18.1 million may be advanced on the second trading day after this registration statement first becoming effective and, subject to the satisfaction of certain additional conditions pursuant to the Purchase Agreement.</w:t>
      </w:r>
    </w:p>
    <w:p>
      <w:pPr>
        <w:spacing w:after="0" w:line="146" w:lineRule="exact"/>
        <w:rPr>
          <w:sz w:val="20"/>
          <w:szCs w:val="20"/>
          <w:color w:val="auto"/>
        </w:rPr>
      </w:pPr>
    </w:p>
    <w:p>
      <w:pPr>
        <w:jc w:val="both"/>
        <w:ind w:left="9" w:firstLine="273"/>
        <w:spacing w:after="0" w:line="287" w:lineRule="auto"/>
        <w:rPr>
          <w:sz w:val="20"/>
          <w:szCs w:val="20"/>
          <w:color w:val="auto"/>
        </w:rPr>
      </w:pPr>
      <w:r>
        <w:rPr>
          <w:rFonts w:ascii="Times New Roman" w:cs="Times New Roman" w:eastAsia="Times New Roman" w:hAnsi="Times New Roman"/>
          <w:sz w:val="15"/>
          <w:szCs w:val="15"/>
          <w:color w:val="auto"/>
        </w:rPr>
        <w:t>At the closing of each tranche of the Pre-Paid Advance, Yorkville will advance to us the principal amount of the applicable tranche of the Pre-Paid Advance, less a discount in the amount equal to 10% of the principal amount of such tranche of the Pre-Paid Advance netted from the purchase price due and structured as an original issue discount.</w:t>
      </w:r>
    </w:p>
    <w:p>
      <w:pPr>
        <w:spacing w:after="0" w:line="134" w:lineRule="exact"/>
        <w:rPr>
          <w:sz w:val="20"/>
          <w:szCs w:val="20"/>
          <w:color w:val="auto"/>
        </w:rPr>
      </w:pPr>
    </w:p>
    <w:p>
      <w:pPr>
        <w:jc w:val="both"/>
        <w:ind w:left="9" w:firstLine="273"/>
        <w:spacing w:after="0" w:line="264" w:lineRule="auto"/>
        <w:rPr>
          <w:sz w:val="20"/>
          <w:szCs w:val="20"/>
          <w:color w:val="auto"/>
        </w:rPr>
      </w:pPr>
      <w:r>
        <w:rPr>
          <w:rFonts w:ascii="Times New Roman" w:cs="Times New Roman" w:eastAsia="Times New Roman" w:hAnsi="Times New Roman"/>
          <w:sz w:val="15"/>
          <w:szCs w:val="15"/>
          <w:color w:val="auto"/>
        </w:rPr>
        <w:t>Pursuant to the Purchase Agreement, and upon the satisfaction of the conditions to Yorkville’s purchase obligation set forth therein, including the registration of shares of common stock issuable pursuant to the Purchase Agreement for resale, we will have the right, from time to time, until January 27, 2029, to require Yorkville to purchase up to an additional $25.0 million of shares of common stock (the “</w:t>
      </w:r>
      <w:r>
        <w:rPr>
          <w:rFonts w:ascii="Times New Roman" w:cs="Times New Roman" w:eastAsia="Times New Roman" w:hAnsi="Times New Roman"/>
          <w:sz w:val="15"/>
          <w:szCs w:val="15"/>
          <w:b w:val="1"/>
          <w:bCs w:val="1"/>
          <w:color w:val="auto"/>
        </w:rPr>
        <w:t>Commitment Amount</w:t>
      </w:r>
      <w:r>
        <w:rPr>
          <w:rFonts w:ascii="Times New Roman" w:cs="Times New Roman" w:eastAsia="Times New Roman" w:hAnsi="Times New Roman"/>
          <w:sz w:val="15"/>
          <w:szCs w:val="15"/>
          <w:color w:val="auto"/>
        </w:rPr>
        <w:t>”), subject to certain limitations and conditions set forth in the Purchase Agreement, by delivering written notice to Yorkville (an “</w:t>
      </w:r>
      <w:r>
        <w:rPr>
          <w:rFonts w:ascii="Times New Roman" w:cs="Times New Roman" w:eastAsia="Times New Roman" w:hAnsi="Times New Roman"/>
          <w:sz w:val="15"/>
          <w:szCs w:val="15"/>
          <w:b w:val="1"/>
          <w:bCs w:val="1"/>
          <w:color w:val="auto"/>
        </w:rPr>
        <w:t>Advance Notice</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jc w:val="both"/>
        <w:ind w:left="9" w:firstLine="273"/>
        <w:spacing w:after="0" w:line="258" w:lineRule="auto"/>
        <w:rPr>
          <w:sz w:val="20"/>
          <w:szCs w:val="20"/>
          <w:color w:val="auto"/>
        </w:rPr>
      </w:pPr>
      <w:r>
        <w:rPr>
          <w:rFonts w:ascii="Times New Roman" w:cs="Times New Roman" w:eastAsia="Times New Roman" w:hAnsi="Times New Roman"/>
          <w:sz w:val="15"/>
          <w:szCs w:val="15"/>
          <w:color w:val="auto"/>
        </w:rPr>
        <w:t>If there is no balance outstanding under the Promissory Notes, we may, in our sole discretion, select the amount of the Advance that we desire to issue and sell to Yorkville in each Advance Notice, subject to a maximum limit equal to 100% of the average of the daily volume traded of our common stock on the Nasdaq for the five consecutive trading days immediately preceding the delivery of an Advance Notice (the “</w:t>
      </w:r>
      <w:r>
        <w:rPr>
          <w:rFonts w:ascii="Times New Roman" w:cs="Times New Roman" w:eastAsia="Times New Roman" w:hAnsi="Times New Roman"/>
          <w:sz w:val="15"/>
          <w:szCs w:val="15"/>
          <w:b w:val="1"/>
          <w:bCs w:val="1"/>
          <w:color w:val="auto"/>
        </w:rPr>
        <w:t>Maximum Advance Amount</w:t>
      </w:r>
      <w:r>
        <w:rPr>
          <w:rFonts w:ascii="Times New Roman" w:cs="Times New Roman" w:eastAsia="Times New Roman" w:hAnsi="Times New Roman"/>
          <w:sz w:val="15"/>
          <w:szCs w:val="15"/>
          <w:color w:val="auto"/>
        </w:rPr>
        <w:t>”). If there is a balance outstanding under the Promissory Notes, we may only submit an Advance Notice (i) if an Amortization Event (as defined in the Promissory Notes) has occurred and our obligation to make prepayments under the Promissory Notes has not ceased, and</w:t>
      </w:r>
    </w:p>
    <w:p>
      <w:pPr>
        <w:spacing w:after="0" w:line="2" w:lineRule="exact"/>
        <w:rPr>
          <w:sz w:val="20"/>
          <w:szCs w:val="20"/>
          <w:color w:val="auto"/>
        </w:rPr>
      </w:pPr>
    </w:p>
    <w:p>
      <w:pPr>
        <w:jc w:val="both"/>
        <w:ind w:left="9" w:hanging="9"/>
        <w:spacing w:after="0" w:line="256" w:lineRule="auto"/>
        <w:tabs>
          <w:tab w:leader="none" w:pos="232"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purchase price owed to us from such Advances (the “</w:t>
      </w:r>
      <w:r>
        <w:rPr>
          <w:rFonts w:ascii="Times New Roman" w:cs="Times New Roman" w:eastAsia="Times New Roman" w:hAnsi="Times New Roman"/>
          <w:sz w:val="15"/>
          <w:szCs w:val="15"/>
          <w:b w:val="1"/>
          <w:bCs w:val="1"/>
          <w:color w:val="auto"/>
        </w:rPr>
        <w:t>Advance Proceeds</w:t>
      </w:r>
      <w:r>
        <w:rPr>
          <w:rFonts w:ascii="Times New Roman" w:cs="Times New Roman" w:eastAsia="Times New Roman" w:hAnsi="Times New Roman"/>
          <w:sz w:val="15"/>
          <w:szCs w:val="15"/>
          <w:color w:val="auto"/>
        </w:rPr>
        <w:t>”) will be paid by Yorkville by offsetting the amount of the Advance Proceeds against an equal amount outstanding under the Promissory Notes. Pursuant to an Advance Notice, the shares will be issued and sold to Yorkville at a per share price equal to, at our election as specified in the relevant Advance Notice: (i) 96% of the Market Price for any period beginning at such time on such date that the Company of receives confirmation of receipt of such Advance Notice by Yorkville and ending on 4:00 p.m. Eastern Time on the date of the applicable Advance Notice, or (ii) 97% of the Market Price for the three consecutive trading days commencing on the day such Advance Notice is deemed delivered pursuant to the terms of the Purchase Agreement.</w:t>
      </w:r>
    </w:p>
    <w:p>
      <w:pPr>
        <w:spacing w:after="0" w:line="157"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We paid Yorkville a structuring and due diligence fee of $50,000 and issued to Yorkville 175,000 Commitment Shares as a commitment fee.</w:t>
      </w:r>
    </w:p>
    <w:p>
      <w:pPr>
        <w:spacing w:after="0" w:line="188" w:lineRule="exact"/>
        <w:rPr>
          <w:sz w:val="20"/>
          <w:szCs w:val="20"/>
          <w:color w:val="auto"/>
        </w:rPr>
      </w:pPr>
    </w:p>
    <w:p>
      <w:pPr>
        <w:jc w:val="both"/>
        <w:ind w:left="9" w:firstLine="273"/>
        <w:spacing w:after="0" w:line="261" w:lineRule="auto"/>
        <w:rPr>
          <w:sz w:val="20"/>
          <w:szCs w:val="20"/>
          <w:color w:val="auto"/>
        </w:rPr>
      </w:pPr>
      <w:r>
        <w:rPr>
          <w:rFonts w:ascii="Times New Roman" w:cs="Times New Roman" w:eastAsia="Times New Roman" w:hAnsi="Times New Roman"/>
          <w:sz w:val="15"/>
          <w:szCs w:val="15"/>
          <w:color w:val="auto"/>
        </w:rPr>
        <w:t>Under the applicable rules of The Nasdaq Stock Market LLC (the “</w:t>
      </w:r>
      <w:r>
        <w:rPr>
          <w:rFonts w:ascii="Times New Roman" w:cs="Times New Roman" w:eastAsia="Times New Roman" w:hAnsi="Times New Roman"/>
          <w:sz w:val="15"/>
          <w:szCs w:val="15"/>
          <w:b w:val="1"/>
          <w:bCs w:val="1"/>
          <w:color w:val="auto"/>
        </w:rPr>
        <w:t>Nasdaq Rules</w:t>
      </w:r>
      <w:r>
        <w:rPr>
          <w:rFonts w:ascii="Times New Roman" w:cs="Times New Roman" w:eastAsia="Times New Roman" w:hAnsi="Times New Roman"/>
          <w:sz w:val="15"/>
          <w:szCs w:val="15"/>
          <w:color w:val="auto"/>
        </w:rPr>
        <w:t>”), and pursuant to the Purchase Agreement, in no event may we issue or sell to Yorkville shares of our common stock in excess of 22,381,878 shares (the “</w:t>
      </w:r>
      <w:r>
        <w:rPr>
          <w:rFonts w:ascii="Times New Roman" w:cs="Times New Roman" w:eastAsia="Times New Roman" w:hAnsi="Times New Roman"/>
          <w:sz w:val="15"/>
          <w:szCs w:val="15"/>
          <w:b w:val="1"/>
          <w:bCs w:val="1"/>
          <w:color w:val="auto"/>
        </w:rPr>
        <w:t>Exchange Cap</w:t>
      </w:r>
      <w:r>
        <w:rPr>
          <w:rFonts w:ascii="Times New Roman" w:cs="Times New Roman" w:eastAsia="Times New Roman" w:hAnsi="Times New Roman"/>
          <w:sz w:val="15"/>
          <w:szCs w:val="15"/>
          <w:color w:val="auto"/>
        </w:rPr>
        <w:t>”), which is 19.99% of the shares of our common stock outstanding immediately prior to the Effective Date, unless we obtain stockholder approval to issue shares of common stock in excess of the Exchange Cap. In any event, we may not issue or sell any shares of common stock under the Purchase Agreement if such issuance or sale would breach any applicable Nasdaq Rules. Pursuant to the Purchase Agreement, we agreed to hold a special meeting of our stockholders within 90 days of the Effective Date in order to seek approval from our stockholders of (i) the issuance of shares of common stock under the Purchase Agreement in excess of the Exchange Cap, and (ii) the issuance of the maximum number of Conversion Shares issuable upon conversion of the Promissory Notes.</w:t>
      </w:r>
    </w:p>
    <w:p>
      <w:pPr>
        <w:spacing w:after="0" w:line="153"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In addition, we may not issue or sell any shares of common stock to Yorkville under the Purchase Agreement or under the Promissory Notes, which, when aggregated with all other shares of common stock then beneficially owned by Yorkville and its affiliates (as calculated pursuant to Section 13(d) of the Securities Exchange Act of 1934, as amended, and Rule 13d-3 promulgated thereunder), would result in Yorkville and its affiliates beneficially owning more than 4.99% of the then-outstanding shares of our common stock.</w:t>
      </w:r>
    </w:p>
    <w:p>
      <w:pPr>
        <w:spacing w:after="0" w:line="146" w:lineRule="exact"/>
        <w:rPr>
          <w:sz w:val="20"/>
          <w:szCs w:val="20"/>
          <w:color w:val="auto"/>
        </w:rPr>
      </w:pPr>
    </w:p>
    <w:p>
      <w:pPr>
        <w:jc w:val="both"/>
        <w:ind w:left="9" w:firstLine="273"/>
        <w:spacing w:after="0" w:line="260" w:lineRule="auto"/>
        <w:rPr>
          <w:sz w:val="20"/>
          <w:szCs w:val="20"/>
          <w:color w:val="auto"/>
        </w:rPr>
      </w:pPr>
      <w:r>
        <w:rPr>
          <w:rFonts w:ascii="Times New Roman" w:cs="Times New Roman" w:eastAsia="Times New Roman" w:hAnsi="Times New Roman"/>
          <w:sz w:val="15"/>
          <w:szCs w:val="15"/>
          <w:color w:val="auto"/>
        </w:rPr>
        <w:t>The Purchase Agreement will automatically terminate on the earlier to occur of (i) January 27, 2029 or (ii) the date on which Yorkville has purchased from us under the Purchase Agreement the Commitment Amount in full. We may terminate the Purchase Agreement at any time upon five trading days’ prior written notice to Yorkville, provided that there are no outstanding Advance Notices under which we are yet to issue common stock and provided that we have paid all amounts owed to Yorkville pursuant to the Purchase Agreement and the Promissory Notes. We and Yorkville may also agree to terminate the Purchase Agreement by mutual written consent. Neither we nor Yorkville may assign or transfer our respective rights and obligations under the Purchase Agreement, and no provision of the Purchase Agreement may be modified or waived by us or Yorkville other than by an instrument in writing signed by both parties.</w:t>
      </w:r>
    </w:p>
    <w:p>
      <w:pPr>
        <w:spacing w:after="0" w:line="153" w:lineRule="exact"/>
        <w:rPr>
          <w:sz w:val="20"/>
          <w:szCs w:val="20"/>
          <w:color w:val="auto"/>
        </w:rPr>
      </w:pPr>
    </w:p>
    <w:p>
      <w:pPr>
        <w:jc w:val="both"/>
        <w:ind w:left="9" w:firstLine="273"/>
        <w:spacing w:after="0" w:line="264" w:lineRule="auto"/>
        <w:rPr>
          <w:sz w:val="20"/>
          <w:szCs w:val="20"/>
          <w:color w:val="auto"/>
        </w:rPr>
      </w:pPr>
      <w:r>
        <w:rPr>
          <w:rFonts w:ascii="Times New Roman" w:cs="Times New Roman" w:eastAsia="Times New Roman" w:hAnsi="Times New Roman"/>
          <w:sz w:val="15"/>
          <w:szCs w:val="15"/>
          <w:color w:val="auto"/>
        </w:rPr>
        <w:t xml:space="preserve">The Purchase Agreement contains customary representations, warranties, conditions, and indemnification obligations of the parties. The representations, warranties, and covenants contained in the Purchase Agreement were made only for purposes of such agreement and as of specific dates, were solely for the benefit of the parties to such agreement and may be subject to limitations agreed upon by the parties. Copies of the agreements have been filed as exhibits to the registration statement that includes this prospectus and are available electronically on the SEC’s website at </w:t>
      </w:r>
      <w:r>
        <w:rPr>
          <w:rFonts w:ascii="Times New Roman" w:cs="Times New Roman" w:eastAsia="Times New Roman" w:hAnsi="Times New Roman"/>
          <w:sz w:val="15"/>
          <w:szCs w:val="15"/>
          <w:i w:val="1"/>
          <w:iCs w:val="1"/>
          <w:color w:val="auto"/>
        </w:rPr>
        <w:t>www.sec.gov.</w:t>
      </w:r>
    </w:p>
    <w:p>
      <w:pPr>
        <w:spacing w:after="0" w:line="151" w:lineRule="exact"/>
        <w:rPr>
          <w:sz w:val="20"/>
          <w:szCs w:val="20"/>
          <w:color w:val="auto"/>
        </w:rPr>
      </w:pPr>
    </w:p>
    <w:p>
      <w:pPr>
        <w:jc w:val="both"/>
        <w:ind w:left="9" w:firstLine="273"/>
        <w:spacing w:after="0" w:line="280" w:lineRule="auto"/>
        <w:rPr>
          <w:sz w:val="20"/>
          <w:szCs w:val="20"/>
          <w:color w:val="auto"/>
        </w:rPr>
      </w:pPr>
      <w:r>
        <w:rPr>
          <w:rFonts w:ascii="Times New Roman" w:cs="Times New Roman" w:eastAsia="Times New Roman" w:hAnsi="Times New Roman"/>
          <w:sz w:val="15"/>
          <w:szCs w:val="15"/>
          <w:color w:val="auto"/>
        </w:rPr>
        <w:t>In connection with the Purchase Agreement, we entered into a registration rights agreement with Yorkville pursuant to which we agreed to file a registration statement registering the resale of the common stock underlying the Promissory Notes, the Commitment Shares and, if applicable and in our discretion, additional Advances pursuant to the Purchase Agreement.</w:t>
      </w:r>
    </w:p>
    <w:p>
      <w:pPr>
        <w:spacing w:after="0" w:line="200" w:lineRule="exact"/>
        <w:rPr>
          <w:sz w:val="20"/>
          <w:szCs w:val="20"/>
          <w:color w:val="auto"/>
        </w:rPr>
      </w:pPr>
    </w:p>
    <w:p>
      <w:pPr>
        <w:spacing w:after="0" w:line="30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75" w:name="page76"/>
    <w:bookmarkEnd w:id="75"/>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Other than as stated above, we will control the timing and amount of any sales of common stock to Yorkville that we may elect, in our sole discretion, to effect from time to time during the term of the Purchase Agreement. Actual sales of shares of common stock to Yorkville under the Purchase Agreement will depend on a variety of factors to be determined by us from time to time, including, among other things, market conditions, the trading price of the common stock and determinations by us as to the appropriate sources of funding for our business and our operations.</w:t>
      </w:r>
    </w:p>
    <w:p>
      <w:pPr>
        <w:spacing w:after="0" w:line="151"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The net proceeds to us from sales that we elect to make to Yorkville under the Purchase Agreement, if any, will depend on the frequency and prices at which we sell shares of our common stock to Yorkville. We expect that any proceeds received by us from such sales to Yorkville will be used for general corporate purposes.</w:t>
      </w:r>
    </w:p>
    <w:p>
      <w:pPr>
        <w:spacing w:after="0" w:line="134"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So long as the outstanding balance owed under outstanding Promissory Notes is more than $2.0 million, we will not (a) repay any loans to any executives or employees of the company or make any payments in respect of any related party debt (other than regular interest payments on outstanding debt) or (b) enter into any agreement relating to variable rate transactions. Notwithstanding the foregoing, (i) prior to the effectiveness of the registration statement of which this prospectus forms a part, we may engage in variable rate transactions under the White Lion Purchase Agreement (as defined below) provided that the total gross proceeds of shares sold under the White Lion Purchase Agreement shall not exceed $4.0 million in any 30-day period, and (ii) following the effectiveness of the registration statement of which this prospectus forms a part, we may use the White Lion Purchase Agreement at any time if either (x) the outstanding balance owed under the Promissory Note(s) that are then outstanding is less than $2.0 million, or (y) an Amortization Event (as defined in the Purchase Agreement) has occurred and the obligation of the Company to make monthly prepayments under the Promissory Note has not ceased, and the aggregate proceeds received by the Company from such offer and sale of shares pursuant to the White Lion Purchase Agreement is used to pay the amounts outstanding under the Promissory Notes during the pendency of the Amortization Event.</w:t>
      </w:r>
    </w:p>
    <w:p>
      <w:pPr>
        <w:spacing w:after="0" w:line="158"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We agreed that, during such time as the outstanding balance owed under the Promissory Notes that are then outstanding exceeds $2.0 million, without the consent of Yorkville, we shall not incur additional indebtedness (or grant any liens) other than Permitted Indebtedness (as defined in the Purchase Agreement), including (i) indebtedness under outstanding Promissory Notes, (ii) indebtedness existing as of the date of the Purchase Agreement and disclosed to Yorkville, (iii) certain subordinated indebtedness, (iv) indebtedness incurred pursuant to a receivables financing, factoring or accounts receivable securitization facility, subject to the additional conditions and requirements set forth in the Purchase Agreement, (v) indebtedness incurred after the date of the Purchase Agreement in an aggregate amount that does not exceed $1.0 million at any one time, and (vi) subject to the further requirements of the Purchase Agreement, refinancings of the above.</w:t>
      </w:r>
    </w:p>
    <w:p>
      <w:pPr>
        <w:spacing w:after="0" w:line="153"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Yorkville has agreed that none of Yorkville, its sole member, any of their respective officers, or any entity managed or controlled by Yorkville or its sole member will engage in or effect, directly or indirectly, for its own account or for the account of any other of such persons or entities, any short sales of the common stock or hedging transaction that establishes a net short position in the common stock during the term of the Purchase Agreement.</w:t>
      </w:r>
    </w:p>
    <w:p>
      <w:pPr>
        <w:spacing w:after="0" w:line="142"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Because the per share purchase price that Yorkville will pay for shares of common stock (the “</w:t>
      </w:r>
      <w:r>
        <w:rPr>
          <w:rFonts w:ascii="Times New Roman" w:cs="Times New Roman" w:eastAsia="Times New Roman" w:hAnsi="Times New Roman"/>
          <w:sz w:val="15"/>
          <w:szCs w:val="15"/>
          <w:b w:val="1"/>
          <w:bCs w:val="1"/>
          <w:color w:val="auto"/>
        </w:rPr>
        <w:t>Purchase Shares</w:t>
      </w:r>
      <w:r>
        <w:rPr>
          <w:rFonts w:ascii="Times New Roman" w:cs="Times New Roman" w:eastAsia="Times New Roman" w:hAnsi="Times New Roman"/>
          <w:sz w:val="15"/>
          <w:szCs w:val="15"/>
          <w:color w:val="auto"/>
        </w:rPr>
        <w:t>”) pursuant to any Advance that we may elect to effect pursuant to the Purchase Agreement will be determined by reference to the VWAP during the applicable period for such Advance on the applicable purchase date for such Advance (the “</w:t>
      </w:r>
      <w:r>
        <w:rPr>
          <w:rFonts w:ascii="Times New Roman" w:cs="Times New Roman" w:eastAsia="Times New Roman" w:hAnsi="Times New Roman"/>
          <w:sz w:val="15"/>
          <w:szCs w:val="15"/>
          <w:b w:val="1"/>
          <w:bCs w:val="1"/>
          <w:color w:val="auto"/>
        </w:rPr>
        <w:t>Purchase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Date</w:t>
      </w:r>
      <w:r>
        <w:rPr>
          <w:rFonts w:ascii="Times New Roman" w:cs="Times New Roman" w:eastAsia="Times New Roman" w:hAnsi="Times New Roman"/>
          <w:sz w:val="15"/>
          <w:szCs w:val="15"/>
          <w:color w:val="auto"/>
        </w:rPr>
        <w:t>”), as of the date of this prospectus, we cannot determine the actual purchase price per share that Yorkville will be required to pay for any Purchase Shares that we may elect to sell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Yorkville under the Purchase Agreement from and after the Effective Date and, therefore, we cannot be certain how many Purchase Shares, in the aggregate, we may issue and sell to Yorkville under the Purchase Agreement from and after the Effective Date.</w:t>
      </w:r>
    </w:p>
    <w:p>
      <w:pPr>
        <w:spacing w:after="0" w:line="151"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Although the Purchase Agreement provides that we may sell up to $25.0 million of our common stock to Yorkville, no Purchase Shares are being registered under the Securities Act for resale by Yorkville under the registration statement that includes this prospectus. If we elect to sell Purchase Shares to Yorkville under the Purchase Agreement, we will need to register under the Securities Act additional shares of our common stock for resale by Yorkville which, will enable us to issue and sell to Yorkville such aggregate number of shares of common stock under the Purchase Agreement as will be necessary in order for us to receive aggregate proceeds equal to Yorkville’s $25.0 million maximum aggregate purchase commitment available to us under the Purchase Agreement.</w:t>
      </w:r>
    </w:p>
    <w:p>
      <w:pPr>
        <w:spacing w:after="0" w:line="155"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If we elect to issue and sell to Yorkville more than the 22,381,878 shares of common stock being registered under the Securities Act for resale by Yorkville under the registration statement that includes this prospectus, which we have the right, but not the obligation, to do, we must first (i) obtain stockholder approval to issue shares of common stock in excess of the Exchange Cap under the Purchase Agreement in accordance with applicable Nasdaq rules and (ii) file with the SEC one or more additional registration statements to register under the Securities Act for the offer and resale by Yorkville of any such additional shares of our common stock we wish to sell from time to time under the Purchase Agreement, which the SEC must declare effective, in each case before we may elect to sell any additional shares of our common stock to Yorkville under the Purchase Agreement. Any issuance and sale by us under the Purchase Agreement of a substantial amount of shares of common stock in addition to the 22,381,878 shares of common stock being registered for resale by Yorkville under the registration statement that includes this prospectus could cause additional substantial dilution to our stockholders.</w:t>
      </w:r>
    </w:p>
    <w:p>
      <w:pPr>
        <w:spacing w:after="0" w:line="154"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issuance of our common stock to Yorkville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b w:val="1"/>
          <w:bCs w:val="1"/>
          <w:color w:val="auto"/>
        </w:rPr>
        <w:t>Cash flows for the thirty-nine weeks ended September 28, 2025 and September 29, 2024</w:t>
      </w:r>
    </w:p>
    <w:p>
      <w:pPr>
        <w:spacing w:after="0" w:line="196" w:lineRule="exact"/>
        <w:rPr>
          <w:sz w:val="20"/>
          <w:szCs w:val="20"/>
          <w:color w:val="auto"/>
        </w:rPr>
      </w:pPr>
    </w:p>
    <w:p>
      <w:pPr>
        <w:ind w:right="20" w:firstLine="273"/>
        <w:spacing w:after="0" w:line="287" w:lineRule="auto"/>
        <w:rPr>
          <w:sz w:val="20"/>
          <w:szCs w:val="20"/>
          <w:color w:val="auto"/>
        </w:rPr>
      </w:pPr>
      <w:r>
        <w:rPr>
          <w:rFonts w:ascii="Times New Roman" w:cs="Times New Roman" w:eastAsia="Times New Roman" w:hAnsi="Times New Roman"/>
          <w:sz w:val="15"/>
          <w:szCs w:val="15"/>
          <w:color w:val="auto"/>
        </w:rPr>
        <w:t xml:space="preserve">The following table summarizes our cash flows from operating, investing, and financing activities for the thirty-nine week periods ended September 28, 2025 and September 29, 2024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5"/>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r>
      <w:tr>
        <w:trPr>
          <w:trHeight w:val="163"/>
        </w:trPr>
        <w:tc>
          <w:tcPr>
            <w:tcW w:w="86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4"/>
                <w:szCs w:val="14"/>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operating activities from continuing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(13,406)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(29,111)</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 from continuing operations</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(20,689)</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(1,044)</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financing activities from continuing operations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25,789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107,060</w:t>
            </w: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Net (decrease) increase in cash, cash equivalents and restricted cash</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(8,306)</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76,927</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flows from operating activities</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Net cash used in operating activities from continuing operations of $13.4 million in the thirty-nine weeks ended September 28, 2025 was due to net loss from continuing operations of $30.1 million offset by $33.8 million of favorable noncash adjustments and $17.1 million of cash outflows from changes in operating assets and liabilities. Significant movement in non-cash adjustments consisted of favorable non-cash adjustments of $14.3 million of amortization of debt issuance costs, $8.2 million of stock-based compensation, $4.3 million of depreciation and amortization, $3.1 million for the change in the fair value of warrant liabilities, $4.2 million for the provision of credit losses, $0.8 million of non-cash lease expense and $0.8 million change in the fair value of forward purchase agreements, partially offset by $1.6 million net gain on the change in the fair value of derivative liabilities and $0.3 million of other items. Significant movement attributable to net cash outflows from changes in operating assets of $17.1 million consisted of a $32.7 million increase in accounts receivable, a $12.3 million increase in prepaid expenses and other current assets and noncurrent assets, a $6.4 million decrease in accrued expenses and other liabilities, a $10.6 million decrease in contract liabilities, and a $0.9 million decrease in operating lease obligations, partially offset by a $34.1 million decrease in inventories and a $11.7 million increase in accounts payable.</w:t>
      </w:r>
    </w:p>
    <w:p>
      <w:pPr>
        <w:spacing w:after="0" w:line="155" w:lineRule="exact"/>
        <w:rPr>
          <w:sz w:val="20"/>
          <w:szCs w:val="20"/>
          <w:color w:val="auto"/>
        </w:rPr>
      </w:pPr>
    </w:p>
    <w:p>
      <w:pPr>
        <w:jc w:val="both"/>
        <w:ind w:firstLine="273"/>
        <w:spacing w:after="0" w:line="255" w:lineRule="auto"/>
        <w:rPr>
          <w:sz w:val="20"/>
          <w:szCs w:val="20"/>
          <w:color w:val="auto"/>
        </w:rPr>
      </w:pPr>
      <w:r>
        <w:rPr>
          <w:rFonts w:ascii="Times New Roman" w:cs="Times New Roman" w:eastAsia="Times New Roman" w:hAnsi="Times New Roman"/>
          <w:sz w:val="15"/>
          <w:szCs w:val="15"/>
          <w:color w:val="auto"/>
        </w:rPr>
        <w:t>Net cash used in operating activities from continuing operations of $29.1 million for the thirty-nine weeks ended September 29, 2024 was primarily due to the net loss from continuing operations, net of tax of $101.4 million, partially offset by non-cash adjustments of $70.8 million and net cash inflows of $1.5 million from changes in our operating assets and liabilities. Non-cash adjustments in our operating results consisted of $62.6 million arising from the issuance and subsequent change in fair value of derivative liabilities in connection with our convertible notes issued and outstanding, $5.4 million of expense in connection with warrants issued for vendor services, $3.1 million of expense related to changes in provision for credit losses, $4.1 million of stock-based compensation expense, $3.7 million of loss on impairment of assets, $3.9 million of expense in accretion of interest attributable to the CS Solis debt, $3.8 million of other noncash financing costs, $1.9 million of non-cash interest expense, $1.3 million of loss arising from the conversion of two SAFE Agreements to shares of our common stock, $1.0 million of depreciation and amortization, $0.9 million of expense related to changes in the fair value of the SAFE Agreements, $2.1 million of loss from the changes in the fair value of our warrant liabilities, $1.4 million amortization of debt issuance costs, $0.5 million of lease expense and $0.1 million provision for excess and obsolete inventory. These adjustments were partially offset by a $19.9 million gain on extinguishment of debt, $4.9 million of income related to changes in fair value of our forward purchase agreements. The main drivers of net cash inflows derived from the changes in operating assets and liabilities were related to a decrease in accounts receivable, net of $14.7 million and a decrease in inventories of $2.4 million, partially offset by a decrease in accounts payable of $8.5 million, an increase in prepaid and other current assets of $3.2 million, a decrease in contract liabilities of $1.4 million, a decrease in accrued expenses and other liabilities of $1.6 million, and a decrease in operating lease liabilities of $0.9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flows from investing activities</w:t>
      </w:r>
    </w:p>
    <w:p>
      <w:pPr>
        <w:spacing w:after="0" w:line="177"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Net cash used in investing activities from continuing operations of $20.7 million in the thirty-nine week period is attributable to the cash paid for the acquisition of Sunder. Net cash used of $1.0 million for the thirty-nine September 29, 2024 is attributable to additions to internal-use-software.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flows from financing activities</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Net cash provided by financing activities from continuing operations was $25.8 million for the thirty-nine weeks ended September 28, 2025 and consisted of $1.7 million in proceeds from the issuance of shares of our common stock, $5.0 million received from the Rodgers Revocable Trust, a related party in exchange for the July 2025 Note, $19.8 million received in exchange for 7% senior unsecured convertible notes, and $0.8 million in proceeds from the exercise of stock options and warrants in exchange for the issuance of shares of our common stock, partially offset by $1.5 million of finance leases payments.</w:t>
      </w:r>
    </w:p>
    <w:p>
      <w:pPr>
        <w:spacing w:after="0" w:line="151" w:lineRule="exact"/>
        <w:rPr>
          <w:sz w:val="20"/>
          <w:szCs w:val="20"/>
          <w:color w:val="auto"/>
        </w:rPr>
      </w:pPr>
    </w:p>
    <w:p>
      <w:pPr>
        <w:jc w:val="both"/>
        <w:ind w:firstLine="273"/>
        <w:spacing w:after="0" w:line="267" w:lineRule="auto"/>
        <w:rPr>
          <w:sz w:val="20"/>
          <w:szCs w:val="20"/>
          <w:color w:val="auto"/>
        </w:rPr>
      </w:pPr>
      <w:r>
        <w:rPr>
          <w:rFonts w:ascii="Times New Roman" w:cs="Times New Roman" w:eastAsia="Times New Roman" w:hAnsi="Times New Roman"/>
          <w:sz w:val="15"/>
          <w:szCs w:val="15"/>
          <w:color w:val="auto"/>
        </w:rPr>
        <w:t>Net cash provided by financing activities of $107.1 million for the thirty-nine weeks ended September 29, 2024 was primarily due to $94.7 million in net proceeds from the issuance of convertible notes, inclusive of $26.0 million from a related party, $6.1 million in net proceeds from the issuance of shares of our common stock from White Lion and $6.0 million in net proceeds from the issuance of SAFE Agreements, and $0.6 million of proceeds from the exercise of common stock options, partially offset by $0.3 million repayment of notes payable.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Flows for the Fiscal Years Ended December 29, 2024 and December 31, 2023</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summarizes SunPower’s cash flows from operating, investing, and financing activities for the fiscal years ended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Fiscal Year Ended</w:t>
            </w:r>
          </w:p>
        </w:tc>
      </w:tr>
      <w:tr>
        <w:trPr>
          <w:trHeight w:val="175"/>
        </w:trPr>
        <w:tc>
          <w:tcPr>
            <w:tcW w:w="8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operating activities from 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(54,662)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(58,802)</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investing activities from continuing operations</w:t>
            </w: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(54,657)</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6,171</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financing activities from continuing operations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120,100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50,425</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in cash, cash equivalents and restricted cash from discontinued operations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190</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10,803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(1,900)</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Flows from Operating Activities</w:t>
      </w:r>
    </w:p>
    <w:p>
      <w:pPr>
        <w:spacing w:after="0" w:line="196"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Net cash used in operating activities from continuing operations of $54.6 million for the fiscal year ended December 29, 2024 was primarily due to the net loss from continuing operations, net of tax of $54.4 million and net cash outflows of $6.6 million from changes in our operating assets and liabilities which was partially offset by non-cash adjustments of $6.4 million. Non-cash charges primarily consisted of $24.7 million for loss on issuance of derivative liability, $9.1 million provision for credit losses, $5.8 million of amortization of debt issuance costs, $9.2 million of non-cash expense in connection with warrants issued for vendor services, $3.1 million of stock-based compensation expense, $3.9 million accretion of debt in CS Solis, $3.8 million for asset impairment and disposals, $2.7 million for depreciation and amortization, $1.8 million for non-cash interest expense, $0.8 million for lease expense, and $1.3 million for loss on conversion of SAFE Agreements to shares of common stock, and $0.4 million of other financing costs, partially offset by a decrease of $34.0 million for the change in fair value of derivative liabilities, $22.3 gain on troubled debt restructuring, $2.9 million change in fair value of warrant liabilities, and $1.0 million change due to fair value adjustments. The main drivers of net cash outflows derived from the changes in operating assets and liabilities were related to an increase in contract assets of $21.5 million, a $10.4 million decrease in accounts payable, a $0.8 million decrease in operating lease liabilities, and a $0.2 million increase in prepaid expenses and other current assets, partially offset by an $8.7 million decrease in inventories, a $3.3 million decrease in accounts receivable, a $14.1 million increase in accrued expenses and $0.2 million of other.</w:t>
      </w:r>
    </w:p>
    <w:p>
      <w:pPr>
        <w:spacing w:after="0" w:line="156"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Net cash used in operating activities from continuing operations of $58.8 million for the fiscal year ended December 31, 2023 was primarily due to the net loss from continuing operations, net of tax of $96.2 million and net cash outflows of $17.4 million from changes in our operating assets and liabilities, adjusted for non-cash charges of $54.1 million. Non-cash charges primarily consisted of $35.5 million for the issuance of common stock in connection with FPAs, $10.3 million loss on CS Solis debt extinguishment, $4.2 million loss on sale of equity securities, $3.9 million change in fair value of FPAs, $4.3 million change in allowance for credit losses, $4.9 million of interest expense, $6.6 million accretion of long-term debt in CS Solis, $2.4 million related to the issuance of bonus common stock shares in connection with the Mergers, $3.4 million of stock-based compensation expense, and $6.1 million change in reserve for excess and obsolete inventory, $0.9 million in lease expense and $0.9 million in depreciation and amortization, partially offset by a decrease in the fair value of warrant liabilities of $29.3 million. The main drivers of net cash outflows derived from the changes in operating assets and liabilities were related to an increase in accounts receivable, net of $12.1 million, an increase in prepaid expenses and other current assets of $4.2 million, a decrease in deferred revenue of $1.7 million, a decrease in accrued expenses and other liabilities of $3.3 million and a decrease in operating lease liabilities of $0.6 million, partially offset a decrease in inventory of $1.5 million, an increase in accounts payable of $2.3 million, and a decrease in other noncurrent assets of $1.1 million.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Flows from Investing Activities</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Net cash used by investing activities of $54.7 million for the fiscal year ended December 29, 2024 was primarily due to the acquisition of SunPower of $53.5 million and $1.2 million in capital expenditures.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Net cash provided by investing activities of $6.2 million for the fiscal year ended December 31, 2023 was primarily due to sale of an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Flows from Financing Activities</w:t>
      </w:r>
    </w:p>
    <w:p>
      <w:pPr>
        <w:spacing w:after="0" w:line="196"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Net cash provided by financing activities of $120.1 million for the fiscal year ended December 29, 2024 was primarily due to proceeds from the issuance of convertible notes, net of $107.7 million, proceeds from SAFE agreements of $6.0 million, proceeds from the issuance of common stock of $6.7 million and proceeds from the exercise of common stock options of $0.5 million. The proceeds were partially offset by finance lease payments and the payment of a note aggregating $0.8 million.</w:t>
      </w:r>
    </w:p>
    <w:p>
      <w:pPr>
        <w:spacing w:after="0" w:line="14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Net cash provided by financing activities of $50.4 million for the fiscal year ended December 31, 2023 was primarily due to total proceeds from the issuance of convertible notes, net of $21.3 million, total proceeds from the Mergers and PIPE Financing of $19.8 million, and proceeds from the issuance of notes payable, net of $14.1 million, partially offset by the repayment of notes payable of $9.8 million.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 Balance Sheet Arrangements</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As of the date of this prospectus, SunPower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SunPower is a party, under which it has any obligation arising under a guaranteed contract, derivative instrument, or variable interest or a retained or contingent interest in assets transferred to such entity or similar arrangement that serves as credit, liquidity, or market risk support for such assets.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Currently, SunPower does not engage in off-balance sheet financing arrangements.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Smaller Reporting Company Status</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SunPower is a “smaller reporting company,” meaning that the market value of SunPower’s shares of common stock held by non-affiliates is less than $700 million and SunPower’s annual revenue was less than $100 million during the most recently completed fiscal year. SunPower will continue to be a smaller reporting company if either (i) the market value of SunPower’s shares held by non-affiliates is less than $250 million or (ii) SunPower’s annual revenue was less than $100 million during the most recently completed fiscal year and the market value of SunPower’s shares held by non-affiliates is less than $700 million. As a smaller reporting company, SunPower may choose to present only the two most recent fiscal years of audited financial statements and SunPower has reduced disclosure obligations regarding executive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Emerging growth company status</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51"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SunPower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has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SunPower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5"/>
          <w:szCs w:val="15"/>
          <w:b w:val="1"/>
          <w:bCs w:val="1"/>
          <w:color w:val="auto"/>
        </w:rPr>
        <w:t>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Mission</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modules.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Overview</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SunPower Inc. and Subsidiaries is the rebranded name of Complete Solaria, Inc. Complete Solaria, Inc. was formed in November 2022 through the merger of Complete Solar and The Solaria Corporation. Founded in 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This turnkey solution makes it easy for anyone to sell solar.</w:t>
      </w:r>
    </w:p>
    <w:p>
      <w:pPr>
        <w:spacing w:after="0" w:line="151"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We offer solar system sales and installation through the following three reportable segments: Residential Solar Installation, New Homes Business and Sunder. We believe the SunPower acquisition, as well of our acquisitions of Sunder, Ambia and Cobalt will allow us to accelerate our revenue growth, and expand our footprint to deliver solar system sales into regions where we might have not previously done business.</w:t>
      </w:r>
    </w:p>
    <w:p>
      <w:pPr>
        <w:spacing w:after="0" w:line="14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We sell solar systems to homeowners, home builders and small to medium-sized commercial customers through third-party sales partners. As a result of the Sunder Acquisition which occurred late in the third quarter of fiscal 2025, we operate a solar energy sales force to initiate and execute contracts with customers throughout the United States. SunPower manages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SunPower establishes valuable customer relationships that can extend beyond the initial solar energy system purchase and provide SunPower with opportunities to offer additional products and services in the future.</w:t>
      </w:r>
    </w:p>
    <w:p>
      <w:pPr>
        <w:spacing w:after="0" w:line="154"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As further discussed below and in the accompanying unaudited condensed consolidated financial statements, we have three reportable segments: Residential Solar Installation, New Homes Business and Sunder.</w:t>
      </w:r>
    </w:p>
    <w:p>
      <w:pPr>
        <w:spacing w:after="0" w:line="134"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We expect to continue making acquisitions and entering into strategic partnerships as part of our long-term business strategy. For example, on August 5, 2024, SunPower Corporation entered into the APA among the Company, SunPower Corporation and SunPower Corporation’s direct and indirect subsidiaries (collectively, the “</w:t>
      </w:r>
      <w:r>
        <w:rPr>
          <w:rFonts w:ascii="Times New Roman" w:cs="Times New Roman" w:eastAsia="Times New Roman" w:hAnsi="Times New Roman"/>
          <w:sz w:val="15"/>
          <w:szCs w:val="15"/>
          <w:b w:val="1"/>
          <w:bCs w:val="1"/>
          <w:color w:val="auto"/>
        </w:rPr>
        <w:t>SunPower Debtors</w:t>
      </w:r>
      <w:r>
        <w:rPr>
          <w:rFonts w:ascii="Times New Roman" w:cs="Times New Roman" w:eastAsia="Times New Roman" w:hAnsi="Times New Roman"/>
          <w:sz w:val="15"/>
          <w:szCs w:val="15"/>
          <w:color w:val="auto"/>
        </w:rPr>
        <w:t>”) providing for the sale and purchase of the Acquired SunPower Assets. The APA was entered into in connection with a voluntary petition filed by SunPower under Chapter 11 of the United States Code, 11 U.S.C.§§ 101-1532. The sale by SunPower was approved on September 23, 2024, by the United States Bankruptcy Court for the District of Delaware. The Company completed the acquisition of the Acquired SunPower Assets effective September 30, 2024. The acquisition transactions under the APA are referred to herein as the “Acquisition,” and the assets and businesses acquired by the Company under the APA are referred to as the “SunPower Businesses.” The acquisition was closed on September 30, 2024. As part of the acquisition the Company acquired Albatross, an order-to-management proprietary software to manage our orders, fulfillment and customer service all in one central location. Additionally, we completed the Cobalt Acquisition on February 2, 2026, the Ambia Acquisition on November 21, 2025 and the Sunder Acquisition on September 24, 2025. The Sunder Acquisition resulted in a new reportable segment within the Company, the principal activity of which is a solar energy sales force to initiate and execute contracts with customers throughout the United States.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Model</w:t>
      </w:r>
    </w:p>
    <w:p>
      <w:pPr>
        <w:spacing w:after="0" w:line="19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We offer Solar System Sales and Installation to residential homeowners and the New Home Builders’ community. The SunPower acquisition will allow us to accelerate our revenue growth, and expand our footprint to deliver solar system sales into regions where we might have not previously done business.</w:t>
      </w:r>
    </w:p>
    <w:p>
      <w:pPr>
        <w:spacing w:after="0" w:line="134"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Solar System Sales: SunPower sells solar systems to homeowners, home builders and small to medium-sized commercial customers through third-party sales partners. SunPower manages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SunPower establishes valuable customer relationships that can extend beyond the initial solar energy system purchase and provide SunPower with opportunities to offer additional products and services in the future.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Technology Innovation</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Since its inception, SunPower has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SunPower has built provides broad reach, and we believe it positions SunPower for sustained and rapid growth through a capital-efficient business model. The network of our partners continues to expand today.</w:t>
      </w:r>
    </w:p>
    <w:p>
      <w:pPr>
        <w:spacing w:after="0" w:line="151"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With the completion of the SunPower acquisition we believe that our ability to fuel innovation and gain operational efficiencies through our priority platform, Albatross, will allow us to service not only our customers more effectively but our sales and installation partners will be able to access real-time data in order to run their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Differentiation and Operating Results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Delivering a differentiated customer experience is core to SunPower’s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spacing w:after="0" w:line="146"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increased our operations center that supports operations, order process, customer care and support, credit and collections, procurement, vendor management and accounting related functions, and have rationalized our headcount.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Growth Strategy and Outlook</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growth strategy contains the following elements:</w:t>
      </w:r>
    </w:p>
    <w:p>
      <w:pPr>
        <w:spacing w:after="0" w:line="188" w:lineRule="exact"/>
        <w:rPr>
          <w:sz w:val="20"/>
          <w:szCs w:val="20"/>
          <w:color w:val="auto"/>
        </w:rPr>
      </w:pPr>
    </w:p>
    <w:p>
      <w:pPr>
        <w:jc w:val="both"/>
        <w:ind w:left="540" w:hanging="276"/>
        <w:spacing w:after="0" w:line="266"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Increase revenue by expanding installation capacity and developing new geographic markets - </w:t>
      </w:r>
      <w:r>
        <w:rPr>
          <w:rFonts w:ascii="Times New Roman" w:cs="Times New Roman" w:eastAsia="Times New Roman" w:hAnsi="Times New Roman"/>
          <w:sz w:val="15"/>
          <w:szCs w:val="15"/>
          <w:color w:val="auto"/>
        </w:rPr>
        <w:t>We continue to expand our network of partners who will install systems resulting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p>
      <w:pPr>
        <w:spacing w:after="0" w:line="149" w:lineRule="exact"/>
        <w:rPr>
          <w:rFonts w:ascii="Times New Roman" w:cs="Times New Roman" w:eastAsia="Times New Roman" w:hAnsi="Times New Roman"/>
          <w:sz w:val="15"/>
          <w:szCs w:val="15"/>
          <w:color w:val="auto"/>
        </w:rPr>
      </w:pPr>
    </w:p>
    <w:p>
      <w:pPr>
        <w:jc w:val="both"/>
        <w:ind w:left="540"/>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September 30, 2024, upon approval by the Bankruptcy Court for the District of Delaware, we completed the acquisition of certain assets relating to the Blue Raven Solar Business, New Homes Business and non-Installing Dealer network previously operated by SunPower Debtors. On September 24, 2025, we completed the acquisition of Sunder, a residential solar sales company. The acquisition of Sunder expanded our footprint from 22 to 45 states. By doubling our dealer network salesforce to 1,744 this allows for further reach into new geographic markets where we were not previously concentrated. This acquisition will position us to be lone of the largest residential solar provider in the U.S.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81" w:name="page82"/>
    <w:bookmarkEnd w:id="81"/>
    <w:p>
      <w:pPr>
        <w:jc w:val="both"/>
        <w:ind w:left="540"/>
        <w:spacing w:after="0" w:line="273" w:lineRule="auto"/>
        <w:rPr>
          <w:sz w:val="20"/>
          <w:szCs w:val="20"/>
          <w:color w:val="auto"/>
        </w:rPr>
      </w:pPr>
      <w:r>
        <w:rPr>
          <w:rFonts w:ascii="Times New Roman" w:cs="Times New Roman" w:eastAsia="Times New Roman" w:hAnsi="Times New Roman"/>
          <w:sz w:val="15"/>
          <w:szCs w:val="15"/>
          <w:color w:val="auto"/>
        </w:rPr>
        <w:t>Sunder’s established relationships with Electrical, Permit and Connection companies (“</w:t>
      </w:r>
      <w:r>
        <w:rPr>
          <w:rFonts w:ascii="Times New Roman" w:cs="Times New Roman" w:eastAsia="Times New Roman" w:hAnsi="Times New Roman"/>
          <w:sz w:val="15"/>
          <w:szCs w:val="15"/>
          <w:b w:val="1"/>
          <w:bCs w:val="1"/>
          <w:color w:val="auto"/>
        </w:rPr>
        <w:t>EPC</w:t>
      </w:r>
      <w:r>
        <w:rPr>
          <w:rFonts w:ascii="Times New Roman" w:cs="Times New Roman" w:eastAsia="Times New Roman" w:hAnsi="Times New Roman"/>
          <w:sz w:val="15"/>
          <w:szCs w:val="15"/>
          <w:color w:val="auto"/>
        </w:rPr>
        <w:t>”) will allow us to expand into markets where we do not have install capacity due to limitations of not being able to hire a skilled installation workforce due to lack of density. By leveraging a preferred network of EPCs this allows us to accelerate our growth, while keeping our overhead costs low.</w:t>
      </w:r>
    </w:p>
    <w:p>
      <w:pPr>
        <w:spacing w:after="0" w:line="144" w:lineRule="exact"/>
        <w:rPr>
          <w:sz w:val="20"/>
          <w:szCs w:val="20"/>
          <w:color w:val="auto"/>
        </w:rPr>
      </w:pPr>
    </w:p>
    <w:p>
      <w:pPr>
        <w:jc w:val="both"/>
        <w:ind w:left="540"/>
        <w:spacing w:after="0" w:line="287" w:lineRule="auto"/>
        <w:rPr>
          <w:sz w:val="20"/>
          <w:szCs w:val="20"/>
          <w:color w:val="auto"/>
        </w:rPr>
      </w:pPr>
      <w:r>
        <w:rPr>
          <w:rFonts w:ascii="Times New Roman" w:cs="Times New Roman" w:eastAsia="Times New Roman" w:hAnsi="Times New Roman"/>
          <w:sz w:val="15"/>
          <w:szCs w:val="15"/>
          <w:color w:val="auto"/>
        </w:rPr>
        <w:t>By leveraging Sunder existing operating platform, our dealer network will be able to focus on delivering superior customer service to homeowners, while providing options to the homeowner based on their preferences.</w:t>
      </w:r>
    </w:p>
    <w:p>
      <w:pPr>
        <w:spacing w:after="0" w:line="130" w:lineRule="exact"/>
        <w:rPr>
          <w:sz w:val="20"/>
          <w:szCs w:val="20"/>
          <w:color w:val="auto"/>
        </w:rPr>
      </w:pPr>
    </w:p>
    <w:p>
      <w:pPr>
        <w:jc w:val="both"/>
        <w:ind w:left="540" w:hanging="276"/>
        <w:spacing w:after="0" w:line="266" w:lineRule="auto"/>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Increase revenue and margin by engaging national-scale sales partners </w:t>
      </w:r>
      <w:r>
        <w:rPr>
          <w:rFonts w:ascii="Times New Roman" w:cs="Times New Roman" w:eastAsia="Times New Roman" w:hAnsi="Times New Roman"/>
          <w:sz w:val="15"/>
          <w:szCs w:val="15"/>
          <w:color w:val="auto"/>
        </w:rPr>
        <w:t>- We aim to offer a turnkey solar solution to prospective sales partners with a national footprint. These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p>
      <w:pPr>
        <w:spacing w:after="0" w:line="145" w:lineRule="exact"/>
        <w:rPr>
          <w:rFonts w:ascii="Times New Roman" w:cs="Times New Roman" w:eastAsia="Times New Roman" w:hAnsi="Times New Roman"/>
          <w:sz w:val="15"/>
          <w:szCs w:val="15"/>
          <w:color w:val="auto"/>
        </w:rPr>
      </w:pPr>
    </w:p>
    <w:p>
      <w:pPr>
        <w:jc w:val="both"/>
        <w:ind w:left="540" w:hanging="276"/>
        <w:spacing w:after="0" w:line="273" w:lineRule="auto"/>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Increase revenue and margin by executing on 200,000-unit battery storage opportunity </w:t>
      </w:r>
      <w:r>
        <w:rPr>
          <w:rFonts w:ascii="Times New Roman" w:cs="Times New Roman" w:eastAsia="Times New Roman" w:hAnsi="Times New Roman"/>
          <w:sz w:val="15"/>
          <w:szCs w:val="15"/>
          <w:color w:val="auto"/>
        </w:rPr>
        <w:t>- We have an opportunity to increase our revenue and margin in the battery space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through our partnership with Enphase. By providing homeowners with an option to include battery storage as part of their solar system install, we believe there will be a greater need for battery storage as the demand and costs of energy will increase.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Strengths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following strengths position SunPower to drive the mass adoption of residential solar in a manner that maximizes the value of its growing customer base over the long term:</w:t>
      </w:r>
    </w:p>
    <w:p>
      <w:pPr>
        <w:spacing w:after="0" w:line="188" w:lineRule="exact"/>
        <w:rPr>
          <w:sz w:val="20"/>
          <w:szCs w:val="20"/>
          <w:color w:val="auto"/>
        </w:rPr>
      </w:pPr>
    </w:p>
    <w:p>
      <w:pPr>
        <w:jc w:val="both"/>
        <w:ind w:left="540" w:hanging="276"/>
        <w:spacing w:after="0" w:line="273" w:lineRule="auto"/>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Platform of Services and Tools</w:t>
      </w:r>
      <w:r>
        <w:rPr>
          <w:rFonts w:ascii="Times New Roman" w:cs="Times New Roman" w:eastAsia="Times New Roman" w:hAnsi="Times New Roman"/>
          <w:sz w:val="15"/>
          <w:szCs w:val="15"/>
          <w:color w:val="auto"/>
        </w:rPr>
        <w:t>: A diversified and multi-pronged customer acquisition approach. This infrastructure underpins the ability to enjoy broad customer reach with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low system-wide cost structure and positions SunPower for expansion to every market where distributed solar energy generation can offer homeowners savings versus traditional utility retail power.</w:t>
      </w:r>
    </w:p>
    <w:p>
      <w:pPr>
        <w:spacing w:after="0" w:line="139" w:lineRule="exact"/>
        <w:rPr>
          <w:rFonts w:ascii="Times New Roman" w:cs="Times New Roman" w:eastAsia="Times New Roman" w:hAnsi="Times New Roman"/>
          <w:sz w:val="15"/>
          <w:szCs w:val="15"/>
          <w:color w:val="auto"/>
        </w:rPr>
      </w:pPr>
    </w:p>
    <w:p>
      <w:pPr>
        <w:ind w:left="540" w:hanging="276"/>
        <w:spacing w:after="0" w:line="293" w:lineRule="auto"/>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Differentiated Customer Experience</w:t>
      </w:r>
      <w:r>
        <w:rPr>
          <w:rFonts w:ascii="Times New Roman" w:cs="Times New Roman" w:eastAsia="Times New Roman" w:hAnsi="Times New Roman"/>
          <w:sz w:val="15"/>
          <w:szCs w:val="15"/>
          <w:color w:val="auto"/>
        </w:rPr>
        <w:t>: We offer a unique customer experience through various methods: customer-friendly solar service features, tailored designs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customizable pricing for each homeowner, a highly consultative sales process, and a focus on customer savings.</w:t>
      </w:r>
    </w:p>
    <w:p>
      <w:pPr>
        <w:spacing w:after="0" w:line="125" w:lineRule="exact"/>
        <w:rPr>
          <w:rFonts w:ascii="Times New Roman" w:cs="Times New Roman" w:eastAsia="Times New Roman" w:hAnsi="Times New Roman"/>
          <w:sz w:val="15"/>
          <w:szCs w:val="15"/>
          <w:color w:val="auto"/>
        </w:rPr>
      </w:pPr>
    </w:p>
    <w:p>
      <w:pPr>
        <w:jc w:val="both"/>
        <w:ind w:left="540" w:right="20" w:hanging="276"/>
        <w:spacing w:after="0" w:line="273" w:lineRule="auto"/>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Access to customers through third-party sales channels: </w:t>
      </w:r>
      <w:r>
        <w:rPr>
          <w:rFonts w:ascii="Times New Roman" w:cs="Times New Roman" w:eastAsia="Times New Roman" w:hAnsi="Times New Roman"/>
          <w:sz w:val="15"/>
          <w:szCs w:val="15"/>
          <w:color w:val="auto"/>
        </w:rPr>
        <w:t>The turn-key solar product offering, best-in-class customer service, and national footprint support third-party sales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channels and strategic national partnerships. SunPower provides solutions for sales channels seeking to expand their geographic reach and strengthen their relationships with their own customers.</w:t>
      </w:r>
    </w:p>
    <w:p>
      <w:pPr>
        <w:spacing w:after="0" w:line="139" w:lineRule="exact"/>
        <w:rPr>
          <w:rFonts w:ascii="Times New Roman" w:cs="Times New Roman" w:eastAsia="Times New Roman" w:hAnsi="Times New Roman"/>
          <w:sz w:val="15"/>
          <w:szCs w:val="15"/>
          <w:color w:val="auto"/>
        </w:rPr>
      </w:pPr>
    </w:p>
    <w:p>
      <w:pPr>
        <w:jc w:val="both"/>
        <w:ind w:left="540" w:hanging="276"/>
        <w:spacing w:after="0" w:line="284" w:lineRule="auto"/>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Skilled labor workforce: </w:t>
      </w:r>
      <w:r>
        <w:rPr>
          <w:rFonts w:ascii="Times New Roman" w:cs="Times New Roman" w:eastAsia="Times New Roman" w:hAnsi="Times New Roman"/>
          <w:sz w:val="15"/>
          <w:szCs w:val="15"/>
          <w:color w:val="auto"/>
        </w:rPr>
        <w:t>We invest in safety first and ensure that our labor workforce is not only proficient in construction and energy but has strong communication, problem-solving and customer service skills. This allows them not only to make decisions quickly onsite but allows them to be empowered to service our customers on the spot and timely.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b w:val="1"/>
          <w:bCs w:val="1"/>
          <w:color w:val="auto"/>
        </w:rPr>
        <w:t>Customer Service and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Solar System Sales</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SunPower has made significant investments to create a platform of services and tools that addresses customer origination, system design and installation, and general customer support. Before a sales representative conducts a consultation, homeowners are pre-qualified based on a preliminary evaluation which considers a homeowner’s credit, home ownership, electricity usage and suitability of the roof based on age, condition, shading and pitch. Once a homeowner is pre-qualified, all necessary data is collected and a proposal is generated for the homeowner. If a homeowner is interested in moving forward, a customer contract is automatically generated for electronic execution. This contract then undergoes a final review and before it is countersigned. Homeowners financing their purchase via a loan, lease or power purchase agreement submit applications to financial institutions and, upon credit approval, execute financing agreements between the homeowner and the financier.</w:t>
      </w:r>
    </w:p>
    <w:p>
      <w:pPr>
        <w:spacing w:after="0" w:line="153"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Once an agreement is fully executed, a service tech performs a site audit at the home to inspect the roof and measure shading. This audit follows a final system design plan and an application for any required building permits. The plans are reviewed to ensure they conform to the executed contract or to process a change order if required. A second production estimate is generated at this time and if the expected energy production exceeds or falls below the original estimate by certain thresholds, the homeowner agreement is modified accordingly. To reduce installation costs and operational risk, there are defined design and installation quality standards designed to ensure that homeowners receive a quality product, regardless of who installs the system.</w:t>
      </w:r>
    </w:p>
    <w:p>
      <w:pPr>
        <w:spacing w:after="0" w:line="155"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After the solar panels are installed, the customer care team follows up with the homeowner with a survey on their experience. If a system requires maintenance, SunPower or a partner or dedicated service-only contractor will visit the customer’s home and perform any necessary repairs or maintenance at no additional cost to the customer.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Software Enhanced Services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SunPower’s partners are third-party Sales organizations that use the design and proposal services for their residential solar projects. SunPower staffs a sales support desk six days a week to provide live customer support for sales representatives who need a design or proposal for a potential homeowner sale. These customer support teams rapidly produce proposals, answer questions, and offer other forms of support for sales personnel.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Suppliers</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The main components of a residential solar energy system are the solar modules, inverters, and racking systems. SunPower generally purchases these components from select distributors, which are then shipped to build partners for installation. There is a running list of approved suppliers in the event any of the sources for modules, inverters or other components become unavailable. If SunPower fails to develop, maintain, and expand relationships with these or other suppliers, the ability to meet anticipated demand for solar energy systems may be adversely affected, or at higher costs or delayed. If one or more of the suppliers ceases or reduces production due to its financial condition, acquisition by a competitor or otherwise, it may be difficult to identify alternate suppliers quickly or to qualify alternative products on commercially reasonable terms, and the ability to satisfy this demand may be adversely affected.</w:t>
      </w:r>
    </w:p>
    <w:p>
      <w:pPr>
        <w:spacing w:after="0" w:line="153"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SunPower screens all suppliers and components based on expected cost, reliability, warranty coverage, ease of installation, etc. The declining cost of solar modules and the raw materials necessary to manufacture them have been a key driver in the prices charged for electricity and homeowner adoption of solar energy. If solar module and raw material prices do not continue to decline at the same rate as they have over the past several years, the resulting prices could slow growth and cause financial results to suffer. If SunPower is required to pay higher prices for supplies, accept less favorable terms, or purchase solar modules or other system components from alternative, higher-priced sources, financial results may be adversely affected.</w:t>
      </w:r>
    </w:p>
    <w:p>
      <w:pPr>
        <w:spacing w:after="0" w:line="155"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SunPower and its build partners are responsible for and source the other products related to solar energy systems, such as fasteners, wiring and electrical fittings. From time-to-time, SunPower procures these other products related to solar energy systems for its own installation business. SunPower manages inventory through just-in-time delivery, at local warehouses, and as segregated inventory at build partners.</w:t>
      </w:r>
    </w:p>
    <w:p>
      <w:pPr>
        <w:spacing w:after="0" w:line="14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The main components of a residential solar module are the solar cells. SunPower’s solar modules are generally manufactured by third-party select manufacturers and are purchased from distributors.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83" w:name="page84"/>
    <w:bookmarkEnd w:id="83"/>
    <w:p>
      <w:pPr>
        <w:jc w:val="both"/>
        <w:ind w:firstLine="273"/>
        <w:spacing w:after="0" w:line="280" w:lineRule="auto"/>
        <w:rPr>
          <w:sz w:val="20"/>
          <w:szCs w:val="20"/>
          <w:color w:val="auto"/>
        </w:rPr>
      </w:pPr>
      <w:r>
        <w:rPr>
          <w:rFonts w:ascii="Times New Roman" w:cs="Times New Roman" w:eastAsia="Times New Roman" w:hAnsi="Times New Roman"/>
          <w:sz w:val="15"/>
          <w:szCs w:val="15"/>
          <w:color w:val="auto"/>
        </w:rPr>
        <w:t>SunPower screens all suppliers and components based on expected cost, reliability, warranty coverage, ease of installation, and other factors. It typically enters into master contract arrangements with major suppliers that define the general terms and conditions of purchases, including warranties, product specifications, indemnities, delivery and other customary terms.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Solar System Sales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SunPower’s primary competitors are the traditional utilities that supply electricity to potential customers. It competes with these traditional utilities primarily based on price (cents per kilowatt hour), predictability of future prices (by providing pre-determined annual price escalations) and the ease by which homeowners can switch to electricity generated by solar energy systems. Based on these factors, SunPower competes favorably with many traditional utilities.</w:t>
      </w:r>
    </w:p>
    <w:p>
      <w:pPr>
        <w:spacing w:after="0" w:line="14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SunPower competes for homeowner customers with other solar sales and installation companies and with solar companies with business models that are similar to SunPower’s. SunPower’s main competitors can be grouped broadly into (a) national, vertically integrated companies with established brands and proprietary consumer financing products; (b) small, local solar contractors who operate with relatively low fixed overhead expenses but who may lack systems, tools, and sophisticated product offerings; and (c) sales aggregators who engage with third-party sales companies to generate installation contracts. SunPower competes favorably with these companies, with (a) better customer experience and better Sales Partner experience than the national vertically integrated companies; (b) better pricing and broader customer offerings than smaller local solar contractors; and (c) a better build partner experience than sales aggregators.</w:t>
      </w:r>
    </w:p>
    <w:p>
      <w:pPr>
        <w:spacing w:after="0" w:line="153"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SunPower also faces competition from purely finance-driven organizations that acquire homeowner customers and then subcontract out the installation of solar energy systems, installation businesses that seek financing from external parties, large construction companies and utilities and sophisticated electrical and roofing companies. At the same time, the open platform provides opportunities for these competitors to become partners, and the open platform offers these new market participants a cost-effective way to enter the market and compelling process, technology and supply chain services over the long term.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SunPower seeks to protect its intellectual property rights by relying on federal, state and common law rights in the U.S. and other countries, as well as contractual restrictions. It generally enters into confidentiality and invention assignment agreements with employees and contractors, and confidentiality agreements with other third parties, in order to limit access to, and disclosure and use of, confidential information and proprietary technology. In addition to these contractual arrangements, SunPower also relies on a combination of trademarks, trade dress, domain names, copyrights, and trade secrets to help protect the brand and other intellectual property.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Government Regulations and Incentives</w:t>
      </w:r>
    </w:p>
    <w:p>
      <w:pPr>
        <w:spacing w:after="0" w:line="196"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Governments have used different public policy mechanisms to accelerate the adoption and use of solar power. Examples of customer-focused financial mechanisms include capital cost rebates, performance-based incentives, feed-in tariffs, tax credits, renewable portfolio standards, net metering, and carbon regulations. Some of these government mandates and economic incentives are scheduled to be reduced or to expire or could be eliminated. Capital cost rebates provide funds to customers based on the cost and size of a customer’s solar power system. Performance-based incentives provide funding to a customer based on the energy produced by their solar power system. Feed-in tariffs pay customers for solar power system generation based on energy produced at a rate generally guaranteed for a period of time. Tax credits reduce a customer’s taxes at the time the taxes are due. Renewable portfolio standards mandate that a certain percentage of electricity delivered to customers comes from eligible renewable energy resources. Net metering allows customers to deliver to the electric grid any excess electricity produced by their on-site solar power systems and to be credited for that excess electricity at or near the full retail price of electricity. Carbon regulations, including cap-and-trade and carbon pricing programs, increase the cost of fossil fuels, which release climate-altering carbon dioxide and other greenhouse gas emissions during combustion.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84" w:name="page85"/>
    <w:bookmarkEnd w:id="84"/>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In addition to the mechanisms described above, there are various incentives for homeowners and businesses to adopt solar power in The Inflation Reduction Act of 2022. Moreover, in Europe, the European Commission has mandated that its member states adopt integrated national climate and energy plans to increase their renewable energy targets to be achieved by 2030, which could benefit the deployment of solar. However, the U.S. and European Union, among others, have imposed tariffs or other import duties on solar products, or are evaluating the imposition of such duties on solar panels, solar cells, polysilicon, and other components. These import duties may offset the incentives described above and increase the price of SunPower’s solar products.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Employees and Human Capital Resources</w:t>
      </w:r>
    </w:p>
    <w:p>
      <w:pPr>
        <w:spacing w:after="0" w:line="19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As of January 12, 2025, SunPower had 770 employees on a full-time basis. We also engage independent contractors and consultants. No employees are covered by collective bargaining agreements. There have not been any work stoppages.</w:t>
      </w:r>
    </w:p>
    <w:p>
      <w:pPr>
        <w:spacing w:after="0" w:line="134"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human capital resources objectives include identifying, recruiting, retaining, training, and integrating its existing and new employees. The principal purposes of our equity incentive plans are to attract, retain and motivate personnel through the granting of equity-based awards, increasing stockholder value and the success of SunPower by motivating such individuals to perform to the best of their abilities and achieve our objectives.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Facilities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SunPower’s corporate headquarters and executive offices are located in Orem, Utah.</w:t>
      </w:r>
    </w:p>
    <w:p>
      <w:pPr>
        <w:spacing w:after="0" w:line="192"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SunPower leases all the facilities and owns no real property. SunPower believes that current facilities are adequate to meet ongoing needs. If additional space is required, SunPower believes that it will be able to obtain additional facilities on commercially reasonable terms.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We are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$9.2 million and $7.7 million recorded within accrued expenses and other current liabilities in its unaudited condensed consolidated balance sheets at each of September 28, 2025 and December 29, 2024.</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SolarPark Litigation</w:t>
      </w:r>
    </w:p>
    <w:p>
      <w:pPr>
        <w:spacing w:after="0" w:line="192"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In January 2023, SolarPark Korea Co., LTD (“</w:t>
      </w:r>
      <w:r>
        <w:rPr>
          <w:rFonts w:ascii="Times New Roman" w:cs="Times New Roman" w:eastAsia="Times New Roman" w:hAnsi="Times New Roman"/>
          <w:sz w:val="15"/>
          <w:szCs w:val="15"/>
          <w:b w:val="1"/>
          <w:bCs w:val="1"/>
          <w:color w:val="auto"/>
        </w:rPr>
        <w:t>SolarPark</w:t>
      </w:r>
      <w:r>
        <w:rPr>
          <w:rFonts w:ascii="Times New Roman" w:cs="Times New Roman" w:eastAsia="Times New Roman" w:hAnsi="Times New Roman"/>
          <w:sz w:val="15"/>
          <w:szCs w:val="15"/>
          <w:color w:val="auto"/>
        </w:rPr>
        <w:t>”)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consolidated financial statements as the likelihood of a loss is not probable at this time.</w:t>
      </w:r>
    </w:p>
    <w:p>
      <w:pPr>
        <w:spacing w:after="0" w:line="146"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color w:val="auto"/>
        </w:rPr>
        <w:t>On March 16, 2023, SolarPark filed a complaint against Solaria and the Company in the U.S. District Court for the Northern District of California (the “</w:t>
      </w:r>
      <w:r>
        <w:rPr>
          <w:rFonts w:ascii="Times New Roman" w:cs="Times New Roman" w:eastAsia="Times New Roman" w:hAnsi="Times New Roman"/>
          <w:sz w:val="15"/>
          <w:szCs w:val="15"/>
          <w:b w:val="1"/>
          <w:bCs w:val="1"/>
          <w:color w:val="auto"/>
        </w:rPr>
        <w:t>NDC Court</w:t>
      </w:r>
      <w:r>
        <w:rPr>
          <w:rFonts w:ascii="Times New Roman" w:cs="Times New Roman" w:eastAsia="Times New Roman" w:hAnsi="Times New Roman"/>
          <w:sz w:val="15"/>
          <w:szCs w:val="15"/>
          <w:color w:val="auto"/>
        </w:rPr>
        <w: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85" w:name="page86"/>
    <w:bookmarkEnd w:id="85"/>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NDC Court conducted a hearing to consider SolarPark and the Company’s respective motions. On August 3, 2023, the NDC Court issued a ruling, which granted the preliminary injunction motion with respect to any purported misappropriation of SolarPark’s trade secrets. The NDC Court’s ruling does not prohibit the Company from producing shingled modules or from utilizing its own patents for the manufacture of shingled modules. The NDC Court denied SolarPark’s motion seeking a defamation injunction. The NDC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Solaria filed a Notice of Withdrawal of Appeal and will not appeal the NDC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 liability has been recorded in the Company’s consolidated financial statements as the likelihood of a loss is not probable at this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Siemens Litigation</w:t>
      </w:r>
    </w:p>
    <w:p>
      <w:pPr>
        <w:spacing w:after="0" w:line="192"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On July 22, 2021, Siemens Government Technologies, Inc. (“</w:t>
      </w:r>
      <w:r>
        <w:rPr>
          <w:rFonts w:ascii="Times New Roman" w:cs="Times New Roman" w:eastAsia="Times New Roman" w:hAnsi="Times New Roman"/>
          <w:sz w:val="15"/>
          <w:szCs w:val="15"/>
          <w:b w:val="1"/>
          <w:bCs w:val="1"/>
          <w:color w:val="auto"/>
        </w:rPr>
        <w:t>Siemens Government Technologies</w:t>
      </w:r>
      <w:r>
        <w:rPr>
          <w:rFonts w:ascii="Times New Roman" w:cs="Times New Roman" w:eastAsia="Times New Roman" w:hAnsi="Times New Roman"/>
          <w:sz w:val="15"/>
          <w:szCs w:val="15"/>
          <w:color w:val="auto"/>
        </w:rPr>
        <w:t>”) filed a lawsuit against Solaria Corporation in Fairfax Circuit Court (the “</w:t>
      </w:r>
      <w:r>
        <w:rPr>
          <w:rFonts w:ascii="Times New Roman" w:cs="Times New Roman" w:eastAsia="Times New Roman" w:hAnsi="Times New Roman"/>
          <w:sz w:val="15"/>
          <w:szCs w:val="15"/>
          <w:b w:val="1"/>
          <w:bCs w:val="1"/>
          <w:color w:val="auto"/>
        </w:rPr>
        <w:t>Circuit Court</w:t>
      </w:r>
      <w:r>
        <w:rPr>
          <w:rFonts w:ascii="Times New Roman" w:cs="Times New Roman" w:eastAsia="Times New Roman" w:hAnsi="Times New Roman"/>
          <w:sz w:val="15"/>
          <w:szCs w:val="15"/>
          <w:color w:val="auto"/>
        </w:rPr>
        <w:t>”) in Fairfax, Virginia. On July 27, 2023, Siemens Government Technologies, moved to amend the complaint to add Siemens Industry Inc. as a co-plaintiff. This motion was granted on August 25, 2023. On October 23, 2023, Siemens Government Technologies and Siemens Industry Inc. (collectively, “</w:t>
      </w:r>
      <w:r>
        <w:rPr>
          <w:rFonts w:ascii="Times New Roman" w:cs="Times New Roman" w:eastAsia="Times New Roman" w:hAnsi="Times New Roman"/>
          <w:sz w:val="15"/>
          <w:szCs w:val="15"/>
          <w:b w:val="1"/>
          <w:bCs w:val="1"/>
          <w:color w:val="auto"/>
        </w:rPr>
        <w:t>Siemens</w:t>
      </w:r>
      <w:r>
        <w:rPr>
          <w:rFonts w:ascii="Times New Roman" w:cs="Times New Roman" w:eastAsia="Times New Roman" w:hAnsi="Times New Roman"/>
          <w:sz w:val="15"/>
          <w:szCs w:val="15"/>
          <w:color w:val="auto"/>
        </w:rPr>
        <w:t>”) and Solaria Corporation stipulated to add Solar CA, LLC as a co-defendant. Solaria Corporation and Solar CA, LLC (collectively, the “</w:t>
      </w:r>
      <w:r>
        <w:rPr>
          <w:rFonts w:ascii="Times New Roman" w:cs="Times New Roman" w:eastAsia="Times New Roman" w:hAnsi="Times New Roman"/>
          <w:sz w:val="15"/>
          <w:szCs w:val="15"/>
          <w:b w:val="1"/>
          <w:bCs w:val="1"/>
          <w:color w:val="auto"/>
        </w:rPr>
        <w:t>Subsidiaries</w:t>
      </w:r>
      <w:r>
        <w:rPr>
          <w:rFonts w:ascii="Times New Roman" w:cs="Times New Roman" w:eastAsia="Times New Roman" w:hAnsi="Times New Roman"/>
          <w:sz w:val="15"/>
          <w:szCs w:val="15"/>
          <w:color w:val="auto"/>
        </w:rPr>
        <w:t>”)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spacing w:after="0" w:line="153"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has appealed these judgments.</w:t>
      </w:r>
    </w:p>
    <w:p>
      <w:pPr>
        <w:spacing w:after="0" w:line="155"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 The Company continues pursuing global settlement negotiations with Siemens.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86" w:name="page87"/>
    <w:bookmarkEnd w:id="86"/>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Company recognized $6.9 million as a legal settlement loss related to this litigation as of December 31, 2023. In the thirteen week period ended September 28, 2025, the Company recorded an additional $1.1 million of expense within discontinued operations in its unaudited condensed consolidated statement of operations and comprehensive (loss) to bring the liability for legal settlement with Siemens to $8.0 million as of September 28, 2025. This liability is included within accrued expenses and other current liabilities in the Company’s unaudited condensed consolidated balance sheets.</w:t>
      </w:r>
    </w:p>
    <w:p>
      <w:pPr>
        <w:spacing w:after="0" w:line="151"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Company recorded expense of $2.0 million within discontinued operations in its unaudited condensed consolidated statement of operations and comprehensive (loss) in the thirty-nine week period ended September 29, 2024, for attorneys’ fees, expenses, and pre-judgment interest, and this liability was also recorded within accrued expenses and other current liabilities in the Company’s unaudited condensed consolidated balance sheets as of September 28, 2025, and December 29, 2024.</w:t>
      </w:r>
    </w:p>
    <w:p>
      <w:pPr>
        <w:spacing w:after="0" w:line="142"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On December 4, 2025, the Company entered into a Settlement Agreement (“</w:t>
      </w:r>
      <w:r>
        <w:rPr>
          <w:rFonts w:ascii="Times New Roman" w:cs="Times New Roman" w:eastAsia="Times New Roman" w:hAnsi="Times New Roman"/>
          <w:sz w:val="15"/>
          <w:szCs w:val="15"/>
          <w:b w:val="1"/>
          <w:bCs w:val="1"/>
          <w:color w:val="auto"/>
        </w:rPr>
        <w:t>Settlement Agreement</w:t>
      </w:r>
      <w:r>
        <w:rPr>
          <w:rFonts w:ascii="Times New Roman" w:cs="Times New Roman" w:eastAsia="Times New Roman" w:hAnsi="Times New Roman"/>
          <w:sz w:val="15"/>
          <w:szCs w:val="15"/>
          <w:color w:val="auto"/>
        </w:rPr>
        <w:t>”) with Siemens to resolve a case in the Court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of Company collateral. This security interest is reduced on a one-to-one basis as the settlement payments are made.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 Corporate Information</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were originally known as Freedom Acquisition I Corp. We are engaged in solar system sales and associated commerce. On July 18, 2023, SunPower,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 Effective October 17, 2025, we changed our name from “Complete Solaria, Inc.” to “SunPower Inc.”</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principal executive offices are located at 45700 Northport Loop E, Fremont, CA 94538, and our telephone number is (510) 270-2507.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Access to Company Information</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The Company files or furnishes periodic reports and amendments thereto, including its Annual Reports on Form 10-K, its Quarterly Reports on Form 10-Q and Current Reports on Form 8-K, proxy statements and other information with the SEC. In addition, the SEC maintains a website (www.sec.gov) that contains reports, proxy and information statements, and other information regarding issuers that file electronically. SunPower’s internet address is https://sunpower.com. The Company makes available, free of charge, its Annual Report on Form 10-K, quarterly reports on Form 10-Q, current reports on Form 8-K, and all amendments to those reports as soon as reasonably practicable after such reports have been filed with or furnished to the SEC through its internet website. Please note that SunPower’s Internet website address is provided as an inactive textual reference only.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87" w:name="page88"/>
    <w:bookmarkEnd w:id="87"/>
    <w:tbl>
      <w:tblPr>
        <w:tblLayout w:type="fixed"/>
        <w:tblInd w:w="9"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MANAGEMENT</w:t>
            </w:r>
          </w:p>
        </w:tc>
      </w:tr>
      <w:tr>
        <w:trPr>
          <w:trHeight w:val="364"/>
        </w:trPr>
        <w:tc>
          <w:tcPr>
            <w:tcW w:w="496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auto"/>
              </w:rPr>
              <w:t>Our directors and executive officers and their ages as of January 30, 2025:</w:t>
            </w:r>
          </w:p>
        </w:tc>
        <w:tc>
          <w:tcPr>
            <w:tcW w:w="10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366"/>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Age</w:t>
            </w:r>
          </w:p>
        </w:tc>
        <w:tc>
          <w:tcPr>
            <w:tcW w:w="100" w:type="dxa"/>
            <w:vAlign w:val="bottom"/>
          </w:tcPr>
          <w:p>
            <w:pPr>
              <w:spacing w:after="0"/>
              <w:rPr>
                <w:sz w:val="24"/>
                <w:szCs w:val="24"/>
                <w:color w:val="auto"/>
              </w:rPr>
            </w:pPr>
          </w:p>
        </w:tc>
        <w:tc>
          <w:tcPr>
            <w:tcW w:w="6200" w:type="dxa"/>
            <w:vAlign w:val="bottom"/>
          </w:tcPr>
          <w:p>
            <w:pPr>
              <w:ind w:left="2840"/>
              <w:spacing w:after="0"/>
              <w:rPr>
                <w:sz w:val="20"/>
                <w:szCs w:val="20"/>
                <w:color w:val="auto"/>
              </w:rPr>
            </w:pPr>
            <w:r>
              <w:rPr>
                <w:rFonts w:ascii="Times New Roman" w:cs="Times New Roman" w:eastAsia="Times New Roman" w:hAnsi="Times New Roman"/>
                <w:sz w:val="15"/>
                <w:szCs w:val="15"/>
                <w:b w:val="1"/>
                <w:bCs w:val="1"/>
                <w:color w:val="auto"/>
              </w:rPr>
              <w:t>Position</w:t>
            </w:r>
          </w:p>
        </w:tc>
      </w:tr>
      <w:tr>
        <w:trPr>
          <w:trHeight w:val="182"/>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Thurman J. Rodgers</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Borders>
              <w:top w:val="single" w:sz="8" w:color="CCEEFF"/>
            </w:tcBorders>
            <w:shd w:val="clear" w:color="auto" w:fill="CCEEFF"/>
          </w:tcPr>
          <w:p>
            <w:pPr>
              <w:spacing w:after="0"/>
              <w:rPr>
                <w:sz w:val="15"/>
                <w:szCs w:val="15"/>
                <w:color w:val="auto"/>
              </w:rPr>
            </w:pPr>
          </w:p>
        </w:tc>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Executive Officer and Executive Chairman</w:t>
            </w:r>
          </w:p>
        </w:tc>
      </w:tr>
      <w:tr>
        <w:trPr>
          <w:trHeight w:val="182"/>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Jeanne Nguyen</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Pr>
          <w:p>
            <w:pPr>
              <w:spacing w:after="0"/>
              <w:rPr>
                <w:sz w:val="15"/>
                <w:szCs w:val="15"/>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5"/>
                <w:szCs w:val="15"/>
                <w:color w:val="auto"/>
              </w:rPr>
              <w:t>Interim Chief Financial Officer</w:t>
            </w:r>
          </w:p>
        </w:tc>
      </w:tr>
      <w:tr>
        <w:trPr>
          <w:trHeight w:val="182"/>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Foley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shd w:val="clear" w:color="auto" w:fill="CCEEFF"/>
          </w:tcPr>
          <w:p>
            <w:pPr>
              <w:spacing w:after="0"/>
              <w:rPr>
                <w:sz w:val="15"/>
                <w:szCs w:val="15"/>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Former Chief Financial Officer</w:t>
            </w:r>
          </w:p>
        </w:tc>
      </w:tr>
      <w:tr>
        <w:trPr>
          <w:trHeight w:val="182"/>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Antonio R. Alvarez</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tcPr>
          <w:p>
            <w:pPr>
              <w:spacing w:after="0"/>
              <w:rPr>
                <w:sz w:val="15"/>
                <w:szCs w:val="15"/>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82"/>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William J. Anderson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shd w:val="clear" w:color="auto" w:fill="CCEEFF"/>
          </w:tcPr>
          <w:p>
            <w:pPr>
              <w:spacing w:after="0"/>
              <w:rPr>
                <w:sz w:val="15"/>
                <w:szCs w:val="15"/>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216"/>
        </w:trPr>
        <w:tc>
          <w:tcPr>
            <w:tcW w:w="38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Adam Gishen</w:t>
            </w:r>
            <w:r>
              <w:rPr>
                <w:rFonts w:ascii="Times New Roman" w:cs="Times New Roman" w:eastAsia="Times New Roman" w:hAnsi="Times New Roman"/>
                <w:sz w:val="25"/>
                <w:szCs w:val="25"/>
                <w:color w:val="auto"/>
                <w:vertAlign w:val="superscript"/>
              </w:rPr>
              <w:t>(1)(3)</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216"/>
        </w:trPr>
        <w:tc>
          <w:tcPr>
            <w:tcW w:w="3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Jamie Haenggi</w:t>
            </w:r>
            <w:r>
              <w:rPr>
                <w:rFonts w:ascii="Times New Roman" w:cs="Times New Roman" w:eastAsia="Times New Roman" w:hAnsi="Times New Roman"/>
                <w:sz w:val="25"/>
                <w:szCs w:val="25"/>
                <w:color w:val="auto"/>
                <w:vertAlign w:val="superscript"/>
              </w:rPr>
              <w:t>(2)(3)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82"/>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Chris Lundell</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tcPr>
          <w:p>
            <w:pPr>
              <w:spacing w:after="0"/>
              <w:rPr>
                <w:sz w:val="15"/>
                <w:szCs w:val="15"/>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216"/>
        </w:trPr>
        <w:tc>
          <w:tcPr>
            <w:tcW w:w="3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Lothar Maier</w:t>
            </w:r>
            <w:r>
              <w:rPr>
                <w:rFonts w:ascii="Times New Roman" w:cs="Times New Roman" w:eastAsia="Times New Roman" w:hAnsi="Times New Roman"/>
                <w:sz w:val="25"/>
                <w:szCs w:val="25"/>
                <w:color w:val="auto"/>
                <w:vertAlign w:val="superscript"/>
              </w:rPr>
              <w:t>(1)(2)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82"/>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 Daniel McCranie</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tcPr>
          <w:p>
            <w:pPr>
              <w:spacing w:after="0"/>
              <w:rPr>
                <w:sz w:val="15"/>
                <w:szCs w:val="15"/>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216"/>
        </w:trPr>
        <w:tc>
          <w:tcPr>
            <w:tcW w:w="3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Ronald Pasek</w:t>
            </w:r>
            <w:r>
              <w:rPr>
                <w:rFonts w:ascii="Times New Roman" w:cs="Times New Roman" w:eastAsia="Times New Roman" w:hAnsi="Times New Roman"/>
                <w:sz w:val="25"/>
                <w:szCs w:val="25"/>
                <w:color w:val="auto"/>
                <w:vertAlign w:val="superscript"/>
              </w:rPr>
              <w:t>(1)(3)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216"/>
        </w:trPr>
        <w:tc>
          <w:tcPr>
            <w:tcW w:w="38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Tidjane Thiam</w:t>
            </w:r>
            <w:r>
              <w:rPr>
                <w:rFonts w:ascii="Times New Roman" w:cs="Times New Roman" w:eastAsia="Times New Roman" w:hAnsi="Times New Roman"/>
                <w:sz w:val="25"/>
                <w:szCs w:val="25"/>
                <w:color w:val="auto"/>
                <w:vertAlign w:val="superscript"/>
              </w:rPr>
              <w:t>(1)(3)</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216"/>
        </w:trPr>
        <w:tc>
          <w:tcPr>
            <w:tcW w:w="3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Devin Whatley</w:t>
            </w:r>
            <w:r>
              <w:rPr>
                <w:rFonts w:ascii="Times New Roman" w:cs="Times New Roman" w:eastAsia="Times New Roman" w:hAnsi="Times New Roman"/>
                <w:sz w:val="25"/>
                <w:szCs w:val="25"/>
                <w:color w:val="auto"/>
                <w:vertAlign w:val="superscript"/>
              </w:rPr>
              <w:t>(2)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bl>
    <w:p>
      <w:pPr>
        <w:spacing w:after="0" w:line="167" w:lineRule="exact"/>
        <w:rPr>
          <w:sz w:val="20"/>
          <w:szCs w:val="20"/>
          <w:color w:val="auto"/>
        </w:rPr>
      </w:pPr>
    </w:p>
    <w:p>
      <w:pPr>
        <w:ind w:left="269" w:hanging="269"/>
        <w:spacing w:after="0"/>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Audit Committee.</w:t>
      </w:r>
    </w:p>
    <w:p>
      <w:pPr>
        <w:spacing w:after="0" w:line="191"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Compensation Committee.</w:t>
      </w:r>
    </w:p>
    <w:p>
      <w:pPr>
        <w:spacing w:after="0" w:line="191"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Nominating and Corporate Governance Committee.</w:t>
      </w:r>
    </w:p>
    <w:p>
      <w:pPr>
        <w:spacing w:after="0" w:line="1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Executive Officers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Thurman J. Rodgers</w:t>
      </w:r>
    </w:p>
    <w:p>
      <w:pPr>
        <w:spacing w:after="0" w:line="196" w:lineRule="exact"/>
        <w:rPr>
          <w:sz w:val="20"/>
          <w:szCs w:val="20"/>
          <w:color w:val="auto"/>
        </w:rPr>
      </w:pPr>
    </w:p>
    <w:p>
      <w:pPr>
        <w:jc w:val="both"/>
        <w:ind w:left="9" w:firstLine="273"/>
        <w:spacing w:after="0" w:line="260" w:lineRule="auto"/>
        <w:rPr>
          <w:sz w:val="20"/>
          <w:szCs w:val="20"/>
          <w:color w:val="auto"/>
        </w:rPr>
      </w:pPr>
      <w:r>
        <w:rPr>
          <w:rFonts w:ascii="Times New Roman" w:cs="Times New Roman" w:eastAsia="Times New Roman" w:hAnsi="Times New Roman"/>
          <w:sz w:val="15"/>
          <w:szCs w:val="15"/>
          <w:color w:val="auto"/>
        </w:rPr>
        <w:t>Thurman J. (T.J.) Rodgers has served as the Chief Executive Officer of SunPower since April 2024 and as a member of the SunPower Board of Directors since November 2022 and as Executive Chairman since June 2023. Mr. Rodgers founded Cypress Semiconductor in 1982 and served as Cypress’ Chief Executive Officer from 1982 to 2016. Mr. Rodgers currently serves on the boards of other energy-related companies: including Enovix and Enphase Energy Inc. (energy and storage technologies). From 2004 to 2012, he served as a member of Dartmouth’s 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spacing w:after="0" w:line="14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Jeanne Nguyen</w:t>
      </w:r>
    </w:p>
    <w:p>
      <w:pPr>
        <w:spacing w:after="0" w:line="196" w:lineRule="exact"/>
        <w:rPr>
          <w:sz w:val="20"/>
          <w:szCs w:val="20"/>
          <w:color w:val="auto"/>
        </w:rPr>
      </w:pPr>
    </w:p>
    <w:p>
      <w:pPr>
        <w:jc w:val="both"/>
        <w:ind w:left="9" w:firstLine="273"/>
        <w:spacing w:after="0" w:line="261" w:lineRule="auto"/>
        <w:rPr>
          <w:sz w:val="20"/>
          <w:szCs w:val="20"/>
          <w:color w:val="auto"/>
        </w:rPr>
      </w:pPr>
      <w:r>
        <w:rPr>
          <w:rFonts w:ascii="Times New Roman" w:cs="Times New Roman" w:eastAsia="Times New Roman" w:hAnsi="Times New Roman"/>
          <w:sz w:val="15"/>
          <w:szCs w:val="15"/>
          <w:color w:val="auto"/>
        </w:rPr>
        <w:t>Jeanne Nguyen has served as the Interim Chief Financial Officer of SunPower since July 22, 2025. Prior to that, Ms. Nguyen served as SunPower’s corporate controller following our acquisition of the SunPower Businesses in September 2024, and she served as the corporate controller of SunPower corporation from December 2023 until our acquisition of the SunPower Businesses. Prior to that, Ms. Nguyen served as Corporate Controller of Convoy Inc. from September 2016 until October 2023. Prior to joining Convoy Inc., Ms. Nguyen was as senior manager in the Assurance services practice at PricewaterhouseCoopers from July 2011 to March 2016. Ms. Nguyen is a certified public accountant and holds a BA in Business Administration from the University of Washington.</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Daniel Foley</w:t>
      </w:r>
    </w:p>
    <w:p>
      <w:pPr>
        <w:spacing w:after="0" w:line="196" w:lineRule="exact"/>
        <w:rPr>
          <w:sz w:val="20"/>
          <w:szCs w:val="20"/>
          <w:color w:val="auto"/>
        </w:rPr>
      </w:pPr>
    </w:p>
    <w:p>
      <w:pPr>
        <w:jc w:val="both"/>
        <w:ind w:left="9" w:firstLine="273"/>
        <w:spacing w:after="0" w:line="259" w:lineRule="auto"/>
        <w:rPr>
          <w:sz w:val="20"/>
          <w:szCs w:val="20"/>
          <w:color w:val="auto"/>
        </w:rPr>
      </w:pPr>
      <w:r>
        <w:rPr>
          <w:rFonts w:ascii="Times New Roman" w:cs="Times New Roman" w:eastAsia="Times New Roman" w:hAnsi="Times New Roman"/>
          <w:sz w:val="15"/>
          <w:szCs w:val="15"/>
          <w:color w:val="auto"/>
        </w:rPr>
        <w:t>Daniel Foley served as the Chief Financial Officer of SunPower from June 2024 until his resignation on July 22, 2025. From June 2021 to December 2023, Mr. Foley served as the Chief Financial Officer for Common Citizen. From April 2021 to June 2021, Mr. Foley served as the Senior Vice President and Treasurer for TerrAscend. From January 2018 to April 2021, Mr. Foley served as the Vice President of Corporate Finance, Treasury &amp; Investor Relations at Curaleaf. Prior to that, Mr. Foley held senior positions in Corporate Finance and Investor Relations for Station Casinos and MGM MIRAGE. Previous experience includes working as an Investment Analyst at Wall Street Associates and as Vice President of Finance at New Cotai Holdings. Foley began his career as a Senior Associate in Gaming, Lodging &amp; Leisure Equity Research at Bear Stearns. Mr. Foley brings over 25 years of capital markets and finance experience to SunPower, as well as a track record of driving strong financial results, instilling financial and operational discipline, and demonstrating inspirational leadership. Mr. Foley holds an M.B.A. from the University of Southern California and a Bachelor of Science in economics from the University of Utah.</w:t>
      </w:r>
    </w:p>
    <w:p>
      <w:pPr>
        <w:spacing w:after="0" w:line="33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b w:val="1"/>
          <w:bCs w:val="1"/>
          <w:i w:val="1"/>
          <w:iCs w:val="1"/>
          <w:color w:val="auto"/>
        </w:rPr>
        <w:t>Non-Employee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Antonio R. Alvarez</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Antonio R. Alvarez has served as a member of the SunPower Board of Directors since November 2022. Mr. Alvarez served as the President of SunPower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serves on the board of directors of FTC Solar, Inc. and previously served as a board member of SunEdison, SunEdison Semiconductor, ChipMOS Technology, and Validity Sensors. Mr. Alvarez holds a B.S. and an M.S. in Electrical Engineering from the Georgia Institute of Technology.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William J. Anderson</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William J. Anderson served as the Chief Executive Officer of SunPower from November 2022 to December 2023. From 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Adam Gishen</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Mr. Gishen served as FACT’s Chief Executive Officer from February until the Business Combination in July 2023, and served as 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Jamie Haenggi</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Jamie Haenggi has served as a member of the SunPower Board of Directors since May 2025. Ms. Haenggi has served as the President of ADT Solar, a division of ADT Security Services, a smart-home security provider, since December 2022. She previously served as the Executive Vice President, COO at ADT Solar, overseeing sales, marketing contract center, field and business operations, HR, IT and administration. Prior to that, Ms. Haenggi was the Executive Vice President, Chief Customer Officer at ADT Security Services from July 2018 to March 2022. She joined ADT in 2016 as Senior Vice President, Chief Sales and Marketing Officer and had previously been with the company from 1998 to 2006 with progressive senior leadership roles in commercial sales and marketing, and domestic and international sales and marketing. From 2010 to 2016, Ms. Haenggi was the Chief Customer Experience Officer at Protection 1, Inc., a home security systems company. Previously, she was at Vonage, Inc. from 2006 to 2010 as the Chief Marketing Officer and Vice President of Customer Experience. Earlier in her career, Ms. Haenggi held various sales and marketing roles at Holmes Protection Group and National Guardian Corporation. Ms. Haenggi earned a bachelor of arts degree in international relations and Japanese from the University of Minnesota and received an honorary doctorate from Taylor University.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Chris Lundell</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Christopher Lundell has served as a member of the SunPower Board of Directors since November 2023. Mr. Lundell served as the Chief Executive Officer of SunPower from December 2023 to April 2024. Mr. Lundell is the Founder of CMO Grow, a marketing consultancy firm. Prior to that, he was the CMO at Vivint Solar, the President of the Americas at NEXThink, and CMO and COO at Domo. He holds an M.B.A. from Brigham Young University.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i w:val="1"/>
          <w:iCs w:val="1"/>
          <w:color w:val="auto"/>
        </w:rPr>
        <w:t>Lothar Maier</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Lothar Maier has served as a member of the SunPower Board of Directors since November 2024. Mr. Maier served as director of FormFactor Inc, from November 2006 to May 2024. Mr. Maier served as the Chief Executive Officer and a member of the Board of Directors of Linear Technology Corporation, a supplier of high performance analog integrated circuits, from January 2005 to March 2017. Prior to that, he served as Linear Technology’s Chief Operating Officer from April 1999 to December 2004. Before joining Linear Technology, Mr. Maier held various management positions at Cypress Semiconductor Corporation, a provider of high-performance, mixed-signal, programmable solutions, from July 1983 to March 1999, including as Senior Vice President and Executive Vice President of Worldwide Operations. Mr. Maier holds a B.S. in chemical engineering from the University of California at Berkeley.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J. Daniel McCranie.</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J. Daniel McCranie has served as a member of the SunPower Board of Directors since January 2025. After his early career in semiconductor sales, Mr. McCranie became the executive vice president of sales &amp; marketing for Harris Corporation, a technology company, and the chief executive officer of SEEQ Technology, a semiconductor company, and Virage Logic Corporation, a semiconductor company. From 1994 to 2001, he joined Cypress Semiconductor Corporation, a semiconductor company, as executive vice president of sales &amp; marketing. Mr. McCranie currently serves on the board of directors of Enovix Corporation since August 2025, a position he also held from December 2021 until January 2023. He has held 10 board positions in the semiconductor and technology, including having served on the board of Cypress Semiconductor Corporation, from June 2017 to May 2019, ON Semiconductor Corporation, a semiconductor company, from 2001 to 2018, and from December 2021 until January 2023. From 2012 to 2017, he served on the board of Mentor Graphics, an electric design automation company. He holds a B.S. in Electrical Engineering from Virginia Polytechnic Institute.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Ronald Pasek</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Ronald Pasek has served as a member of the SunPower Board of Directors since February 2023. Since 2015, Mr. Pasek has served as the chairman of the board of directors of Spectra7 Microsystems Inc., a Canadian publicly-traded consumer connectivity company.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Tidjane Thiam</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Tidjane Thiam served as a member of the board of directors of FACT and as Executive Chairman of FACT since inception until the Business Combination in July 2023. In 2021, Mr. Thiam was appointed Chairman of Rwanda Finance Limited. He also serves as a Director and Chair of the Audit Committee of Kering S.A., the French luxury group. Mr. Thiam is also a Special Envoy on Covid 19 for the African Union. From 2015 to 2020, Mr. Thiam was Chief Executive Officer of Credit Suisse Group AG. From 2014 to 2019, Mr. Thiam was a Director of 21st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Devin Whatley</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Devin Whatley has served as a member of the SunPower Board since November 2022. Since 2010, Mr. Whatley has served as 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b w:val="1"/>
          <w:bCs w:val="1"/>
          <w:color w:val="auto"/>
        </w:rPr>
        <w:t>Role of Board in Risk Oversight</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One of the key functions of the SunPower Board is the informed oversight of SunPower’s risk management process. The SunPower Board does not anticipate having a standing risk management committee, but rather anticipates administering this oversight function directly through the SunPower Board as a whole, as well as through various standing committees of the SunPower Board that address risks inherent in their respective areas of oversight. In particular, the SunPower Board is responsible for monitoring and assessing strategic risk exposure and SunPower’s audit committee is responsible for considering and discussing SunPower’s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SunPower’s compensation committee assesses and monitors whether SunPower’s compensation plans, policies and programs comply with applicable legal and regulatory requirements.</w:t>
      </w:r>
    </w:p>
    <w:p>
      <w:pPr>
        <w:spacing w:after="0" w:line="154"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The SunPower Board also addresses our cybersecurity risk management as part of its general oversight function. Our Audit Committee is responsible for overseeing our cybersecurity risk management processes, including oversight of mitigation of risks from cybersecurity threats.</w:t>
      </w:r>
    </w:p>
    <w:p>
      <w:pPr>
        <w:spacing w:after="0" w:line="134"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Vice President of Information Technology is responsible for hiring appropriate personnel, helping to integrate cybersecurity risk considerations into the Company’s overall risk management strategy, and communicating key priorities to relevant personnel. Our Chief Financial Officer is responsible for approving budgets, helping prepare for cybersecurity incidents, approving cybersecurity processes, and reviewing security assessments and other security-related reports.</w:t>
      </w:r>
    </w:p>
    <w:p>
      <w:pPr>
        <w:spacing w:after="0" w:line="14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cybersecurity incident response policy is being designed to escalate certain cybersecurity incidents to members of management depending on the circumstances. Our Chief Executive Officer and Chief Information officer work to help the Company mitigate and remediate cybersecurity incidents of which they are notified. In addition, the Company’s incident response policy will include reporting to the audit committee of the SunPower Board for certain cybersecurity incidents.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Committees</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The SunPower Board has formed an audit committee, a compensation committee, and a nominating and corporate governance committee. The SunPower Board may from time to time establish other committees.</w:t>
      </w:r>
    </w:p>
    <w:p>
      <w:pPr>
        <w:spacing w:after="0" w:line="134"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SunPower’s Chief Executive Officer and other executive officers regularly report to the non-executive directors and each standing committee to ensure effective and efficient oversight of its activities and to assist in proper risk management and the ongoing evaluation of management controls.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audit committee consists of Ronald Pasek, who serves as the chairperson, Adam Gishen, Lothar Maier, and Tidjane Thiam. Each member of the audit committee qualifies as an independent director under the Nasdaq corporate governance standards and the independence requirements of Rule 10A-3 under the Exchange Act. Ronald Pasek qualifies as an “audit committee financial expert” as such term is defined in Item 407(d)(5) of Regulation S-K and possesses the requisite financial expertise required under the applicable requirements of Nasdaq.</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91" w:name="page92"/>
    <w:bookmarkEnd w:id="91"/>
    <w:p>
      <w:pPr>
        <w:ind w:left="260"/>
        <w:spacing w:after="0"/>
        <w:rPr>
          <w:sz w:val="20"/>
          <w:szCs w:val="20"/>
          <w:color w:val="auto"/>
        </w:rPr>
      </w:pPr>
      <w:r>
        <w:rPr>
          <w:rFonts w:ascii="Times New Roman" w:cs="Times New Roman" w:eastAsia="Times New Roman" w:hAnsi="Times New Roman"/>
          <w:sz w:val="15"/>
          <w:szCs w:val="15"/>
          <w:color w:val="auto"/>
        </w:rPr>
        <w:t>The responsibilities of the audit committee include, among other things:</w:t>
      </w:r>
    </w:p>
    <w:p>
      <w:pPr>
        <w:spacing w:after="0" w:line="192" w:lineRule="exact"/>
        <w:rPr>
          <w:sz w:val="20"/>
          <w:szCs w:val="20"/>
          <w:color w:val="auto"/>
        </w:rPr>
      </w:pPr>
    </w:p>
    <w:p>
      <w:pPr>
        <w:ind w:left="540" w:hanging="276"/>
        <w:spacing w:after="0"/>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helping the board of directors oversee corporate accounting and financial reporting processes;</w:t>
      </w:r>
    </w:p>
    <w:p>
      <w:pPr>
        <w:spacing w:after="0" w:line="191" w:lineRule="exact"/>
        <w:rPr>
          <w:rFonts w:ascii="Times New Roman" w:cs="Times New Roman" w:eastAsia="Times New Roman" w:hAnsi="Times New Roman"/>
          <w:sz w:val="15"/>
          <w:szCs w:val="15"/>
          <w:color w:val="auto"/>
        </w:rPr>
      </w:pPr>
    </w:p>
    <w:p>
      <w:pPr>
        <w:ind w:left="540" w:hanging="276"/>
        <w:spacing w:after="0" w:line="263" w:lineRule="auto"/>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managing the selection, engagement and qualifications of a qualified firm to serve as the independent registered public accounting firm to audit SunPower’s financial statements;</w:t>
      </w:r>
    </w:p>
    <w:p>
      <w:pPr>
        <w:spacing w:after="0" w:line="357"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helping to ensure the independence and performance of the independent registered public accounting firm;</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discussing the scope and results of the audit with the independent registered public accounting firm, and reviewing, with management and the independent accountants, SunPower’s interim and year-end operating results;</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procedures for employees to submit concerns anonymously about questionable accounting or audit matters;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policies on financial risk assessment and financial risk management;</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related party transactions;</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and reviewing a report by the independent registered public accounting firm at least annually, that describes SunPower’s internal quality-control procedures, any material issues with such procedures, and any steps taken to deal with such issues when required by applicable law; and</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(or, as permitted, pre-approving) all audit and all permissible non-audit service to be performed by the independent registered public accounting firm.</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SunPower Board adopted a written charter of the audit committee which is available on SunPower’s website.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The Compensation Committee consists of Devin Whatley, who serves as the chairperson, Jamie Haenggi and Lothar Maier. Each current committee member and a former member of the Compensation Committee - Antonio R. Alvarez - is a “non-employee director” as defined in Rule 16b-3 promulgated under the Exchange Act. Mr. Alvarez resigned from the Compensation Committee during April 2025. While Mr. Alvarez is not an independent director, Section 5605(d)(2)(B) of the Nasdaq listing standards nonetheless permitted the appointment of a non-independent director to the compensation committee if the board of directors, under exceptional and limited circumstances, determines that the non-independent director’s membership is required by the best interests of the Company and its stockholders. Based on Mr. Alvarez’s extensive experience with SunPower and familiarity with the industry, the SunPower Board previously concluded that Mr. Alvarez’s appointment to, and membership on, the Compensation Committee prior to Mr. Alvarez’s resignation from the Compensation Committee was in the best interests of SunPower and its stockholders. Each current member of the compensation committee is an independent director.</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responsibilities of the compensation committee are:</w:t>
      </w:r>
    </w:p>
    <w:p>
      <w:pPr>
        <w:spacing w:after="0" w:line="192" w:lineRule="exact"/>
        <w:rPr>
          <w:sz w:val="20"/>
          <w:szCs w:val="20"/>
          <w:color w:val="auto"/>
        </w:rPr>
      </w:pPr>
    </w:p>
    <w:p>
      <w:pPr>
        <w:ind w:left="540" w:hanging="276"/>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or recommending that the SunPower Board approve, the compensation of SunPower’s executive officers and senior management;</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recommending to the SunPower Board the compensation of SunPower’s directors;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or recommending that the SunPower Board approve, the terms of compensatory arrangements with SunPower’s executive;</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administering SunPower’s stock and equity incentive plans;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92" w:name="page93"/>
    <w:bookmarkEnd w:id="92"/>
    <w:p>
      <w:pPr>
        <w:ind w:left="540" w:hanging="276"/>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selecting independent compensation consultants and assessing whether there are any conflicts of interest with any of the committee’s compensation advisors;</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approving, amending and terminating, or recommending that the SunPower Board approve, amend or terminate, incentive compensation and equity plans, severance agreements, change-of-control protections and any other compensatory arrangements for SunPower’s executive officers and other senior management, as appropriate;</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establishing general policies relating to compensation and benefits of SunPower’s employees;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SunPower’s overall compensation.</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SunPower Board adopted a written charter for the compensation committee which is available on SunPower’s website.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196" w:lineRule="exact"/>
        <w:rPr>
          <w:sz w:val="20"/>
          <w:szCs w:val="20"/>
          <w:color w:val="auto"/>
        </w:rPr>
      </w:pPr>
    </w:p>
    <w:p>
      <w:pPr>
        <w:ind w:firstLine="273"/>
        <w:spacing w:after="0" w:line="287" w:lineRule="auto"/>
        <w:rPr>
          <w:sz w:val="20"/>
          <w:szCs w:val="20"/>
          <w:color w:val="auto"/>
        </w:rPr>
      </w:pPr>
      <w:r>
        <w:rPr>
          <w:rFonts w:ascii="Times New Roman" w:cs="Times New Roman" w:eastAsia="Times New Roman" w:hAnsi="Times New Roman"/>
          <w:sz w:val="15"/>
          <w:szCs w:val="15"/>
          <w:color w:val="auto"/>
        </w:rPr>
        <w:t>The nominating and corporate governance committee consists of Jamie Haenggi, who serves as the chairperson, and Ronald Pasek and Tidjane Thiam. The responsibilities of the nominating and corporate governance committee are:</w:t>
      </w:r>
    </w:p>
    <w:p>
      <w:pPr>
        <w:spacing w:after="0" w:line="134" w:lineRule="exact"/>
        <w:rPr>
          <w:sz w:val="20"/>
          <w:szCs w:val="20"/>
          <w:color w:val="auto"/>
        </w:rPr>
      </w:pPr>
    </w:p>
    <w:p>
      <w:pPr>
        <w:ind w:left="540" w:hanging="276"/>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evaluating and selecting, or recommending that the SunPower Board approve, nominees for election to the SunPower Board;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evaluating the performance of the SunPower Board and of individual directors;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evaluating the adequacy of SunPower’s corporate governance practices and reporting;</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management succession plans;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and making recommendations to the SunPower Board regarding corporate governance guidelines and matters.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SunPower Board has adopted a written charter of the Nominating and Corporate Governance Committee which is available on SunPower’s website.</w:t>
      </w:r>
    </w:p>
    <w:p>
      <w:pPr>
        <w:spacing w:after="0" w:line="192"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The Nominating and Corporate Governance Committee evaluates all candidates for director thoroughly, whether they are recommended by the management team, stockholders or third parties, in accordance with the needs of the SunPower Board and the qualifications of the candidate.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Code of Ethical Business Conduct</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SunPower has adopted a code of ethical business conduct and ethics that applies to all of its directors, officers and employees, including its principal executive officer, principal financial officer and principal accounting officer, which was adopted by SunPower at the closing of the Business Combination and is available on SunPower’s website (https://us.sunpower.com). SunPower’s code of business conduct and ethics is a “code of ethics,” as defined in Item 406(b) of Regulation S-K. Please note that SunPower’s internet website address is provided as an inactive textual reference only. SunPower will make any legally required disclosures regarding amendments to, or waivers of, provisions of its code of business conduct and ethics on its internet website.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Insider Participation</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No member of the Compensation Committee was at any time during 2025, or at any other time, one of SunPower’s officers or employees, except Mr. Alvarez who served as SunPower’s president until March 2023. None of SunPower’s executive officers has served as a director or member of a compensation committee (or other committee serving an equivalent function) of any entity, one of whose executive officers served as a director of the SunPower Board or member of the Compensation Committee.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Independence of the Board of Directors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committee, compensation committee, and nominating and corporate governance committee be “independent.”</w:t>
      </w:r>
    </w:p>
    <w:p>
      <w:pPr>
        <w:spacing w:after="0" w:line="14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The SunPower Board consults with our counsel to ensure that the SunPower Board’s determinations are consistent with relevant securities and other laws and regulations regarding the definition of “independent,” including those set forth in pertinent listing standards of Nasdaq, as in effect from time to time.</w:t>
      </w:r>
    </w:p>
    <w:p>
      <w:pPr>
        <w:spacing w:after="0" w:line="134"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SunPower Board has reviewed the independence of each director. Based on information provided by each director concerning her or his background, employment and affiliations, the SunPower Board affirmatively determined that none of our incumbent directors - other than Messrs. Rodgers, Alvarez, Anderson, McCranie and Lundell - has any relationships that would interfere with the exercise of independent judgment in carrying out the responsibilities of a director and that each of Messrs. Gishen, Maier, Pasek, Thiam and Whatley and Ms. Haenggi, representing a majority of the SunPower Board, is “independent” as that term is defined under the Nasdaq listing standards.</w:t>
      </w:r>
    </w:p>
    <w:p>
      <w:pPr>
        <w:spacing w:after="0" w:line="151"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In making these determinations, the SunPower Board considered the current and prior relationships that each non-employee director nominee has with SunPower and all other facts and circumstances the SunPower Board deems relevant in determining their independence, including the beneficial ownership of our capital stock by each non-employee director and the transactions described in the section titled “</w:t>
      </w:r>
      <w:r>
        <w:rPr>
          <w:rFonts w:ascii="Times New Roman" w:cs="Times New Roman" w:eastAsia="Times New Roman" w:hAnsi="Times New Roman"/>
          <w:sz w:val="15"/>
          <w:szCs w:val="15"/>
          <w:i w:val="1"/>
          <w:iCs w:val="1"/>
          <w:color w:val="auto"/>
        </w:rPr>
        <w:t>Certain Relationships and Related Party Transactions</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There are no family relationships among any of our directors or executive officers.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94" w:name="page95"/>
    <w:bookmarkEnd w:id="94"/>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96" w:lineRule="exact"/>
        <w:rPr>
          <w:sz w:val="20"/>
          <w:szCs w:val="20"/>
          <w:color w:val="auto"/>
        </w:rPr>
      </w:pPr>
    </w:p>
    <w:p>
      <w:pPr>
        <w:jc w:val="both"/>
        <w:ind w:left="9" w:firstLine="273"/>
        <w:spacing w:after="0" w:line="260" w:lineRule="auto"/>
        <w:rPr>
          <w:sz w:val="20"/>
          <w:szCs w:val="20"/>
          <w:color w:val="auto"/>
        </w:rPr>
      </w:pPr>
      <w:r>
        <w:rPr>
          <w:rFonts w:ascii="Times New Roman" w:cs="Times New Roman" w:eastAsia="Times New Roman" w:hAnsi="Times New Roman"/>
          <w:sz w:val="15"/>
          <w:szCs w:val="15"/>
          <w:color w:val="auto"/>
        </w:rPr>
        <w:t>SunPower has opted to comply with the executive compensation disclosure rules applicable to emerging growth companies. The scaled down disclosure rules are those applicable to “smaller reporting companies,” as such term is defined in the rules promulgated under the Securities Act, which require compensation disclosure for all individuals serving as our principal executive officer during 2025, the two most highly compensated executive officers of SunPower, other than the principal executive officer, whose total compensation for 2025 exceeded $100,000 and who were serving as executive officers as of the end of 2025, and up to two additional individuals for whom disclosure under the applicable rules would have been provided but for the fact that such individuals were not serving as executive officers at the end of 2025. We refer to these individuals as “named executive officers.” For 2025, our named executive officers were:</w:t>
      </w:r>
    </w:p>
    <w:p>
      <w:pPr>
        <w:spacing w:after="0" w:line="153" w:lineRule="exact"/>
        <w:rPr>
          <w:sz w:val="20"/>
          <w:szCs w:val="20"/>
          <w:color w:val="auto"/>
        </w:rPr>
      </w:pPr>
    </w:p>
    <w:p>
      <w:pPr>
        <w:ind w:left="549" w:hanging="276"/>
        <w:spacing w:after="0"/>
        <w:tabs>
          <w:tab w:leader="none" w:pos="549"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Thurman J. (T.J.) Rodgers, our Chief Executive Officer and Executive Chairman;</w:t>
      </w:r>
    </w:p>
    <w:p>
      <w:pPr>
        <w:spacing w:after="0" w:line="191" w:lineRule="exact"/>
        <w:rPr>
          <w:rFonts w:ascii="Times New Roman" w:cs="Times New Roman" w:eastAsia="Times New Roman" w:hAnsi="Times New Roman"/>
          <w:sz w:val="15"/>
          <w:szCs w:val="15"/>
          <w:color w:val="auto"/>
        </w:rPr>
      </w:pPr>
    </w:p>
    <w:p>
      <w:pPr>
        <w:ind w:left="549" w:hanging="276"/>
        <w:spacing w:after="0"/>
        <w:tabs>
          <w:tab w:leader="none" w:pos="549"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Jeanne Nguyen, our Interim Chief Financial Officer; and</w:t>
      </w:r>
    </w:p>
    <w:p>
      <w:pPr>
        <w:spacing w:after="0" w:line="191" w:lineRule="exact"/>
        <w:rPr>
          <w:rFonts w:ascii="Times New Roman" w:cs="Times New Roman" w:eastAsia="Times New Roman" w:hAnsi="Times New Roman"/>
          <w:sz w:val="15"/>
          <w:szCs w:val="15"/>
          <w:color w:val="auto"/>
        </w:rPr>
      </w:pPr>
    </w:p>
    <w:p>
      <w:pPr>
        <w:ind w:left="549" w:hanging="276"/>
        <w:spacing w:after="0"/>
        <w:tabs>
          <w:tab w:leader="none" w:pos="549"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Daniel Foley, our former Chief Financial Officer.</w:t>
      </w:r>
    </w:p>
    <w:p>
      <w:pPr>
        <w:spacing w:after="0" w:line="192"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SunPower believes its compensation program should promote the success of the Company and align executive incentives with the long-term interests of its stockholders. SunPower’s current compensation programs reflect its startup origins in that they consist primarily of salary and equity-based awards. As SunPower’s needs evolve, we intend to continue to evaluate our philosophy and compensation programs as circumstances require.</w:t>
      </w:r>
    </w:p>
    <w:p>
      <w:pPr>
        <w:spacing w:after="0" w:line="14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During 2025 and 2024, Mr. Rodgers did not receive any separate compensation in his role as our Chief Executive Officer.</w:t>
      </w:r>
    </w:p>
    <w:p>
      <w:pPr>
        <w:spacing w:after="0" w:line="1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p>
      <w:pPr>
        <w:spacing w:after="0" w:line="196" w:lineRule="exact"/>
        <w:rPr>
          <w:sz w:val="20"/>
          <w:szCs w:val="20"/>
          <w:color w:val="auto"/>
        </w:rPr>
      </w:pPr>
    </w:p>
    <w:p>
      <w:pPr>
        <w:jc w:val="both"/>
        <w:ind w:left="9" w:firstLine="273"/>
        <w:spacing w:after="0" w:line="287" w:lineRule="auto"/>
        <w:rPr>
          <w:sz w:val="20"/>
          <w:szCs w:val="20"/>
          <w:color w:val="auto"/>
        </w:rPr>
      </w:pPr>
      <w:r>
        <w:rPr>
          <w:rFonts w:ascii="Times New Roman" w:cs="Times New Roman" w:eastAsia="Times New Roman" w:hAnsi="Times New Roman"/>
          <w:sz w:val="15"/>
          <w:szCs w:val="15"/>
          <w:color w:val="auto"/>
        </w:rPr>
        <w:t>The following table shows information regarding the compensation of SunPower’s named executive officers for services performed in the fiscal year ended December 28, 2025 and in the fiscal year ended December 29, 2024.</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Option</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2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Bonus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6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 and Principal Position</w:t>
            </w:r>
          </w:p>
        </w:tc>
        <w:tc>
          <w:tcPr>
            <w:tcW w:w="100" w:type="dxa"/>
            <w:vAlign w:val="bottom"/>
          </w:tcPr>
          <w:p>
            <w:pPr>
              <w:spacing w:after="0"/>
              <w:rPr>
                <w:sz w:val="20"/>
                <w:szCs w:val="20"/>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20" w:type="dxa"/>
            <w:vAlign w:val="bottom"/>
          </w:tcPr>
          <w:p>
            <w:pPr>
              <w:spacing w:after="0"/>
              <w:rPr>
                <w:sz w:val="20"/>
                <w:szCs w:val="20"/>
                <w:color w:val="auto"/>
              </w:rPr>
            </w:pPr>
          </w:p>
        </w:tc>
        <w:tc>
          <w:tcPr>
            <w:tcW w:w="64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ind w:right="24"/>
              <w:spacing w:after="0" w:line="228" w:lineRule="exact"/>
              <w:rPr>
                <w:sz w:val="20"/>
                <w:szCs w:val="20"/>
                <w:color w:val="auto"/>
              </w:rPr>
            </w:pPr>
            <w:r>
              <w:rPr>
                <w:rFonts w:ascii="Times New Roman" w:cs="Times New Roman" w:eastAsia="Times New Roman" w:hAnsi="Times New Roman"/>
                <w:sz w:val="15"/>
                <w:szCs w:val="15"/>
                <w:b w:val="1"/>
                <w:bCs w:val="1"/>
                <w:color w:val="auto"/>
                <w:w w:val="88"/>
              </w:rPr>
              <w:t xml:space="preserve">($) </w:t>
            </w:r>
            <w:r>
              <w:rPr>
                <w:rFonts w:ascii="Times New Roman" w:cs="Times New Roman" w:eastAsia="Times New Roman" w:hAnsi="Times New Roman"/>
                <w:sz w:val="25"/>
                <w:szCs w:val="25"/>
                <w:b w:val="1"/>
                <w:bCs w:val="1"/>
                <w:color w:val="auto"/>
                <w:w w:val="88"/>
                <w:vertAlign w:val="superscript"/>
              </w:rPr>
              <w:t>(1)</w:t>
            </w:r>
          </w:p>
        </w:tc>
        <w:tc>
          <w:tcPr>
            <w:tcW w:w="2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20"/>
                <w:szCs w:val="20"/>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u w:val="single" w:color="auto"/>
                <w:color w:val="auto"/>
                <w:w w:val="99"/>
              </w:rPr>
              <w:t>Compensation($</w:t>
            </w:r>
            <w:r>
              <w:rPr>
                <w:rFonts w:ascii="Times New Roman" w:cs="Times New Roman" w:eastAsia="Times New Roman" w:hAnsi="Times New Roman"/>
                <w:sz w:val="15"/>
                <w:szCs w:val="15"/>
                <w:b w:val="1"/>
                <w:bCs w:val="1"/>
                <w:color w:val="auto"/>
                <w:w w:val="99"/>
              </w:rPr>
              <w:t>)</w:t>
            </w:r>
          </w:p>
        </w:tc>
        <w:tc>
          <w:tcPr>
            <w:tcW w:w="78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20"/>
                <w:szCs w:val="20"/>
                <w:color w:val="auto"/>
              </w:rPr>
            </w:pPr>
          </w:p>
        </w:tc>
      </w:tr>
      <w:tr>
        <w:trPr>
          <w:trHeight w:val="182"/>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Thurman J. (T.J.) Rodgers</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2025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i w:val="1"/>
                <w:iCs w:val="1"/>
                <w:color w:val="auto"/>
              </w:rPr>
              <w:t>Chief Executive Officer</w:t>
            </w:r>
          </w:p>
        </w:tc>
        <w:tc>
          <w:tcPr>
            <w:tcW w:w="1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2024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3900" w:type="dxa"/>
            <w:vAlign w:val="bottom"/>
          </w:tcPr>
          <w:p>
            <w:pPr>
              <w:spacing w:after="0" w:line="198" w:lineRule="exact"/>
              <w:rPr>
                <w:sz w:val="20"/>
                <w:szCs w:val="20"/>
                <w:color w:val="auto"/>
              </w:rPr>
            </w:pPr>
            <w:r>
              <w:rPr>
                <w:rFonts w:ascii="Times New Roman" w:cs="Times New Roman" w:eastAsia="Times New Roman" w:hAnsi="Times New Roman"/>
                <w:sz w:val="14"/>
                <w:szCs w:val="14"/>
                <w:i w:val="1"/>
                <w:iCs w:val="1"/>
                <w:color w:val="auto"/>
              </w:rPr>
              <w:t>Jeanne Nguyen</w:t>
            </w:r>
            <w:r>
              <w:rPr>
                <w:rFonts w:ascii="Times New Roman" w:cs="Times New Roman" w:eastAsia="Times New Roman" w:hAnsi="Times New Roman"/>
                <w:sz w:val="22"/>
                <w:szCs w:val="22"/>
                <w:i w:val="1"/>
                <w:iCs w:val="1"/>
                <w:color w:val="auto"/>
                <w:vertAlign w:val="superscript"/>
              </w:rPr>
              <w:t>(2)</w:t>
            </w: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2025</w:t>
            </w:r>
          </w:p>
        </w:tc>
        <w:tc>
          <w:tcPr>
            <w:tcW w:w="120" w:type="dxa"/>
            <w:vAlign w:val="bottom"/>
          </w:tcPr>
          <w:p>
            <w:pPr>
              <w:spacing w:after="0"/>
              <w:rPr>
                <w:sz w:val="17"/>
                <w:szCs w:val="17"/>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350,000</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1,534</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353,034</w:t>
            </w:r>
          </w:p>
        </w:tc>
      </w:tr>
      <w:tr>
        <w:trPr>
          <w:trHeight w:val="201"/>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Interim Chief Financial Officer</w:t>
            </w: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58,300</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237,046</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295,346</w:t>
            </w:r>
          </w:p>
        </w:tc>
      </w:tr>
      <w:tr>
        <w:trPr>
          <w:trHeight w:val="216"/>
        </w:trPr>
        <w:tc>
          <w:tcPr>
            <w:tcW w:w="3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i w:val="1"/>
                <w:iCs w:val="1"/>
                <w:color w:val="auto"/>
              </w:rPr>
              <w:t>Daniel Foley</w:t>
            </w:r>
            <w:r>
              <w:rPr>
                <w:rFonts w:ascii="Times New Roman" w:cs="Times New Roman" w:eastAsia="Times New Roman" w:hAnsi="Times New Roman"/>
                <w:sz w:val="25"/>
                <w:szCs w:val="25"/>
                <w:i w:val="1"/>
                <w:iCs w:val="1"/>
                <w:color w:val="auto"/>
                <w:vertAlign w:val="superscript"/>
              </w:rPr>
              <w:t>(3)</w:t>
            </w:r>
          </w:p>
        </w:tc>
        <w:tc>
          <w:tcPr>
            <w:tcW w:w="1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233,333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1,500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587,500</w:t>
            </w:r>
            <w:r>
              <w:rPr>
                <w:rFonts w:ascii="Times New Roman" w:cs="Times New Roman" w:eastAsia="Times New Roman" w:hAnsi="Times New Roman"/>
                <w:sz w:val="12"/>
                <w:szCs w:val="12"/>
                <w:color w:val="auto"/>
              </w:rPr>
              <w:t>(4)</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100,000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922,333</w:t>
            </w:r>
          </w:p>
        </w:tc>
      </w:tr>
      <w:tr>
        <w:trPr>
          <w:trHeight w:val="182"/>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i w:val="1"/>
                <w:iCs w:val="1"/>
                <w:color w:val="auto"/>
              </w:rPr>
              <w:t>Former Chief Financial Officer</w:t>
            </w:r>
          </w:p>
        </w:tc>
        <w:tc>
          <w:tcPr>
            <w:tcW w:w="1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2024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161,947</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780,000</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941,947</w:t>
            </w:r>
          </w:p>
        </w:tc>
      </w:tr>
    </w:tbl>
    <w:p>
      <w:pPr>
        <w:spacing w:after="0" w:line="167" w:lineRule="exact"/>
        <w:rPr>
          <w:sz w:val="20"/>
          <w:szCs w:val="20"/>
          <w:color w:val="auto"/>
        </w:rPr>
      </w:pPr>
    </w:p>
    <w:p>
      <w:pPr>
        <w:jc w:val="both"/>
        <w:ind w:left="269" w:hanging="269"/>
        <w:spacing w:after="0" w:line="264" w:lineRule="auto"/>
        <w:tabs>
          <w:tab w:leader="none" w:pos="269"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Amounts reported in this column do not reflect the amounts actually received by SunPower’s named executive officers. Instead, these amounts reflect the aggregate grant-date fair value of awards granted to each named executive officer, computed in accordance with the FASB ASC Topic 718, </w:t>
      </w:r>
      <w:r>
        <w:rPr>
          <w:rFonts w:ascii="Times New Roman" w:cs="Times New Roman" w:eastAsia="Times New Roman" w:hAnsi="Times New Roman"/>
          <w:sz w:val="15"/>
          <w:szCs w:val="15"/>
          <w:i w:val="1"/>
          <w:iCs w:val="1"/>
          <w:color w:val="auto"/>
        </w:rPr>
        <w:t>Stock-based Compensation</w:t>
      </w:r>
      <w:r>
        <w:rPr>
          <w:rFonts w:ascii="Times New Roman" w:cs="Times New Roman" w:eastAsia="Times New Roman" w:hAnsi="Times New Roman"/>
          <w:sz w:val="15"/>
          <w:szCs w:val="15"/>
          <w:color w:val="auto"/>
        </w:rPr>
        <w:t>. As required by SEC rules, the amounts shown exclude the impact of estimated forfeitures related to service-based vesting conditions. Unless otherwise noted in the footnotes below, the shares underlying these options vest in 48 equal monthly installments, subject to the named executive officer’s continued service at each vesting date.</w:t>
      </w:r>
    </w:p>
    <w:p>
      <w:pPr>
        <w:spacing w:after="0" w:line="151" w:lineRule="exact"/>
        <w:rPr>
          <w:rFonts w:ascii="Times New Roman" w:cs="Times New Roman" w:eastAsia="Times New Roman" w:hAnsi="Times New Roman"/>
          <w:sz w:val="15"/>
          <w:szCs w:val="15"/>
          <w:color w:val="auto"/>
        </w:rPr>
      </w:pPr>
    </w:p>
    <w:p>
      <w:pPr>
        <w:ind w:left="269" w:hanging="269"/>
        <w:spacing w:after="0" w:line="263" w:lineRule="auto"/>
        <w:tabs>
          <w:tab w:leader="none" w:pos="269"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Nguyen joined SunPower in September 2024, and she was appointed as our Interim Chief Financial Officer in July 2025. Ms. Nguyen’s base salary amount is pro rated for 2024.</w:t>
      </w:r>
    </w:p>
    <w:p>
      <w:pPr>
        <w:spacing w:after="0" w:line="357" w:lineRule="exact"/>
        <w:rPr>
          <w:rFonts w:ascii="Times New Roman" w:cs="Times New Roman" w:eastAsia="Times New Roman" w:hAnsi="Times New Roman"/>
          <w:sz w:val="15"/>
          <w:szCs w:val="15"/>
          <w:color w:val="auto"/>
        </w:rPr>
      </w:pPr>
    </w:p>
    <w:p>
      <w:pPr>
        <w:ind w:left="269" w:hanging="269"/>
        <w:spacing w:after="0" w:line="287" w:lineRule="auto"/>
        <w:tabs>
          <w:tab w:leader="none" w:pos="269"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Foley resigned as our Chief Financial Officer in July 2025. Mr. Foley’s base salary amount is pro rated for 2025, and the amount reflect as All Other Compensation comprises cash payments made in connection with his separation from the Company.</w:t>
      </w:r>
    </w:p>
    <w:p>
      <w:pPr>
        <w:spacing w:after="0" w:line="133" w:lineRule="exact"/>
        <w:rPr>
          <w:rFonts w:ascii="Times New Roman" w:cs="Times New Roman" w:eastAsia="Times New Roman" w:hAnsi="Times New Roman"/>
          <w:sz w:val="15"/>
          <w:szCs w:val="15"/>
          <w:color w:val="auto"/>
        </w:rPr>
      </w:pPr>
    </w:p>
    <w:p>
      <w:pPr>
        <w:ind w:left="269" w:right="20" w:hanging="269"/>
        <w:spacing w:after="0" w:line="287" w:lineRule="auto"/>
        <w:tabs>
          <w:tab w:leader="none" w:pos="269"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250,000 restricted stock units issued in April 2025, of which 19,970 of the RSUs were vested at the time of Mr. Foley’s separation from the Company, as well as 100,000 restricted stock units issued to Mr. Foley in connection with his separation from the Company that were fully vested at the time of issuance.</w:t>
      </w:r>
    </w:p>
    <w:p>
      <w:pPr>
        <w:spacing w:after="0" w:line="3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95" w:name="page96"/>
    <w:bookmarkEnd w:id="95"/>
    <w:p>
      <w:pPr>
        <w:ind w:left="9"/>
        <w:spacing w:after="0"/>
        <w:rPr>
          <w:sz w:val="20"/>
          <w:szCs w:val="20"/>
          <w:color w:val="auto"/>
        </w:rPr>
      </w:pPr>
      <w:r>
        <w:rPr>
          <w:rFonts w:ascii="Times New Roman" w:cs="Times New Roman" w:eastAsia="Times New Roman" w:hAnsi="Times New Roman"/>
          <w:sz w:val="15"/>
          <w:szCs w:val="15"/>
          <w:b w:val="1"/>
          <w:bCs w:val="1"/>
          <w:color w:val="auto"/>
        </w:rPr>
        <w:t>Outstanding Equity Awards at December 28, 2025</w:t>
      </w:r>
    </w:p>
    <w:p>
      <w:pPr>
        <w:spacing w:after="0" w:line="140" w:lineRule="exact"/>
        <w:rPr>
          <w:sz w:val="20"/>
          <w:szCs w:val="20"/>
          <w:color w:val="auto"/>
        </w:rPr>
      </w:pPr>
    </w:p>
    <w:tbl>
      <w:tblPr>
        <w:tblLayout w:type="fixed"/>
        <w:tblInd w:w="9" w:type="dxa"/>
        <w:tblCellMar>
          <w:top w:w="0" w:type="dxa"/>
          <w:left w:w="0" w:type="dxa"/>
          <w:bottom w:w="0" w:type="dxa"/>
          <w:right w:w="0" w:type="dxa"/>
        </w:tblCellMar>
      </w:tblPr>
      <w:tr>
        <w:trPr>
          <w:trHeight w:val="233"/>
        </w:trPr>
        <w:tc>
          <w:tcPr>
            <w:tcW w:w="2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9"/>
              </w:rPr>
              <w:t>Option Awards</w:t>
            </w:r>
            <w:r>
              <w:rPr>
                <w:rFonts w:ascii="Times New Roman" w:cs="Times New Roman" w:eastAsia="Times New Roman" w:hAnsi="Times New Roman"/>
                <w:sz w:val="20"/>
                <w:szCs w:val="20"/>
                <w:b w:val="1"/>
                <w:bCs w:val="1"/>
                <w:color w:val="auto"/>
                <w:w w:val="99"/>
                <w:vertAlign w:val="superscript"/>
              </w:rPr>
              <w:t>(1)</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Stock Awards</w:t>
            </w:r>
            <w:r>
              <w:rPr>
                <w:rFonts w:ascii="Times New Roman" w:cs="Times New Roman" w:eastAsia="Times New Roman" w:hAnsi="Times New Roman"/>
                <w:sz w:val="20"/>
                <w:szCs w:val="20"/>
                <w:b w:val="1"/>
                <w:bCs w:val="1"/>
                <w:color w:val="auto"/>
                <w:vertAlign w:val="superscript"/>
              </w:rPr>
              <w:t>(1)</w:t>
            </w: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2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72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w w:val="99"/>
              </w:rPr>
              <w:t>incentive</w:t>
            </w: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2"/>
                <w:szCs w:val="12"/>
                <w:b w:val="1"/>
                <w:bCs w:val="1"/>
                <w:color w:val="auto"/>
                <w:w w:val="99"/>
              </w:rPr>
              <w:t>incentive</w:t>
            </w:r>
          </w:p>
        </w:tc>
        <w:tc>
          <w:tcPr>
            <w:tcW w:w="76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rPr>
              <w:t>plan awards:</w:t>
            </w: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rPr>
              <w:t>plan awards:</w:t>
            </w:r>
          </w:p>
        </w:tc>
        <w:tc>
          <w:tcPr>
            <w:tcW w:w="76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rPr>
              <w:t>market or</w:t>
            </w: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restart"/>
          </w:tcPr>
          <w:p>
            <w:pPr>
              <w:jc w:val="center"/>
              <w:ind w:right="149"/>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76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rPr>
              <w:t>payout value</w:t>
            </w: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Market value</w:t>
            </w:r>
          </w:p>
        </w:tc>
        <w:tc>
          <w:tcPr>
            <w:tcW w:w="82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2"/>
                <w:szCs w:val="12"/>
                <w:b w:val="1"/>
                <w:bCs w:val="1"/>
                <w:color w:val="auto"/>
              </w:rPr>
              <w:t>unearned</w:t>
            </w:r>
          </w:p>
        </w:tc>
        <w:tc>
          <w:tcPr>
            <w:tcW w:w="76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rPr>
              <w:t>of unearned</w:t>
            </w: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149"/>
              <w:spacing w:after="0" w:line="12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8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w w:val="99"/>
              </w:rPr>
              <w:t>shares, units</w:t>
            </w:r>
          </w:p>
        </w:tc>
        <w:tc>
          <w:tcPr>
            <w:tcW w:w="76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w w:val="99"/>
              </w:rPr>
              <w:t>shares, units</w:t>
            </w: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Vesting</w:t>
            </w:r>
          </w:p>
        </w:tc>
        <w:tc>
          <w:tcPr>
            <w:tcW w:w="940" w:type="dxa"/>
            <w:vAlign w:val="bottom"/>
            <w:gridSpan w:val="2"/>
          </w:tcPr>
          <w:p>
            <w:pPr>
              <w:jc w:val="center"/>
              <w:ind w:right="149"/>
              <w:spacing w:after="0" w:line="125"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8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120" w:type="dxa"/>
            <w:vAlign w:val="bottom"/>
          </w:tcPr>
          <w:p>
            <w:pPr>
              <w:spacing w:after="0"/>
              <w:rPr>
                <w:sz w:val="10"/>
                <w:szCs w:val="10"/>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80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w w:val="97"/>
              </w:rPr>
              <w:t>shares or</w:t>
            </w:r>
          </w:p>
        </w:tc>
        <w:tc>
          <w:tcPr>
            <w:tcW w:w="80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2"/>
                <w:szCs w:val="12"/>
                <w:b w:val="1"/>
                <w:bCs w:val="1"/>
                <w:color w:val="auto"/>
                <w:w w:val="99"/>
              </w:rPr>
              <w:t>of shares or</w:t>
            </w:r>
          </w:p>
        </w:tc>
        <w:tc>
          <w:tcPr>
            <w:tcW w:w="82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2"/>
                <w:szCs w:val="12"/>
                <w:b w:val="1"/>
                <w:bCs w:val="1"/>
                <w:color w:val="auto"/>
              </w:rPr>
              <w:t>or other</w:t>
            </w:r>
          </w:p>
        </w:tc>
        <w:tc>
          <w:tcPr>
            <w:tcW w:w="76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rPr>
              <w:t>or other</w:t>
            </w: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40" w:type="dxa"/>
            <w:vAlign w:val="bottom"/>
            <w:gridSpan w:val="2"/>
          </w:tcPr>
          <w:p>
            <w:pPr>
              <w:jc w:val="center"/>
              <w:ind w:right="149"/>
              <w:spacing w:after="0" w:line="125" w:lineRule="exact"/>
              <w:rPr>
                <w:sz w:val="20"/>
                <w:szCs w:val="20"/>
                <w:color w:val="auto"/>
              </w:rPr>
            </w:pPr>
            <w:r>
              <w:rPr>
                <w:rFonts w:ascii="Times New Roman" w:cs="Times New Roman" w:eastAsia="Times New Roman" w:hAnsi="Times New Roman"/>
                <w:sz w:val="12"/>
                <w:szCs w:val="12"/>
                <w:b w:val="1"/>
                <w:bCs w:val="1"/>
                <w:color w:val="auto"/>
                <w:w w:val="98"/>
              </w:rPr>
              <w:t>Unexercised</w:t>
            </w:r>
          </w:p>
        </w:tc>
        <w:tc>
          <w:tcPr>
            <w:tcW w:w="84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80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rPr>
              <w:t>units of stock</w:t>
            </w:r>
          </w:p>
        </w:tc>
        <w:tc>
          <w:tcPr>
            <w:tcW w:w="80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2"/>
                <w:szCs w:val="12"/>
                <w:b w:val="1"/>
                <w:bCs w:val="1"/>
                <w:color w:val="auto"/>
                <w:w w:val="99"/>
              </w:rPr>
              <w:t>units of stock</w:t>
            </w:r>
          </w:p>
        </w:tc>
        <w:tc>
          <w:tcPr>
            <w:tcW w:w="82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2"/>
                <w:szCs w:val="12"/>
                <w:b w:val="1"/>
                <w:bCs w:val="1"/>
                <w:color w:val="auto"/>
              </w:rPr>
              <w:t>rights that</w:t>
            </w:r>
          </w:p>
        </w:tc>
        <w:tc>
          <w:tcPr>
            <w:tcW w:w="76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rPr>
              <w:t>rights that</w:t>
            </w:r>
          </w:p>
        </w:tc>
        <w:tc>
          <w:tcPr>
            <w:tcW w:w="0" w:type="dxa"/>
            <w:vAlign w:val="bottom"/>
          </w:tcPr>
          <w:p>
            <w:pPr>
              <w:spacing w:after="0"/>
              <w:rPr>
                <w:sz w:val="1"/>
                <w:szCs w:val="1"/>
                <w:color w:val="auto"/>
              </w:rPr>
            </w:pPr>
          </w:p>
        </w:tc>
      </w:tr>
      <w:tr>
        <w:trPr>
          <w:trHeight w:val="125"/>
        </w:trPr>
        <w:tc>
          <w:tcPr>
            <w:tcW w:w="27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xml:space="preserve">Grant Date </w:t>
            </w:r>
            <w:r>
              <w:rPr>
                <w:rFonts w:ascii="Times New Roman" w:cs="Times New Roman" w:eastAsia="Times New Roman" w:hAnsi="Times New Roman"/>
                <w:sz w:val="20"/>
                <w:szCs w:val="20"/>
                <w:b w:val="1"/>
                <w:bCs w:val="1"/>
                <w:color w:val="auto"/>
                <w:w w:val="96"/>
                <w:vertAlign w:val="superscript"/>
              </w:rPr>
              <w:t>(1)</w:t>
            </w:r>
          </w:p>
        </w:tc>
        <w:tc>
          <w:tcPr>
            <w:tcW w:w="40" w:type="dxa"/>
            <w:vAlign w:val="bottom"/>
          </w:tcPr>
          <w:p>
            <w:pPr>
              <w:spacing w:after="0"/>
              <w:rPr>
                <w:sz w:val="10"/>
                <w:szCs w:val="10"/>
                <w:color w:val="auto"/>
              </w:rPr>
            </w:pPr>
          </w:p>
        </w:tc>
        <w:tc>
          <w:tcPr>
            <w:tcW w:w="92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rPr>
              <w:t>Commencement</w:t>
            </w:r>
          </w:p>
        </w:tc>
        <w:tc>
          <w:tcPr>
            <w:tcW w:w="940" w:type="dxa"/>
            <w:vAlign w:val="bottom"/>
            <w:gridSpan w:val="2"/>
          </w:tcPr>
          <w:p>
            <w:pPr>
              <w:jc w:val="center"/>
              <w:ind w:right="149"/>
              <w:spacing w:after="0" w:line="125"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8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940" w:type="dxa"/>
            <w:vAlign w:val="bottom"/>
            <w:gridSpan w:val="3"/>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rPr>
              <w:t>Expiration</w:t>
            </w:r>
          </w:p>
        </w:tc>
        <w:tc>
          <w:tcPr>
            <w:tcW w:w="80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rPr>
              <w:t>that have not</w:t>
            </w:r>
          </w:p>
        </w:tc>
        <w:tc>
          <w:tcPr>
            <w:tcW w:w="80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2"/>
                <w:szCs w:val="12"/>
                <w:b w:val="1"/>
                <w:bCs w:val="1"/>
                <w:color w:val="auto"/>
              </w:rPr>
              <w:t>that have not</w:t>
            </w:r>
          </w:p>
        </w:tc>
        <w:tc>
          <w:tcPr>
            <w:tcW w:w="8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rPr>
              <w:t>have not</w:t>
            </w:r>
          </w:p>
        </w:tc>
        <w:tc>
          <w:tcPr>
            <w:tcW w:w="76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rPr>
              <w:t>have not</w:t>
            </w:r>
          </w:p>
        </w:tc>
        <w:tc>
          <w:tcPr>
            <w:tcW w:w="0" w:type="dxa"/>
            <w:vAlign w:val="bottom"/>
          </w:tcPr>
          <w:p>
            <w:pPr>
              <w:spacing w:after="0"/>
              <w:rPr>
                <w:sz w:val="1"/>
                <w:szCs w:val="1"/>
                <w:color w:val="auto"/>
              </w:rPr>
            </w:pPr>
          </w:p>
        </w:tc>
      </w:tr>
      <w:tr>
        <w:trPr>
          <w:trHeight w:val="150"/>
        </w:trPr>
        <w:tc>
          <w:tcPr>
            <w:tcW w:w="27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Exercisable</w:t>
            </w:r>
          </w:p>
        </w:tc>
        <w:tc>
          <w:tcPr>
            <w:tcW w:w="2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Unexercisable</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Price</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0" w:type="dxa"/>
            <w:vAlign w:val="bottom"/>
            <w:tcBorders>
              <w:bottom w:val="single" w:sz="8" w:color="CCEEFF"/>
            </w:tcBorders>
            <w:gridSpan w:val="2"/>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vested (#)</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vested($)</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vested (#)</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vested($)</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Thurman J. (T.J.) Rodgers</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12/3/2023</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12/3/2024</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37,500</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w w:val="85"/>
              </w:rPr>
              <w:t>(2)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12/2/2033</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12/3/2023</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12/3/2024</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9"/>
              <w:spacing w:after="0" w:line="171" w:lineRule="exact"/>
              <w:rPr>
                <w:sz w:val="20"/>
                <w:szCs w:val="20"/>
                <w:color w:val="auto"/>
              </w:rPr>
            </w:pPr>
            <w:r>
              <w:rPr>
                <w:rFonts w:ascii="Times New Roman" w:cs="Times New Roman" w:eastAsia="Times New Roman" w:hAnsi="Times New Roman"/>
                <w:sz w:val="12"/>
                <w:szCs w:val="12"/>
                <w:color w:val="auto"/>
              </w:rPr>
              <w:t>79,101</w:t>
            </w:r>
            <w:r>
              <w:rPr>
                <w:rFonts w:ascii="Times New Roman" w:cs="Times New Roman" w:eastAsia="Times New Roman" w:hAnsi="Times New Roman"/>
                <w:sz w:val="19"/>
                <w:szCs w:val="19"/>
                <w:color w:val="auto"/>
                <w:vertAlign w:val="superscript"/>
              </w:rPr>
              <w:t>(2)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12/2/2033</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Jeanne Nguyen</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121,968</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191,489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Daniel Foley</w:t>
            </w:r>
            <w:r>
              <w:rPr>
                <w:rFonts w:ascii="Times New Roman" w:cs="Times New Roman" w:eastAsia="Times New Roman" w:hAnsi="Times New Roman"/>
                <w:sz w:val="19"/>
                <w:szCs w:val="19"/>
                <w:color w:val="auto"/>
                <w:vertAlign w:val="superscript"/>
              </w:rPr>
              <w:t>(3)</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6/11/2024</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7/1/2025</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69" w:hanging="269"/>
        <w:spacing w:after="0"/>
        <w:tabs>
          <w:tab w:leader="none" w:pos="269"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options and stock awards were granted pursuant to the 2023 Plan.</w:t>
      </w:r>
    </w:p>
    <w:p>
      <w:pPr>
        <w:spacing w:after="0" w:line="191"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 of the total shares underlying the option award vested on the one-year anniversary of the grant date.</w:t>
      </w:r>
    </w:p>
    <w:p>
      <w:pPr>
        <w:spacing w:after="0" w:line="191" w:lineRule="exact"/>
        <w:rPr>
          <w:rFonts w:ascii="Times New Roman" w:cs="Times New Roman" w:eastAsia="Times New Roman" w:hAnsi="Times New Roman"/>
          <w:sz w:val="15"/>
          <w:szCs w:val="15"/>
          <w:color w:val="auto"/>
        </w:rPr>
      </w:pPr>
    </w:p>
    <w:p>
      <w:pPr>
        <w:ind w:left="269" w:hanging="269"/>
        <w:spacing w:after="0" w:line="287" w:lineRule="auto"/>
        <w:tabs>
          <w:tab w:leader="none" w:pos="269"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 of the total shares underlying the option award vested on 7/1/2025. As a result of Mr. Foley’s separation from the Company, no further portion of the options are exercisable and the unvested portions of the options expired.</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Employment Arrangements with Named Executive Officers</w:t>
      </w:r>
    </w:p>
    <w:p>
      <w:pPr>
        <w:spacing w:after="0" w:line="19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Each of our named executive officers is or was an at-will employee.</w:t>
      </w:r>
    </w:p>
    <w:p>
      <w:pPr>
        <w:spacing w:after="0" w:line="188"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Thurman J. Rodgers</w:t>
      </w:r>
    </w:p>
    <w:p>
      <w:pPr>
        <w:spacing w:after="0" w:line="196" w:lineRule="exact"/>
        <w:rPr>
          <w:sz w:val="20"/>
          <w:szCs w:val="20"/>
          <w:color w:val="auto"/>
        </w:rPr>
      </w:pPr>
    </w:p>
    <w:p>
      <w:pPr>
        <w:jc w:val="both"/>
        <w:ind w:left="9" w:firstLine="273"/>
        <w:spacing w:after="0" w:line="287" w:lineRule="auto"/>
        <w:rPr>
          <w:sz w:val="20"/>
          <w:szCs w:val="20"/>
          <w:color w:val="auto"/>
        </w:rPr>
      </w:pPr>
      <w:r>
        <w:rPr>
          <w:rFonts w:ascii="Times New Roman" w:cs="Times New Roman" w:eastAsia="Times New Roman" w:hAnsi="Times New Roman"/>
          <w:sz w:val="15"/>
          <w:szCs w:val="15"/>
          <w:color w:val="auto"/>
        </w:rPr>
        <w:t>Mr. Rodgers is not currently a party to any employment agreement or other understanding with respect to compensation as our Chief Executive Officer. Mr. Rodgers did not receive separate compensation in his role as Chief Executive Officer during 2024.</w:t>
      </w:r>
    </w:p>
    <w:p>
      <w:pPr>
        <w:spacing w:after="0" w:line="13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b w:val="1"/>
          <w:bCs w:val="1"/>
          <w:i w:val="1"/>
          <w:iCs w:val="1"/>
          <w:color w:val="auto"/>
        </w:rPr>
        <w:t>Daniel Foley</w:t>
      </w:r>
    </w:p>
    <w:p>
      <w:pPr>
        <w:spacing w:after="0" w:line="192" w:lineRule="exact"/>
        <w:rPr>
          <w:sz w:val="20"/>
          <w:szCs w:val="20"/>
          <w:color w:val="auto"/>
        </w:rPr>
      </w:pPr>
    </w:p>
    <w:p>
      <w:pPr>
        <w:jc w:val="both"/>
        <w:ind w:left="9" w:firstLine="273"/>
        <w:spacing w:after="0" w:line="258" w:lineRule="auto"/>
        <w:rPr>
          <w:sz w:val="20"/>
          <w:szCs w:val="20"/>
          <w:color w:val="auto"/>
        </w:rPr>
      </w:pPr>
      <w:r>
        <w:rPr>
          <w:rFonts w:ascii="Times New Roman" w:cs="Times New Roman" w:eastAsia="Times New Roman" w:hAnsi="Times New Roman"/>
          <w:sz w:val="15"/>
          <w:szCs w:val="15"/>
          <w:color w:val="auto"/>
        </w:rPr>
        <w:t>On Jun 7, 2024, we entered into an executive employment agreement with Mr. Foley, which became effective on July 1, 2024 (the “</w:t>
      </w:r>
      <w:r>
        <w:rPr>
          <w:rFonts w:ascii="Times New Roman" w:cs="Times New Roman" w:eastAsia="Times New Roman" w:hAnsi="Times New Roman"/>
          <w:sz w:val="15"/>
          <w:szCs w:val="15"/>
          <w:b w:val="1"/>
          <w:bCs w:val="1"/>
          <w:color w:val="auto"/>
        </w:rPr>
        <w:t>Foley Agreement</w:t>
      </w:r>
      <w:r>
        <w:rPr>
          <w:rFonts w:ascii="Times New Roman" w:cs="Times New Roman" w:eastAsia="Times New Roman" w:hAnsi="Times New Roman"/>
          <w:sz w:val="15"/>
          <w:szCs w:val="15"/>
          <w:color w:val="auto"/>
        </w:rPr>
        <w:t>”). Pursuant to the Foley Agreement. Mr. Foley is entitled to a base salary of $275,000 per year, and he will be eligible for an annual bonus of 50% of his gross salary. Mr. Foley also received an option to purchase 500,000 shares of our common stock, subject to a five-year vesting schedule. The Foley Agreement also provides that if Mr. Foley’s employment is terminated for any reason other than cause (as defined in the Foley Agreement), death or disability, or if he resigns for good reason (as defined in the Foley Agreement), and provided that in either case such termination constitutes a separation from service (as defined in the Foley Agreement), then subject to Mr. Foley executing a release agreement in our favor, and continuing to comply with all of his obligations to SunPower and its affiliates, he will receive the following benefits: (a) payment of Mr. Foley’s earned but unpaid base salary; (b) payment of such officer of any unpaid bonus, with respect to the fiscal year immediately preceding the fiscal year in which such termination or such resignation occurs; (c) payment of any vested benefits to which he may be entitled under any applicable plans and programs of the Company; (d) a severance payment equal to six months of Mr. Foley’s then base salary plus a pro rata portion of Mr. Foley bonus with respect to the fiscal year in which such termination or such resignation occurs.</w:t>
      </w:r>
    </w:p>
    <w:p>
      <w:pPr>
        <w:spacing w:after="0" w:line="33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96" w:name="page97"/>
    <w:bookmarkEnd w:id="96"/>
    <w:p>
      <w:pPr>
        <w:ind w:left="269"/>
        <w:spacing w:after="0"/>
        <w:rPr>
          <w:sz w:val="20"/>
          <w:szCs w:val="20"/>
          <w:color w:val="auto"/>
        </w:rPr>
      </w:pPr>
      <w:r>
        <w:rPr>
          <w:rFonts w:ascii="Times New Roman" w:cs="Times New Roman" w:eastAsia="Times New Roman" w:hAnsi="Times New Roman"/>
          <w:sz w:val="15"/>
          <w:szCs w:val="15"/>
          <w:color w:val="auto"/>
        </w:rPr>
        <w:t>In connection with Mr. Foley’s resignation from the Company, the Company and Mr. Foley entered into a settlement and release agreement in August 2025 pursuant to which Mr.</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Foley received (a) cash severance payments in the total amount of $100,000 and (b) 57,741 fully-vested restricted stock units.</w:t>
      </w:r>
    </w:p>
    <w:p>
      <w:pPr>
        <w:spacing w:after="0" w:line="17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Base Salary</w:t>
      </w:r>
    </w:p>
    <w:p>
      <w:pPr>
        <w:spacing w:after="0" w:line="196"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Base salaries are intended to provide a level of compensation sufficient to attract and retain an effective management team, when considered in combination with the other components of the executive compensation program. In general, SunPower seeks to provide a base salary level designed to reflect each executive officer’s scope of responsibility and accountability.</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Bonuses</w:t>
      </w:r>
    </w:p>
    <w:p>
      <w:pPr>
        <w:spacing w:after="0" w:line="196" w:lineRule="exact"/>
        <w:rPr>
          <w:sz w:val="20"/>
          <w:szCs w:val="20"/>
          <w:color w:val="auto"/>
        </w:rPr>
      </w:pPr>
    </w:p>
    <w:p>
      <w:pPr>
        <w:jc w:val="both"/>
        <w:ind w:left="9" w:firstLine="273"/>
        <w:spacing w:after="0" w:line="264" w:lineRule="auto"/>
        <w:rPr>
          <w:sz w:val="20"/>
          <w:szCs w:val="20"/>
          <w:color w:val="auto"/>
        </w:rPr>
      </w:pPr>
      <w:r>
        <w:rPr>
          <w:rFonts w:ascii="Times New Roman" w:cs="Times New Roman" w:eastAsia="Times New Roman" w:hAnsi="Times New Roman"/>
          <w:sz w:val="15"/>
          <w:szCs w:val="15"/>
          <w:color w:val="auto"/>
        </w:rPr>
        <w:t>Beginning January 1, 2024, each of our named executive officers (other than Mr. Rodgers) was eligible for an annual bonus of 50% of such officer’s annual gross salary, based on criteria determined by our Board, including, but not limited to, the satisfaction of minimum performance standards, and the achievement of budgetary and other objectives, set by the Board in its sole and absolute discretion. None of our named executive officers received a cash bonus during 2024. During 2025, each of Ms. Nguyen and Mr. Foley received a $1,500 cash bonus.</w:t>
      </w:r>
    </w:p>
    <w:p>
      <w:pPr>
        <w:spacing w:after="0" w:line="14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196" w:lineRule="exact"/>
        <w:rPr>
          <w:sz w:val="20"/>
          <w:szCs w:val="20"/>
          <w:color w:val="auto"/>
        </w:rPr>
      </w:pPr>
    </w:p>
    <w:p>
      <w:pPr>
        <w:jc w:val="both"/>
        <w:ind w:left="9" w:right="20" w:firstLine="273"/>
        <w:spacing w:after="0" w:line="270" w:lineRule="auto"/>
        <w:rPr>
          <w:sz w:val="20"/>
          <w:szCs w:val="20"/>
          <w:color w:val="auto"/>
        </w:rPr>
      </w:pPr>
      <w:r>
        <w:rPr>
          <w:rFonts w:ascii="Times New Roman" w:cs="Times New Roman" w:eastAsia="Times New Roman" w:hAnsi="Times New Roman"/>
          <w:sz w:val="15"/>
          <w:szCs w:val="15"/>
          <w:color w:val="auto"/>
        </w:rPr>
        <w:t>During 2025, we did not have a formal policy relating to the compensation of our non-employee directors. In 2025, SunPower granted its directors restricted stock units for their contributions to the operations of the business. Additional restricted stock units were issued to Messrs. Anderson and McCranie in consideration of the additional consulting services and supported provided to the Company during 2025. The following table provides the compensation for each member of the Board of Directors for 2025:</w:t>
      </w:r>
    </w:p>
    <w:p>
      <w:pPr>
        <w:spacing w:after="0" w:line="142"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w w:val="98"/>
              </w:rPr>
              <w:t>Fees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left="124"/>
              <w:spacing w:after="0"/>
              <w:rPr>
                <w:sz w:val="20"/>
                <w:szCs w:val="20"/>
                <w:color w:val="auto"/>
              </w:rPr>
            </w:pPr>
            <w:r>
              <w:rPr>
                <w:rFonts w:ascii="Times New Roman" w:cs="Times New Roman" w:eastAsia="Times New Roman" w:hAnsi="Times New Roman"/>
                <w:sz w:val="15"/>
                <w:szCs w:val="15"/>
                <w:b w:val="1"/>
                <w:bCs w:val="1"/>
                <w:color w:val="auto"/>
              </w:rPr>
              <w:t>Earned or</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left="124"/>
              <w:spacing w:after="0"/>
              <w:rPr>
                <w:sz w:val="20"/>
                <w:szCs w:val="20"/>
                <w:color w:val="auto"/>
              </w:rPr>
            </w:pPr>
            <w:r>
              <w:rPr>
                <w:rFonts w:ascii="Times New Roman" w:cs="Times New Roman" w:eastAsia="Times New Roman" w:hAnsi="Times New Roman"/>
                <w:sz w:val="15"/>
                <w:szCs w:val="15"/>
                <w:b w:val="1"/>
                <w:bCs w:val="1"/>
                <w:color w:val="auto"/>
              </w:rPr>
              <w:t>Paid in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w w:val="98"/>
              </w:rPr>
              <w:t>Cash</w:t>
            </w: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2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Borders>
              <w:bottom w:val="single" w:sz="8" w:color="CCEEFF"/>
            </w:tcBorders>
          </w:tcPr>
          <w:p>
            <w:pPr>
              <w:spacing w:after="0"/>
              <w:rPr>
                <w:sz w:val="17"/>
                <w:szCs w:val="17"/>
                <w:color w:val="auto"/>
              </w:rPr>
            </w:pPr>
          </w:p>
        </w:tc>
      </w:tr>
      <w:tr>
        <w:trPr>
          <w:trHeight w:val="205"/>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Thurman J. Rodgers</w:t>
            </w:r>
          </w:p>
        </w:tc>
        <w:tc>
          <w:tcPr>
            <w:tcW w:w="9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Adam Gishen</w:t>
            </w:r>
          </w:p>
        </w:tc>
        <w:tc>
          <w:tcPr>
            <w:tcW w:w="94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5"/>
                <w:szCs w:val="15"/>
                <w:color w:val="auto"/>
              </w:rPr>
              <w:t>167,091</w:t>
            </w:r>
            <w:r>
              <w:rPr>
                <w:rFonts w:ascii="Times New Roman" w:cs="Times New Roman" w:eastAsia="Times New Roman" w:hAnsi="Times New Roman"/>
                <w:sz w:val="25"/>
                <w:szCs w:val="25"/>
                <w:color w:val="auto"/>
                <w:vertAlign w:val="superscript"/>
              </w:rPr>
              <w:t>(1)</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167,091</w:t>
            </w: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Antonio R. Alvarez</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5"/>
                <w:szCs w:val="15"/>
                <w:color w:val="auto"/>
              </w:rPr>
              <w:t>160,901</w:t>
            </w:r>
            <w:r>
              <w:rPr>
                <w:rFonts w:ascii="Times New Roman" w:cs="Times New Roman" w:eastAsia="Times New Roman" w:hAnsi="Times New Roman"/>
                <w:sz w:val="25"/>
                <w:szCs w:val="25"/>
                <w:color w:val="auto"/>
                <w:vertAlign w:val="superscript"/>
              </w:rPr>
              <w:t>(1)</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160,901</w:t>
            </w: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Chris Lundell</w:t>
            </w:r>
          </w:p>
        </w:tc>
        <w:tc>
          <w:tcPr>
            <w:tcW w:w="94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5"/>
                <w:szCs w:val="15"/>
                <w:color w:val="auto"/>
              </w:rPr>
              <w:t>156,776</w:t>
            </w:r>
            <w:r>
              <w:rPr>
                <w:rFonts w:ascii="Times New Roman" w:cs="Times New Roman" w:eastAsia="Times New Roman" w:hAnsi="Times New Roman"/>
                <w:sz w:val="25"/>
                <w:szCs w:val="25"/>
                <w:color w:val="auto"/>
                <w:vertAlign w:val="superscript"/>
              </w:rPr>
              <w:t>(1)</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156,776</w:t>
            </w: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Devin Whatley</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5"/>
                <w:szCs w:val="15"/>
                <w:color w:val="auto"/>
              </w:rPr>
              <w:t>156,776</w:t>
            </w:r>
            <w:r>
              <w:rPr>
                <w:rFonts w:ascii="Times New Roman" w:cs="Times New Roman" w:eastAsia="Times New Roman" w:hAnsi="Times New Roman"/>
                <w:sz w:val="25"/>
                <w:szCs w:val="25"/>
                <w:color w:val="auto"/>
                <w:vertAlign w:val="superscript"/>
              </w:rPr>
              <w:t>(1)</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156,776</w:t>
            </w: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Ronald Pasek</w:t>
            </w:r>
          </w:p>
        </w:tc>
        <w:tc>
          <w:tcPr>
            <w:tcW w:w="94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5"/>
                <w:szCs w:val="15"/>
                <w:color w:val="auto"/>
              </w:rPr>
              <w:t>169,153</w:t>
            </w:r>
            <w:r>
              <w:rPr>
                <w:rFonts w:ascii="Times New Roman" w:cs="Times New Roman" w:eastAsia="Times New Roman" w:hAnsi="Times New Roman"/>
                <w:sz w:val="25"/>
                <w:szCs w:val="25"/>
                <w:color w:val="auto"/>
                <w:vertAlign w:val="superscript"/>
              </w:rPr>
              <w:t>(1)</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169,153</w:t>
            </w: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Tidjane Thiam</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5"/>
                <w:szCs w:val="15"/>
                <w:color w:val="auto"/>
              </w:rPr>
              <w:t>160,077</w:t>
            </w:r>
            <w:r>
              <w:rPr>
                <w:rFonts w:ascii="Times New Roman" w:cs="Times New Roman" w:eastAsia="Times New Roman" w:hAnsi="Times New Roman"/>
                <w:sz w:val="25"/>
                <w:szCs w:val="25"/>
                <w:color w:val="auto"/>
                <w:vertAlign w:val="superscript"/>
              </w:rPr>
              <w:t>(1)</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160,077</w:t>
            </w: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William J. Anderson</w:t>
            </w:r>
          </w:p>
        </w:tc>
        <w:tc>
          <w:tcPr>
            <w:tcW w:w="94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5"/>
                <w:szCs w:val="15"/>
                <w:color w:val="auto"/>
              </w:rPr>
              <w:t>214,536</w:t>
            </w:r>
            <w:r>
              <w:rPr>
                <w:rFonts w:ascii="Times New Roman" w:cs="Times New Roman" w:eastAsia="Times New Roman" w:hAnsi="Times New Roman"/>
                <w:sz w:val="25"/>
                <w:szCs w:val="25"/>
                <w:color w:val="auto"/>
                <w:vertAlign w:val="superscript"/>
              </w:rPr>
              <w:t>(1)</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214,536</w:t>
            </w: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Lothar Maier</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5"/>
                <w:szCs w:val="15"/>
                <w:color w:val="auto"/>
              </w:rPr>
              <w:t>367,185</w:t>
            </w:r>
            <w:r>
              <w:rPr>
                <w:rFonts w:ascii="Times New Roman" w:cs="Times New Roman" w:eastAsia="Times New Roman" w:hAnsi="Times New Roman"/>
                <w:sz w:val="25"/>
                <w:szCs w:val="25"/>
                <w:color w:val="auto"/>
                <w:vertAlign w:val="superscript"/>
              </w:rPr>
              <w:t>(1)</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367,185</w:t>
            </w: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 Daniel McCranie</w:t>
            </w:r>
          </w:p>
        </w:tc>
        <w:tc>
          <w:tcPr>
            <w:tcW w:w="94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5"/>
                <w:szCs w:val="15"/>
                <w:color w:val="auto"/>
              </w:rPr>
              <w:t>2,217,185</w:t>
            </w:r>
            <w:r>
              <w:rPr>
                <w:rFonts w:ascii="Times New Roman" w:cs="Times New Roman" w:eastAsia="Times New Roman" w:hAnsi="Times New Roman"/>
                <w:sz w:val="25"/>
                <w:szCs w:val="25"/>
                <w:color w:val="auto"/>
                <w:vertAlign w:val="superscript"/>
              </w:rPr>
              <w:t>(2)</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2,217,185</w:t>
            </w: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Jamie Haenggi</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bl>
    <w:p>
      <w:pPr>
        <w:spacing w:after="0" w:line="167" w:lineRule="exact"/>
        <w:rPr>
          <w:sz w:val="20"/>
          <w:szCs w:val="20"/>
          <w:color w:val="auto"/>
        </w:rPr>
      </w:pPr>
    </w:p>
    <w:p>
      <w:pPr>
        <w:ind w:left="269" w:hanging="269"/>
        <w:spacing w:after="0"/>
        <w:tabs>
          <w:tab w:leader="none" w:pos="269"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total shares underlying the RSU award were fully vested on the grant date.</w:t>
      </w:r>
    </w:p>
    <w:p>
      <w:pPr>
        <w:spacing w:after="0" w:line="191" w:lineRule="exact"/>
        <w:rPr>
          <w:rFonts w:ascii="Times New Roman" w:cs="Times New Roman" w:eastAsia="Times New Roman" w:hAnsi="Times New Roman"/>
          <w:sz w:val="15"/>
          <w:szCs w:val="15"/>
          <w:color w:val="auto"/>
        </w:rPr>
      </w:pPr>
    </w:p>
    <w:p>
      <w:pPr>
        <w:ind w:left="269" w:hanging="269"/>
        <w:spacing w:after="0" w:line="287" w:lineRule="auto"/>
        <w:tabs>
          <w:tab w:leader="none" w:pos="269"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243,169 shares under Mr. McCranie’s RSU awards were fully vested on the grant date. Mr. McCranie received a one-time grant of 1,000,000 RSUs in July 2025 that vests in equal monthly installments over five years.</w:t>
      </w:r>
    </w:p>
    <w:p>
      <w:pPr>
        <w:spacing w:after="0" w:line="3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SunPower’s compensation committee oversees the compensation policies, plans and programs and reviews and determines compensation to be paid to executive officers, directors and other senior management, as appropriate. The compensation policies followed by SunPower are intended to provide for compensation that is sufficient to attract, motivate and retain executives of SunPower and potential other individuals and to establish an appropriate relationship between executive compensation and the creation of stockholder value.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Nonqualified Deferred Compensation</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Our named executive officers did not participate in, or earn any benefits under, any nonqualified deferred compensation plan sponsored by SunPower during 2024 or 2025. The SunPower Board may elect to provide officers and other employees with nonqualified deferred compensation benefits in the future if it determines that doing so is in SunPower’s best interests.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Pension Benefits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SunPower’s named executive officers did not participate in, or otherwise receive any benefits under, any pension or retirement plan sponsored by SunPower during 2024 or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 Benefit Plans</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Equity-based compensation has been and will continue to be an important foundation in executive compensation packages as SunPower believes it is important to maintain a strong link between executive incentives and the creation of stockholder value. SunPower believes that performance and equity-based compensation can be an important component of the total executive compensation package for maximizing stockholder value while, at the same time, attracting, motivating and retaining high-quality executives. In July 2023, our Board adopted the 2023 Equity Incentive Plan, as amended (the “</w:t>
      </w:r>
      <w:r>
        <w:rPr>
          <w:rFonts w:ascii="Times New Roman" w:cs="Times New Roman" w:eastAsia="Times New Roman" w:hAnsi="Times New Roman"/>
          <w:sz w:val="15"/>
          <w:szCs w:val="15"/>
          <w:b w:val="1"/>
          <w:bCs w:val="1"/>
          <w:color w:val="auto"/>
        </w:rPr>
        <w:t>2023 Plan</w:t>
      </w:r>
      <w:r>
        <w:rPr>
          <w:rFonts w:ascii="Times New Roman" w:cs="Times New Roman" w:eastAsia="Times New Roman" w:hAnsi="Times New Roman"/>
          <w:sz w:val="15"/>
          <w:szCs w:val="15"/>
          <w:color w:val="auto"/>
        </w:rPr>
        <w:t>”), and the Employee Stock Purchase Plan (the “</w:t>
      </w:r>
      <w:r>
        <w:rPr>
          <w:rFonts w:ascii="Times New Roman" w:cs="Times New Roman" w:eastAsia="Times New Roman" w:hAnsi="Times New Roman"/>
          <w:sz w:val="15"/>
          <w:szCs w:val="15"/>
          <w:b w:val="1"/>
          <w:bCs w:val="1"/>
          <w:color w:val="auto"/>
        </w:rPr>
        <w:t>ESPP</w:t>
      </w:r>
      <w:r>
        <w:rPr>
          <w:rFonts w:ascii="Times New Roman" w:cs="Times New Roman" w:eastAsia="Times New Roman" w:hAnsi="Times New Roman"/>
          <w:sz w:val="15"/>
          <w:szCs w:val="15"/>
          <w:color w:val="auto"/>
        </w:rPr>
        <w:t>”). The 2023 Plan and the ESPP became effective immediately upon the Closing of the Business Combination. At our 2025 annual meeting of stockholders, our stockholders approved an amendment to the 2023 Plan to reserve an additional 21,555,584 shares of common stock for issuance under the 2023 Plan, and the 2023 Plan was so amended in May 2025.</w:t>
      </w:r>
    </w:p>
    <w:p>
      <w:pPr>
        <w:spacing w:after="0" w:line="149"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Below is a description of the 2023 Plan, the ESPP, our 2022 Stock Plan (the “</w:t>
      </w:r>
      <w:r>
        <w:rPr>
          <w:rFonts w:ascii="Times New Roman" w:cs="Times New Roman" w:eastAsia="Times New Roman" w:hAnsi="Times New Roman"/>
          <w:sz w:val="15"/>
          <w:szCs w:val="15"/>
          <w:b w:val="1"/>
          <w:bCs w:val="1"/>
          <w:color w:val="auto"/>
        </w:rPr>
        <w:t>2022 Plan</w:t>
      </w:r>
      <w:r>
        <w:rPr>
          <w:rFonts w:ascii="Times New Roman" w:cs="Times New Roman" w:eastAsia="Times New Roman" w:hAnsi="Times New Roman"/>
          <w:sz w:val="15"/>
          <w:szCs w:val="15"/>
          <w:color w:val="auto"/>
        </w:rPr>
        <w:t>”), our 2011 Stock Plan (the “</w:t>
      </w:r>
      <w:r>
        <w:rPr>
          <w:rFonts w:ascii="Times New Roman" w:cs="Times New Roman" w:eastAsia="Times New Roman" w:hAnsi="Times New Roman"/>
          <w:sz w:val="15"/>
          <w:szCs w:val="15"/>
          <w:b w:val="1"/>
          <w:bCs w:val="1"/>
          <w:color w:val="auto"/>
        </w:rPr>
        <w:t>2011 Plan</w:t>
      </w:r>
      <w:r>
        <w:rPr>
          <w:rFonts w:ascii="Times New Roman" w:cs="Times New Roman" w:eastAsia="Times New Roman" w:hAnsi="Times New Roman"/>
          <w:sz w:val="15"/>
          <w:szCs w:val="15"/>
          <w:color w:val="auto"/>
        </w:rPr>
        <w:t>”), our 2016 Stock Plan (the “</w:t>
      </w:r>
      <w:r>
        <w:rPr>
          <w:rFonts w:ascii="Times New Roman" w:cs="Times New Roman" w:eastAsia="Times New Roman" w:hAnsi="Times New Roman"/>
          <w:sz w:val="15"/>
          <w:szCs w:val="15"/>
          <w:b w:val="1"/>
          <w:bCs w:val="1"/>
          <w:color w:val="auto"/>
        </w:rPr>
        <w:t>2016 Plan</w:t>
      </w:r>
      <w:r>
        <w:rPr>
          <w:rFonts w:ascii="Times New Roman" w:cs="Times New Roman" w:eastAsia="Times New Roman" w:hAnsi="Times New Roman"/>
          <w:sz w:val="15"/>
          <w:szCs w:val="15"/>
          <w:color w:val="auto"/>
        </w:rPr>
        <w:t>”) and our 2006 Stock Plan (the “</w:t>
      </w:r>
      <w:r>
        <w:rPr>
          <w:rFonts w:ascii="Times New Roman" w:cs="Times New Roman" w:eastAsia="Times New Roman" w:hAnsi="Times New Roman"/>
          <w:sz w:val="15"/>
          <w:szCs w:val="15"/>
          <w:b w:val="1"/>
          <w:bCs w:val="1"/>
          <w:color w:val="auto"/>
        </w:rPr>
        <w:t>2006 Plan</w:t>
      </w:r>
      <w:r>
        <w:rPr>
          <w:rFonts w:ascii="Times New Roman" w:cs="Times New Roman" w:eastAsia="Times New Roman" w:hAnsi="Times New Roman"/>
          <w:sz w:val="15"/>
          <w:szCs w:val="15"/>
          <w:color w:val="auto"/>
        </w:rPr>
        <w:t>”). The 2022 Plan is the successor of the 2021 Stock Plan of Legacy Complete Solaria, which was amended and assumed by us in connection with a merger transaction completed prior to the Business Combination (the “</w:t>
      </w:r>
      <w:r>
        <w:rPr>
          <w:rFonts w:ascii="Times New Roman" w:cs="Times New Roman" w:eastAsia="Times New Roman" w:hAnsi="Times New Roman"/>
          <w:sz w:val="15"/>
          <w:szCs w:val="15"/>
          <w:b w:val="1"/>
          <w:bCs w:val="1"/>
          <w:color w:val="auto"/>
        </w:rPr>
        <w:t>Prior Transaction</w:t>
      </w:r>
      <w:r>
        <w:rPr>
          <w:rFonts w:ascii="Times New Roman" w:cs="Times New Roman" w:eastAsia="Times New Roman" w:hAnsi="Times New Roman"/>
          <w:sz w:val="15"/>
          <w:szCs w:val="15"/>
          <w:color w:val="auto"/>
        </w:rPr>
        <w:t>”). The 2011 Plan is the 2011 Stock Plan of Legacy Complete Solaria that was assumed in the Prior Transaction. The 2022 Plan, 2016 Plan, 2011 Plan and 2006 Plan are collectively referred to as the “</w:t>
      </w:r>
      <w:r>
        <w:rPr>
          <w:rFonts w:ascii="Times New Roman" w:cs="Times New Roman" w:eastAsia="Times New Roman" w:hAnsi="Times New Roman"/>
          <w:sz w:val="15"/>
          <w:szCs w:val="15"/>
          <w:b w:val="1"/>
          <w:bCs w:val="1"/>
          <w:color w:val="auto"/>
        </w:rPr>
        <w:t>Legacy Plans</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2016 Plan and the 2006 Plan are the stock plans of Solaria that were assumed by us in the Prior Transaction.</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2023 Incentive Equity Plan</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In July 2023, our Board adopted and our stockholders approved the 2023 Plan. The 2023 Plan became effective immediately upon the closing. At our 2025 annual meeting of stockholders, our stockholders approved an amendment to the 2023 Plan to reserve an additional 21,555,584 shares of common stock for issuance under the 2023 Plan, and the 2023 Plan was so amended in May 2025.</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98" w:name="page99"/>
    <w:bookmarkEnd w:id="98"/>
    <w:p>
      <w:pPr>
        <w:jc w:val="both"/>
        <w:ind w:firstLine="273"/>
        <w:spacing w:after="0" w:line="293" w:lineRule="auto"/>
        <w:rPr>
          <w:sz w:val="20"/>
          <w:szCs w:val="20"/>
          <w:color w:val="auto"/>
        </w:rPr>
      </w:pPr>
      <w:r>
        <w:rPr>
          <w:rFonts w:ascii="Times New Roman" w:cs="Times New Roman" w:eastAsia="Times New Roman" w:hAnsi="Times New Roman"/>
          <w:sz w:val="15"/>
          <w:szCs w:val="15"/>
          <w:i w:val="1"/>
          <w:iCs w:val="1"/>
          <w:color w:val="auto"/>
        </w:rPr>
        <w:t xml:space="preserve">Eligibility. </w:t>
      </w:r>
      <w:r>
        <w:rPr>
          <w:rFonts w:ascii="Times New Roman" w:cs="Times New Roman" w:eastAsia="Times New Roman" w:hAnsi="Times New Roman"/>
          <w:sz w:val="15"/>
          <w:szCs w:val="15"/>
          <w:color w:val="auto"/>
        </w:rPr>
        <w:t>Any individual who is an employee of SunPower or any of its affiliates, or any person who provides services to SunPower or its affiliates, including consultants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members of our Board, is eligible to receive awards under the 2023 Plan at the discretion of the plan administrator.</w:t>
      </w:r>
    </w:p>
    <w:p>
      <w:pPr>
        <w:spacing w:after="0" w:line="125" w:lineRule="exact"/>
        <w:rPr>
          <w:sz w:val="20"/>
          <w:szCs w:val="20"/>
          <w:color w:val="auto"/>
        </w:rPr>
      </w:pPr>
    </w:p>
    <w:p>
      <w:pPr>
        <w:jc w:val="both"/>
        <w:ind w:right="20"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Awards</w:t>
      </w:r>
      <w:r>
        <w:rPr>
          <w:rFonts w:ascii="Times New Roman" w:cs="Times New Roman" w:eastAsia="Times New Roman" w:hAnsi="Times New Roman"/>
          <w:sz w:val="15"/>
          <w:szCs w:val="15"/>
          <w:color w:val="auto"/>
        </w:rPr>
        <w:t>. The 2023 Plan provides for the grant of incentive stock options (“</w:t>
      </w:r>
      <w:r>
        <w:rPr>
          <w:rFonts w:ascii="Times New Roman" w:cs="Times New Roman" w:eastAsia="Times New Roman" w:hAnsi="Times New Roman"/>
          <w:sz w:val="15"/>
          <w:szCs w:val="15"/>
          <w:b w:val="1"/>
          <w:bCs w:val="1"/>
          <w:color w:val="auto"/>
        </w:rPr>
        <w:t>ISOs</w:t>
      </w:r>
      <w:r>
        <w:rPr>
          <w:rFonts w:ascii="Times New Roman" w:cs="Times New Roman" w:eastAsia="Times New Roman" w:hAnsi="Times New Roman"/>
          <w:sz w:val="15"/>
          <w:szCs w:val="15"/>
          <w:color w:val="auto"/>
        </w:rPr>
        <w:t>”), within the meaning of Section 422 of the Code to employees, including employees of any parent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subsidiary, and for the grant of nonstatutory stock options (“</w:t>
      </w:r>
      <w:r>
        <w:rPr>
          <w:rFonts w:ascii="Times New Roman" w:cs="Times New Roman" w:eastAsia="Times New Roman" w:hAnsi="Times New Roman"/>
          <w:sz w:val="15"/>
          <w:szCs w:val="15"/>
          <w:b w:val="1"/>
          <w:bCs w:val="1"/>
          <w:color w:val="auto"/>
        </w:rPr>
        <w:t>NSOs</w:t>
      </w:r>
      <w:r>
        <w:rPr>
          <w:rFonts w:ascii="Times New Roman" w:cs="Times New Roman" w:eastAsia="Times New Roman" w:hAnsi="Times New Roman"/>
          <w:sz w:val="15"/>
          <w:szCs w:val="15"/>
          <w:color w:val="auto"/>
        </w:rPr>
        <w:t>”), stock appreciation rights, restricted stock awards, restricted stock unit awards, performance awards and other forms of awards to employees, directors and consultants, including employees and consultants of SunPower’s affiliates.</w:t>
      </w:r>
    </w:p>
    <w:p>
      <w:pPr>
        <w:spacing w:after="0" w:line="140"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i w:val="1"/>
          <w:iCs w:val="1"/>
          <w:color w:val="auto"/>
        </w:rPr>
        <w:t>Authorized Shares</w:t>
      </w:r>
      <w:r>
        <w:rPr>
          <w:rFonts w:ascii="Times New Roman" w:cs="Times New Roman" w:eastAsia="Times New Roman" w:hAnsi="Times New Roman"/>
          <w:sz w:val="15"/>
          <w:szCs w:val="15"/>
          <w:color w:val="auto"/>
        </w:rPr>
        <w:t>. A maximum number of 32,702,618 shares of common stock may be issued under the 2023 Plan (which number of shares of common stock includes additional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of common stock available for issuance as a result of the automatic increase thereto as of January 1, 2025 as contemplated by the next sentence). In addition, the number of shares of common stock reserved for issuance under the 2023 Plan will automatically increase on January 1 of each year, starting on January 1, 2024 and ending on January 1, 2033, in an amount equal to the lesser of (1) 4% of the total number of shares of common stock outstanding on December 31 of the preceding year, or (2) a lesser number of shares of common stock determined by SunPower’s Board prior to the date of the increase.</w:t>
      </w:r>
    </w:p>
    <w:p>
      <w:pPr>
        <w:spacing w:after="0" w:line="151"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unused shares subject to stock awards granted under the 2023 Plan that expire, lapse or are terminated, exchanged for or settled in cash, surrendered, repurchased, canceled without having been fully exercised or forfeited, in any case, in a manner that results in SunPower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spacing w:after="0" w:line="147"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i w:val="1"/>
          <w:iCs w:val="1"/>
          <w:color w:val="auto"/>
        </w:rPr>
        <w:t>Non-Employee Director Compensation Limit</w:t>
      </w:r>
      <w:r>
        <w:rPr>
          <w:rFonts w:ascii="Times New Roman" w:cs="Times New Roman" w:eastAsia="Times New Roman" w:hAnsi="Times New Roman"/>
          <w:sz w:val="15"/>
          <w:szCs w:val="15"/>
          <w:color w:val="auto"/>
        </w:rPr>
        <w:t>. The aggregate value of all compensation granted or paid to any non-employee director with respect to any calendar year, including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awards granted and cash fees paid to such non-employee director, will not exceed (1) $1,000,000 in total value or (2) if such non-employee director is first appointed or elected to SunPower’s Board during such calendar year, $1,500,000 in total value, in each case, calculating the value of any equity awards based on the grant date fair value of such equity awards for financial reporting purposes.</w:t>
      </w:r>
    </w:p>
    <w:p>
      <w:pPr>
        <w:spacing w:after="0" w:line="146"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i w:val="1"/>
          <w:iCs w:val="1"/>
          <w:color w:val="auto"/>
        </w:rPr>
        <w:t>Plan Administration</w:t>
      </w:r>
      <w:r>
        <w:rPr>
          <w:rFonts w:ascii="Times New Roman" w:cs="Times New Roman" w:eastAsia="Times New Roman" w:hAnsi="Times New Roman"/>
          <w:sz w:val="15"/>
          <w:szCs w:val="15"/>
          <w:color w:val="auto"/>
        </w:rPr>
        <w:t>. SunPower’s Board, or a duly authorized committee thereof, will administer the 2023 Plan and is referred to as the “plan administrator” herein. SunPower’s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Board may also delegate to one or more of SunPower’s officers the authority to (1) designate employees (other than officers) to receive specified stock awards and (2) determine the number of shares subject to such stock awards. Under the 2023 Plan, the SunPower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46" w:lineRule="exact"/>
        <w:rPr>
          <w:sz w:val="20"/>
          <w:szCs w:val="20"/>
          <w:color w:val="auto"/>
        </w:rPr>
      </w:pPr>
    </w:p>
    <w:p>
      <w:pPr>
        <w:jc w:val="both"/>
        <w:ind w:right="20"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Stock Options</w:t>
      </w:r>
      <w:r>
        <w:rPr>
          <w:rFonts w:ascii="Times New Roman" w:cs="Times New Roman" w:eastAsia="Times New Roman" w:hAnsi="Times New Roman"/>
          <w:sz w:val="15"/>
          <w:szCs w:val="15"/>
          <w:color w:val="auto"/>
        </w:rPr>
        <w:t>. ISOs and NSOs are granted under stock option agreements adopted by the plan administrator. The plan administrator determines the exercise price for stock options,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within the terms and conditions of the 2023 Plan, provided that the exercise price of a stock option generally cannot be less than 100% of the fair market value of a share of common stock on the date of grant. Options granted under the 2023 Plan vest at the rate specified in the stock option agreement as determined by the plan administrator.</w:t>
      </w:r>
    </w:p>
    <w:p>
      <w:pPr>
        <w:spacing w:after="0" w:line="144"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SunPower or any of SunPower’s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SunPower or any of SunPower’s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99" w:name="page100"/>
    <w:bookmarkEnd w:id="99"/>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Acceptable consideration for the purchase of common stock issued upon the exercise of a stock option will be determined by the plan administrator and may include (1) cash, check, bank draft or money order, (2) a broker-assisted cashless exercise, (3) the tender of shares of common stock previously owned by the optionholder, (4) a net exercise of the option if it is an NSO or (5) other legal consideration approved by the plan administrator.</w:t>
      </w:r>
    </w:p>
    <w:p>
      <w:pPr>
        <w:spacing w:after="0" w:line="14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spacing w:after="0" w:line="130"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i w:val="1"/>
          <w:iCs w:val="1"/>
          <w:color w:val="auto"/>
        </w:rPr>
        <w:t>Tax Limitations on ISOs</w:t>
      </w:r>
      <w:r>
        <w:rPr>
          <w:rFonts w:ascii="Times New Roman" w:cs="Times New Roman" w:eastAsia="Times New Roman" w:hAnsi="Times New Roman"/>
          <w:sz w:val="15"/>
          <w:szCs w:val="15"/>
          <w:color w:val="auto"/>
        </w:rPr>
        <w:t>. The aggregate fair market value, determined at the time of grant, of SunPower’s common stock with respect to ISOs that are exercisable for the first time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an award holder during any calendar year under all of SunPower’s stock plans may not exceed $100,000. Options or portions thereof that exceed such limit will generally be treated as NSOs. No ISO may be granted to any person who, at the time of the grant, owns or is deemed to own stock possessing more than 10% of SunPower’s total combined voting power or that of any of SunPower’s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47"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i w:val="1"/>
          <w:iCs w:val="1"/>
          <w:color w:val="auto"/>
        </w:rPr>
        <w:t>Restricted Stock Unit Awards</w:t>
      </w:r>
      <w:r>
        <w:rPr>
          <w:rFonts w:ascii="Times New Roman" w:cs="Times New Roman" w:eastAsia="Times New Roman" w:hAnsi="Times New Roman"/>
          <w:sz w:val="15"/>
          <w:szCs w:val="15"/>
          <w:color w:val="auto"/>
        </w:rPr>
        <w:t>. Restricted stock unit awards are granted under restricted stock unit award agreements adopted by the plan administrator. Restricted stock unit awards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common stock, a combination of cash and shares of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spacing w:after="0" w:line="149"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i w:val="1"/>
          <w:iCs w:val="1"/>
          <w:color w:val="auto"/>
        </w:rPr>
        <w:t>Restricted Stock Awards</w:t>
      </w:r>
      <w:r>
        <w:rPr>
          <w:rFonts w:ascii="Times New Roman" w:cs="Times New Roman" w:eastAsia="Times New Roman" w:hAnsi="Times New Roman"/>
          <w:sz w:val="15"/>
          <w:szCs w:val="15"/>
          <w:color w:val="auto"/>
        </w:rPr>
        <w:t>. Restricted stock awards are granted under restricted stock award agreements adopted by the plan administrator. A restricted stock award may be awarded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SunPower ends for any reason, SunPower may receive any or all of the shares of common stock held by the participant that have not vested as of the date the participant terminates service with SunPower through a forfeiture condition or a repurchase right.</w:t>
      </w:r>
    </w:p>
    <w:p>
      <w:pPr>
        <w:spacing w:after="0" w:line="147"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i w:val="1"/>
          <w:iCs w:val="1"/>
          <w:color w:val="auto"/>
        </w:rPr>
        <w:t>Stock Appreciation Rights</w:t>
      </w:r>
      <w:r>
        <w:rPr>
          <w:rFonts w:ascii="Times New Roman" w:cs="Times New Roman" w:eastAsia="Times New Roman" w:hAnsi="Times New Roman"/>
          <w:sz w:val="15"/>
          <w:szCs w:val="15"/>
          <w:color w:val="auto"/>
        </w:rPr>
        <w:t>. Stock appreciation rights are granted under stock appreciation right agreements adopted by the plan administrator. The plan administrator determines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strike price for a stock appreciation right, which generally cannot be less than 100% of the fair market value of common stock on the date of grant. A stock appreciation right granted under the 2023 Plan vests at the rate specified in the stock appreciation right agreement as determined by the plan administrator. Stock appreciation rights may be settled in cash or shares of common stock or in any other form of payment, as determined by the plan administrator and specified in the stock appreciation right agreement.</w:t>
      </w:r>
    </w:p>
    <w:p>
      <w:pPr>
        <w:spacing w:after="0" w:line="150"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SunPower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SunPower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00" w:name="page101"/>
    <w:bookmarkEnd w:id="100"/>
    <w:p>
      <w:pPr>
        <w:jc w:val="both"/>
        <w:ind w:right="20"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Performance Awards</w:t>
      </w:r>
      <w:r>
        <w:rPr>
          <w:rFonts w:ascii="Times New Roman" w:cs="Times New Roman" w:eastAsia="Times New Roman" w:hAnsi="Times New Roman"/>
          <w:sz w:val="15"/>
          <w:szCs w:val="15"/>
          <w:color w:val="auto"/>
        </w:rPr>
        <w:t>. The 2023 Plan permits the grant of performance awards that may be settled in stock, cash or other property. Performance awards may be structured so that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common stock.</w:t>
      </w:r>
    </w:p>
    <w:p>
      <w:pPr>
        <w:spacing w:after="0" w:line="140"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i w:val="1"/>
          <w:iCs w:val="1"/>
          <w:color w:val="auto"/>
        </w:rPr>
        <w:t>Other Stock Awards</w:t>
      </w:r>
      <w:r>
        <w:rPr>
          <w:rFonts w:ascii="Times New Roman" w:cs="Times New Roman" w:eastAsia="Times New Roman" w:hAnsi="Times New Roman"/>
          <w:sz w:val="15"/>
          <w:szCs w:val="15"/>
          <w:color w:val="auto"/>
        </w:rPr>
        <w:t>. The plan administrator may grant other awards based in whole or in part by reference to common stock. The plan administrator will set the number of shares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 the stock award (or cash equivalent) and all other terms and conditions of such awards.</w:t>
      </w:r>
    </w:p>
    <w:p>
      <w:pPr>
        <w:spacing w:after="0" w:line="125" w:lineRule="exact"/>
        <w:rPr>
          <w:sz w:val="20"/>
          <w:szCs w:val="20"/>
          <w:color w:val="auto"/>
        </w:rPr>
      </w:pPr>
    </w:p>
    <w:p>
      <w:pPr>
        <w:jc w:val="both"/>
        <w:ind w:firstLine="273"/>
        <w:spacing w:after="0" w:line="269" w:lineRule="auto"/>
        <w:rPr>
          <w:sz w:val="20"/>
          <w:szCs w:val="20"/>
          <w:color w:val="auto"/>
        </w:rPr>
      </w:pPr>
      <w:r>
        <w:rPr>
          <w:rFonts w:ascii="Times New Roman" w:cs="Times New Roman" w:eastAsia="Times New Roman" w:hAnsi="Times New Roman"/>
          <w:sz w:val="15"/>
          <w:szCs w:val="15"/>
          <w:i w:val="1"/>
          <w:iCs w:val="1"/>
          <w:color w:val="auto"/>
        </w:rPr>
        <w:t>Changes to Capital Structure</w:t>
      </w:r>
      <w:r>
        <w:rPr>
          <w:rFonts w:ascii="Times New Roman" w:cs="Times New Roman" w:eastAsia="Times New Roman" w:hAnsi="Times New Roman"/>
          <w:sz w:val="15"/>
          <w:szCs w:val="15"/>
          <w:color w:val="auto"/>
        </w:rPr>
        <w:t>. In the event there is a specified type of change in the capital structure of SunPower, such as a stock split, reverse stock split, or recapitalization,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spacing w:after="0" w:line="330"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Corporate Transactions</w:t>
      </w:r>
      <w:r>
        <w:rPr>
          <w:rFonts w:ascii="Times New Roman" w:cs="Times New Roman" w:eastAsia="Times New Roman" w:hAnsi="Times New Roman"/>
          <w:sz w:val="15"/>
          <w:szCs w:val="15"/>
          <w:color w:val="auto"/>
        </w:rPr>
        <w:t>. The following applies to stock awards under the 2023 Plan in the event of a corporate transaction (as defined in the 2023 Plan), unless otherwise provided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a participant’s stock award agreement or other written agreement with SunPower or one of its affiliates or unless otherwise expressly provided by the plan administrator at the time of grant.</w:t>
      </w:r>
    </w:p>
    <w:p>
      <w:pPr>
        <w:spacing w:after="0" w:line="144" w:lineRule="exact"/>
        <w:rPr>
          <w:sz w:val="20"/>
          <w:szCs w:val="20"/>
          <w:color w:val="auto"/>
        </w:rPr>
      </w:pPr>
    </w:p>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SunPower with respect to the stock award may be assigned to SunPower’s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SunPower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SunPower with respect to such stock awards will not terminate and may continue to be exercised notwithstanding the corporate transaction.</w:t>
      </w:r>
    </w:p>
    <w:p>
      <w:pPr>
        <w:spacing w:after="0" w:line="161"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common stock in connection with the corporate transaction, over (ii) if applicable, any per share exercise price payable by such holder.</w:t>
      </w:r>
    </w:p>
    <w:p>
      <w:pPr>
        <w:spacing w:after="0" w:line="142"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Plan Amendment or Termination</w:t>
      </w:r>
      <w:r>
        <w:rPr>
          <w:rFonts w:ascii="Times New Roman" w:cs="Times New Roman" w:eastAsia="Times New Roman" w:hAnsi="Times New Roman"/>
          <w:sz w:val="15"/>
          <w:szCs w:val="15"/>
          <w:color w:val="auto"/>
        </w:rPr>
        <w:t>. SunPower’s Board has the authority to amend, suspend, or terminate the 2023 Plan at any time, provided that such action does not materially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impair the existing rights of any participant without such participant’s written consent. Certain material amendments also require approval of SunPower’s stockholders. No ISOs may be granted after the tenth anniversary of the date the Board adopts the 2023 Plan. No stock awards may be granted under the 2023 Plan while it is suspended or after it is terminated.</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b w:val="1"/>
          <w:bCs w:val="1"/>
          <w:i w:val="1"/>
          <w:iCs w:val="1"/>
          <w:color w:val="auto"/>
        </w:rPr>
        <w:t>2023 Employee Stock Purchase Plan</w:t>
      </w:r>
    </w:p>
    <w:p>
      <w:pPr>
        <w:spacing w:after="0" w:line="192"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color w:val="auto"/>
        </w:rPr>
        <w:t>In July 2023, the SunPower Board adopted and our stockholders approved the 2023 Employee Stock Purchase Plan (the “</w:t>
      </w:r>
      <w:r>
        <w:rPr>
          <w:rFonts w:ascii="Times New Roman" w:cs="Times New Roman" w:eastAsia="Times New Roman" w:hAnsi="Times New Roman"/>
          <w:sz w:val="15"/>
          <w:szCs w:val="15"/>
          <w:b w:val="1"/>
          <w:bCs w:val="1"/>
          <w:color w:val="auto"/>
        </w:rPr>
        <w:t>ESPP</w:t>
      </w:r>
      <w:r>
        <w:rPr>
          <w:rFonts w:ascii="Times New Roman" w:cs="Times New Roman" w:eastAsia="Times New Roman" w:hAnsi="Times New Roman"/>
          <w:sz w:val="15"/>
          <w:szCs w:val="15"/>
          <w:color w:val="auto"/>
        </w:rPr>
        <w:t>”). The ESPP became effective immediately upon the closing.</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 xml:space="preserve">Administration. </w:t>
      </w:r>
      <w:r>
        <w:rPr>
          <w:rFonts w:ascii="Times New Roman" w:cs="Times New Roman" w:eastAsia="Times New Roman" w:hAnsi="Times New Roman"/>
          <w:sz w:val="15"/>
          <w:szCs w:val="15"/>
          <w:color w:val="auto"/>
        </w:rPr>
        <w:t>SunPower’s Board, or a duly authorized committee thereof, will administer the ESPP.</w:t>
      </w:r>
    </w:p>
    <w:p>
      <w:pPr>
        <w:spacing w:after="0" w:line="192"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i w:val="1"/>
          <w:iCs w:val="1"/>
          <w:color w:val="auto"/>
        </w:rPr>
        <w:t>Limitations</w:t>
      </w:r>
      <w:r>
        <w:rPr>
          <w:rFonts w:ascii="Times New Roman" w:cs="Times New Roman" w:eastAsia="Times New Roman" w:hAnsi="Times New Roman"/>
          <w:sz w:val="15"/>
          <w:szCs w:val="15"/>
          <w:color w:val="auto"/>
        </w:rPr>
        <w:t>. SunPower’s employees and the employees of any of its designated affiliates, as designated by SunPower’s Board, will be eligible to participate in the ESPP, provided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they may have to satisfy one or more of the following service requirements before participating in the ESPP, as determined by the administrator: (1) customary employment with SunPower or one of its affiliates for more than 20 hours per week and five or more months per calendar year or (2) continuous employment with SunPower or one of its affiliates for a minimum period of time, not to exceed two years, prior to the first date of an offering. In addition, SunPower’s Board may also exclude from participation in the ESPP or any offering, employees who are “highly compensated employees” (within the meaning of Section 423(b)(4)(D) of the Code) or a subset of such highly compensated employees. If this proposal is approved by the stockholders, all the employees of SunPower and its related corporations will be eligible to participate in the ESPP following the Closing. An employee may not be granted rights to purchase stock under the ESPP (a) if such employee immediately after the grant would own stock possessing 5% or more of the total combined voting power or value of all classes of SunPower’s capital stock or (b) to the extent that such rights would accrue at a rate that exceeds $25,000 worth of SunPower capital stock for each calendar year that the rights remain outstanding.</w:t>
      </w:r>
    </w:p>
    <w:p>
      <w:pPr>
        <w:spacing w:after="0" w:line="15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SunPower’s stock on any purchase date during the offering period is less than or equal to the fair market value of a share of SunPower’s stock on the first day of the offering period, then that offering will terminate immediately, and the participants in such terminated offering will be automatically enrolled in a new offering that begins immediately after such purchase date.</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 participant may not transfer purchase rights under the ESPP other than by will, the laws of descent and distribution, or as otherwise provided under the ESPP.</w:t>
      </w:r>
    </w:p>
    <w:p>
      <w:pPr>
        <w:spacing w:after="0" w:line="188"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i w:val="1"/>
          <w:iCs w:val="1"/>
          <w:color w:val="auto"/>
        </w:rPr>
        <w:t>Payroll Deductions</w:t>
      </w:r>
      <w:r>
        <w:rPr>
          <w:rFonts w:ascii="Times New Roman" w:cs="Times New Roman" w:eastAsia="Times New Roman" w:hAnsi="Times New Roman"/>
          <w:sz w:val="15"/>
          <w:szCs w:val="15"/>
          <w:color w:val="auto"/>
        </w:rPr>
        <w:t>. The ESPP permits participants to purchase shares of common stock through payroll deductions. Unless otherwise determined by the administrator, the purchase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price of the shares will be 85% of the lower of the fair market value of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SunPower and its related corporations.</w:t>
      </w:r>
    </w:p>
    <w:p>
      <w:pPr>
        <w:spacing w:after="0" w:line="146"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i w:val="1"/>
          <w:iCs w:val="1"/>
          <w:color w:val="auto"/>
        </w:rPr>
        <w:t xml:space="preserve">Withdrawal. </w:t>
      </w:r>
      <w:r>
        <w:rPr>
          <w:rFonts w:ascii="Times New Roman" w:cs="Times New Roman" w:eastAsia="Times New Roman" w:hAnsi="Times New Roman"/>
          <w:sz w:val="15"/>
          <w:szCs w:val="15"/>
          <w:color w:val="auto"/>
        </w:rPr>
        <w:t>Participants may withdraw from an offering by delivering a withdrawal form to SunPower and terminating their contributions. Such withdrawal may be elected at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time prior to the end of an offering, except as otherwise provided by the Plan Administrator. Upon such withdrawal, SunPower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spacing w:after="0" w:line="146"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 xml:space="preserve">Termination of Employment. </w:t>
      </w:r>
      <w:r>
        <w:rPr>
          <w:rFonts w:ascii="Times New Roman" w:cs="Times New Roman" w:eastAsia="Times New Roman" w:hAnsi="Times New Roman"/>
          <w:sz w:val="15"/>
          <w:szCs w:val="15"/>
          <w:color w:val="auto"/>
        </w:rPr>
        <w:t>A participant’s rights under any offering under the ESPP will terminate immediately if the participant either (i) is no longer employed by SunPower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of its parent or subsidiary companies (subject to any post-employment participation period required by law) or (ii) is otherwise no longer eligible to participate. In such event, SunPower will distribute to the participant his or her accumulated but unused contributions, without interest.</w:t>
      </w:r>
    </w:p>
    <w:p>
      <w:pPr>
        <w:spacing w:after="0" w:line="140"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i w:val="1"/>
          <w:iCs w:val="1"/>
          <w:color w:val="auto"/>
        </w:rPr>
        <w:t>Corporate Transactions</w:t>
      </w:r>
      <w:r>
        <w:rPr>
          <w:rFonts w:ascii="Times New Roman" w:cs="Times New Roman" w:eastAsia="Times New Roman" w:hAnsi="Times New Roman"/>
          <w:sz w:val="15"/>
          <w:szCs w:val="15"/>
          <w:color w:val="auto"/>
        </w:rPr>
        <w:t>. In the event of certain specified significant corporate transactions, such as a merger or change in control, a successor corporation may assume, continue,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substitute each outstanding purchase right. If the successor corporation does not assume, continue, or substitute for the outstanding purchase rights, the offering in progress will be shortened and the participants’ accumulated contributions will be used to purchase shares of common stock within ten business days (or such other period specified by the plan administrator) prior to the corporate transaction, and the participants’ purchase rights will terminate immediately thereafter.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02" w:name="page103"/>
    <w:bookmarkEnd w:id="102"/>
    <w:p>
      <w:pPr>
        <w:jc w:val="both"/>
        <w:ind w:firstLine="273"/>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Amendment and Termination. </w:t>
      </w:r>
      <w:r>
        <w:rPr>
          <w:rFonts w:ascii="Times New Roman" w:cs="Times New Roman" w:eastAsia="Times New Roman" w:hAnsi="Times New Roman"/>
          <w:sz w:val="15"/>
          <w:szCs w:val="15"/>
          <w:color w:val="auto"/>
        </w:rPr>
        <w:t>SunPower’s Board has the authority to amend, suspend, or terminate the ESPP, at any time and for any reason, provided certain types of amendments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will require the approval of SunPower’s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SunPower’s Board in accordance with the terms of the ESPP.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2022 Stock Plan</w:t>
      </w:r>
    </w:p>
    <w:p>
      <w:pPr>
        <w:spacing w:after="0" w:line="19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The SunPower Board adopted, and SunPower’s stockholders approved, the 2022 Plan in October 2022 in connection with the Required Transaction. The 2022 Plan amended and restated 2021 Stock Plan of the Company.</w:t>
      </w:r>
    </w:p>
    <w:p>
      <w:pPr>
        <w:spacing w:after="0" w:line="134"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2022 Plan terminated when the 2023 Plan became effective upon the consummation of the Business Combination. However, any outstanding awards granted under the 2022 Plan remain outstanding, subject to the terms of SunPower’s 2022 Plan and award agreements, until such outstanding options are exercised or until any awards terminate or expire by their terms.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of April 30, 2025, there were outstanding awards relating to 3,265,128 shares of common stock under the 2022 Plan and the other Legacy Plans, collectively.</w:t>
      </w:r>
    </w:p>
    <w:p>
      <w:pPr>
        <w:spacing w:after="0" w:line="188"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i w:val="1"/>
          <w:iCs w:val="1"/>
          <w:color w:val="auto"/>
        </w:rPr>
        <w:t>Stock Awards</w:t>
      </w:r>
      <w:r>
        <w:rPr>
          <w:rFonts w:ascii="Times New Roman" w:cs="Times New Roman" w:eastAsia="Times New Roman" w:hAnsi="Times New Roman"/>
          <w:sz w:val="15"/>
          <w:szCs w:val="15"/>
          <w:color w:val="auto"/>
        </w:rPr>
        <w:t>. The 2022 Plan provides for the grant of ISOs and nonstatutory stock options to purchase shares of common stock and restricted stock awards (collectively, “</w:t>
      </w: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b w:val="1"/>
          <w:bCs w:val="1"/>
          <w:color w:val="auto"/>
        </w:rPr>
        <w:t>awards</w:t>
      </w:r>
      <w:r>
        <w:rPr>
          <w:rFonts w:ascii="Times New Roman" w:cs="Times New Roman" w:eastAsia="Times New Roman" w:hAnsi="Times New Roman"/>
          <w:sz w:val="15"/>
          <w:szCs w:val="15"/>
          <w:color w:val="auto"/>
        </w:rPr>
        <w:t>”). ISOs may be granted only to SunPower employees and the employees of any parent corporation or subsidiary corporation. All other awards may be granted to SunPower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employees, non-employee directors and consultants and the employees and consultants of SunPower affiliates. SunPower has granted stock options and restricted stock awards under the 2022 Plan.</w:t>
      </w:r>
    </w:p>
    <w:p>
      <w:pPr>
        <w:spacing w:after="0" w:line="150"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If a stock award granted under the 2022 Plan expires or otherwise terminates without being exercised in full, or is settled in cash, the shares of common stock not acquired pursuant to the stock award again will become available for subsequent issuance under the 2022 Plan (in the event that the 2023 Plan does not become effective as described in the preceding paragraph). In addition, the following types of shares of common stock under the 2022 Plan may become available for the grant of new stock awards under the 2022 Plan: (1) shares that are forfeited to or repurchased by SunPower prior to becoming fully vested; (2) shares retained to satisfy income or employment withholding taxes; (3) shares retained to pay the exercise or purchase price of a stock award; or (4) shares surrendered pursuant to an option exchange program.</w:t>
      </w:r>
    </w:p>
    <w:p>
      <w:pPr>
        <w:spacing w:after="0" w:line="151"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i w:val="1"/>
          <w:iCs w:val="1"/>
          <w:color w:val="auto"/>
        </w:rPr>
        <w:t>Administration</w:t>
      </w:r>
      <w:r>
        <w:rPr>
          <w:rFonts w:ascii="Times New Roman" w:cs="Times New Roman" w:eastAsia="Times New Roman" w:hAnsi="Times New Roman"/>
          <w:sz w:val="15"/>
          <w:szCs w:val="15"/>
          <w:color w:val="auto"/>
        </w:rPr>
        <w:t>. The SunPower Board, or a duly authorized committee thereof, has the authority to administer the 2022 Plan. The SunPower Board may also delegate to one or more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officers the authority to (1) designate employees (other than other officers or directors) to be recipients of certain stock awards, and (2) grant stock awards to such individuals within parameters specified by the Board.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spacing w:after="0" w:line="154"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Stock Options</w:t>
      </w:r>
      <w:r>
        <w:rPr>
          <w:rFonts w:ascii="Times New Roman" w:cs="Times New Roman" w:eastAsia="Times New Roman" w:hAnsi="Times New Roman"/>
          <w:sz w:val="15"/>
          <w:szCs w:val="15"/>
          <w:color w:val="auto"/>
        </w:rPr>
        <w:t>. ISOs and NSOs are granted pursuant to stock option agreements adopted by the plan administrator. The plan administrator determines the exercise price for a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option, provided that the exercise price of a stock option generally cannot be less than 100% of the fair market value of common stock on the date of grant. Options granted under the 2022 Plan vest at the rate specified by the plan administrator.</w:t>
      </w:r>
    </w:p>
    <w:p>
      <w:pPr>
        <w:spacing w:after="0" w:line="144"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The plan administrator determines the term of stock options granted under the 2022 Plan, up to a maximum of ten years. Unless the terms of an optionholder’s stock option agreement provide otherwise, if an optionholder’s service relationship with us, or any of SunPower’s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SunPower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03" w:name="page104"/>
    <w:bookmarkEnd w:id="103"/>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Acceptable consideration for the purchase of common stock issued upon the exercise of a stock option will be determined by the plan administrator and may include: (1) cash; (2) check; (3) to the extent permitted under applicable laws, a promissory note; (4) cancellation of indebtedness; (5) other previously owned SunPower shares; (6) a cashless exercise; (7) such other consideration and method of payment permitted under applicable laws; or (8) any combination of the foregoing methods of payment.</w:t>
      </w:r>
    </w:p>
    <w:p>
      <w:pPr>
        <w:spacing w:after="0" w:line="142"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i w:val="1"/>
          <w:iCs w:val="1"/>
          <w:color w:val="auto"/>
        </w:rPr>
        <w:t>Tax Limitations on Incentive Stock Options</w:t>
      </w:r>
      <w:r>
        <w:rPr>
          <w:rFonts w:ascii="Times New Roman" w:cs="Times New Roman" w:eastAsia="Times New Roman" w:hAnsi="Times New Roman"/>
          <w:sz w:val="15"/>
          <w:szCs w:val="15"/>
          <w:color w:val="auto"/>
        </w:rPr>
        <w:t>. The aggregate fair market value, determined at the time of grant, of common stock with respect to ISOs that are exercisable for the first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time by an optionholder during any calendar year under all SunPower stock plans may not exceed $100,000. Options or portions thereof that exceed such limit will generally be treated as NSOs. No ISO may be granted to any person who, at the time of the grant, owns or is deemed to own stock possessing more than 10% of the total combined voting power of SunPower or that of any of its affiliates unless (1) the option exercise price is at least 110% of the fair market value of the stock subject to the option on the date of grant and (2) the term of the ISO does not exceed five years from the date of grant.</w:t>
      </w:r>
    </w:p>
    <w:p>
      <w:pPr>
        <w:spacing w:after="0" w:line="147"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i w:val="1"/>
          <w:iCs w:val="1"/>
          <w:color w:val="auto"/>
        </w:rPr>
        <w:t>Incentive Stock Option Limit</w:t>
      </w:r>
      <w:r>
        <w:rPr>
          <w:rFonts w:ascii="Times New Roman" w:cs="Times New Roman" w:eastAsia="Times New Roman" w:hAnsi="Times New Roman"/>
          <w:sz w:val="15"/>
          <w:szCs w:val="15"/>
          <w:color w:val="auto"/>
        </w:rPr>
        <w:t>. The maximum number of shares of common stock that may be issued upon the exercise of ISOs under the 2022 Plan is 6,677,960 shares plus,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extent permitted by applicable law, any shares that again become available for issuance under the 2022 Plan.</w:t>
      </w:r>
    </w:p>
    <w:p>
      <w:pPr>
        <w:spacing w:after="0" w:line="125"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i w:val="1"/>
          <w:iCs w:val="1"/>
          <w:color w:val="auto"/>
        </w:rPr>
        <w:t>Restricted Stock Awards</w:t>
      </w:r>
      <w:r>
        <w:rPr>
          <w:rFonts w:ascii="Times New Roman" w:cs="Times New Roman" w:eastAsia="Times New Roman" w:hAnsi="Times New Roman"/>
          <w:sz w:val="15"/>
          <w:szCs w:val="15"/>
          <w:color w:val="auto"/>
        </w:rPr>
        <w:t>. Restricted stock awards are granted pursuant to restricted stock award agreements adopted by the plan administrator. The permissible consideration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restricted stock awards are the same as apply to stock options. common stock acquired under a restricted stock award may, but need not, be subject to a share repurchase option in SunPower’s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SunPower upon the participant’s cessation of continuous service for any reason.</w:t>
      </w:r>
    </w:p>
    <w:p>
      <w:pPr>
        <w:spacing w:after="0" w:line="147"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i w:val="1"/>
          <w:iCs w:val="1"/>
          <w:color w:val="auto"/>
        </w:rPr>
        <w:t>Changes to Capital Structure</w:t>
      </w:r>
      <w:r>
        <w:rPr>
          <w:rFonts w:ascii="Times New Roman" w:cs="Times New Roman" w:eastAsia="Times New Roman" w:hAnsi="Times New Roman"/>
          <w:sz w:val="15"/>
          <w:szCs w:val="15"/>
          <w:color w:val="auto"/>
        </w:rPr>
        <w:t>. In the event that there is a specified type of change in SunPower’s capital structure, including without limitation a stock split or recapitalization,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extraordinary divided payable in a form other than shares in an amount that has a material effect on the fair market value of the common stock, or any increase or decrease in the number of issued shares effected without receipt of consideration by SunPower,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spacing w:after="0" w:line="14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i w:val="1"/>
          <w:iCs w:val="1"/>
          <w:color w:val="auto"/>
        </w:rPr>
        <w:t>Corporate Transactions</w:t>
      </w:r>
      <w:r>
        <w:rPr>
          <w:rFonts w:ascii="Times New Roman" w:cs="Times New Roman" w:eastAsia="Times New Roman" w:hAnsi="Times New Roman"/>
          <w:sz w:val="15"/>
          <w:szCs w:val="15"/>
          <w:color w:val="auto"/>
        </w:rPr>
        <w:t>. The 2022 Plan provides that in the event of certain specified significant corporate transactions, unless otherwise provided in an award agreement or other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written agreement between SunPower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SunPower in respect of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spacing w:after="0" w:line="15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Under the 2022 Plan, a significant corporate transaction is generally the consummation of (1) a transfer of all or substantially all of SunPower’s assets, (2) the consummation of a transaction, or series of related transactions, in which any person becomes the beneficial owners of more than 50% of SunPower’s then-outstanding capital stock, or (3) a merger, consolidation or other capital reorganization or business combination transaction of SunPower with our into another corporation, entity or person.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04" w:name="page105"/>
    <w:bookmarkEnd w:id="104"/>
    <w:p>
      <w:pPr>
        <w:jc w:val="both"/>
        <w:ind w:right="20" w:firstLine="273"/>
        <w:spacing w:after="0" w:line="293" w:lineRule="auto"/>
        <w:rPr>
          <w:sz w:val="20"/>
          <w:szCs w:val="20"/>
          <w:color w:val="auto"/>
        </w:rPr>
      </w:pPr>
      <w:r>
        <w:rPr>
          <w:rFonts w:ascii="Times New Roman" w:cs="Times New Roman" w:eastAsia="Times New Roman" w:hAnsi="Times New Roman"/>
          <w:sz w:val="15"/>
          <w:szCs w:val="15"/>
          <w:i w:val="1"/>
          <w:iCs w:val="1"/>
          <w:color w:val="auto"/>
        </w:rPr>
        <w:t>Transferability</w:t>
      </w:r>
      <w:r>
        <w:rPr>
          <w:rFonts w:ascii="Times New Roman" w:cs="Times New Roman" w:eastAsia="Times New Roman" w:hAnsi="Times New Roman"/>
          <w:sz w:val="15"/>
          <w:szCs w:val="15"/>
          <w:color w:val="auto"/>
        </w:rPr>
        <w:t>. A participant generally may not transfer stock awards under the 2022 Plan other than by will, the laws of descent and distribution or as otherwise provided under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2022 Plan.</w:t>
      </w:r>
    </w:p>
    <w:p>
      <w:pPr>
        <w:spacing w:after="0" w:line="125"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i w:val="1"/>
          <w:iCs w:val="1"/>
          <w:color w:val="auto"/>
        </w:rPr>
        <w:t>Amendment and Termination</w:t>
      </w:r>
      <w:r>
        <w:rPr>
          <w:rFonts w:ascii="Times New Roman" w:cs="Times New Roman" w:eastAsia="Times New Roman" w:hAnsi="Times New Roman"/>
          <w:sz w:val="15"/>
          <w:szCs w:val="15"/>
          <w:color w:val="auto"/>
        </w:rPr>
        <w:t>. The SunPower Board has the authority to amend, suspend or terminate the 2022 Plan, provided that, with certain exceptions, such action does not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impair the existing rights of any participant without such participant’s written consent. Certain material amendments also require the approval of SunPower’s stockholders. Unless terminated sooner by the SunPower Board, the 2022 Plan will automatically terminate in October, 2032. No stock awards may be granted under the 2022 Plan while it is suspended or terminated.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2011 Stock Plan</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Legacy Complete Solar’s board of directors adopted the 2011 Plan in January 2011 and was amended from to time by Legacy Complete Solar’s board of directors and its stockholders. The 2011 Plan was terminated in November, 2021 in connection with SunPower’s adoption of the 2022 Plan, and no new awards may be granted under it. The 2011 Plan was assumed by SunPower in connection with the Required Transaction. Outstanding awards granted under the 2011 Plan remain outstanding, subject to the terms of the 2011 Plan and award agreements, until such outstanding options are exercised or terminate or expire by their terms. As of April 30, 2025, there were outstanding awards relating to 3,265,128 shares of common stock under the 2011 Plan and the other Legacy Plans, collectively.</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Plan Administration</w:t>
      </w:r>
      <w:r>
        <w:rPr>
          <w:rFonts w:ascii="Times New Roman" w:cs="Times New Roman" w:eastAsia="Times New Roman" w:hAnsi="Times New Roman"/>
          <w:sz w:val="15"/>
          <w:szCs w:val="15"/>
          <w:color w:val="auto"/>
        </w:rPr>
        <w:t>. SunPower’s board of directors or a duly authorized committee of the board of directors administers the 2011 Plan and the awards granted under it.</w:t>
      </w:r>
    </w:p>
    <w:p>
      <w:pPr>
        <w:spacing w:after="0" w:line="192"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Capitalization Adjustments</w:t>
      </w:r>
      <w:r>
        <w:rPr>
          <w:rFonts w:ascii="Times New Roman" w:cs="Times New Roman" w:eastAsia="Times New Roman" w:hAnsi="Times New Roman"/>
          <w:sz w:val="15"/>
          <w:szCs w:val="15"/>
          <w:color w:val="auto"/>
        </w:rPr>
        <w:t>. In the event that any change is made in, or other events occur with respect to, our common stock subject to the 2011 Plan or any stock award, such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spacing w:after="0" w:line="140"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i w:val="1"/>
          <w:iCs w:val="1"/>
          <w:color w:val="auto"/>
        </w:rPr>
        <w:t>Corporate Transactions</w:t>
      </w:r>
      <w:r>
        <w:rPr>
          <w:rFonts w:ascii="Times New Roman" w:cs="Times New Roman" w:eastAsia="Times New Roman" w:hAnsi="Times New Roman"/>
          <w:sz w:val="15"/>
          <w:szCs w:val="15"/>
          <w:color w:val="auto"/>
        </w:rPr>
        <w:t>. In the event of a sale of all or substantially all of our assets or our merger, consolidation or other capital reorganization or business combination transaction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spacing w:after="0" w:line="149"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Change in Control</w:t>
      </w:r>
      <w:r>
        <w:rPr>
          <w:rFonts w:ascii="Times New Roman" w:cs="Times New Roman" w:eastAsia="Times New Roman" w:hAnsi="Times New Roman"/>
          <w:sz w:val="15"/>
          <w:szCs w:val="15"/>
          <w:color w:val="auto"/>
        </w:rPr>
        <w:t>. In the event of a change in control (as defined in the 2011 Plan), a stock award may be subject to additional acceleration of vesting and exercisability upon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after a change in control, as may be provided in the stock award agreement or in any other written agreement between us and a participant. In the absence of such a provision, no such acceleration will occur.</w:t>
      </w:r>
    </w:p>
    <w:p>
      <w:pPr>
        <w:spacing w:after="0" w:line="140"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i w:val="1"/>
          <w:iCs w:val="1"/>
          <w:color w:val="auto"/>
        </w:rPr>
        <w:t>Amendment of Awards</w:t>
      </w:r>
      <w:r>
        <w:rPr>
          <w:rFonts w:ascii="Times New Roman" w:cs="Times New Roman" w:eastAsia="Times New Roman" w:hAnsi="Times New Roman"/>
          <w:sz w:val="15"/>
          <w:szCs w:val="15"/>
          <w:color w:val="auto"/>
        </w:rPr>
        <w:t>. The plan administrator has the authority to modify outstanding stock awards under our 2011 Plan; provided that no such amendment or modification may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impair the rights of any participant with respect to awards granted prior to such action without such participant’s written consent.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5"/>
          <w:szCs w:val="15"/>
          <w:b w:val="1"/>
          <w:bCs w:val="1"/>
          <w:i w:val="1"/>
          <w:iCs w:val="1"/>
          <w:color w:val="auto"/>
        </w:rPr>
        <w:t>Solaria 2016 Stock Plan</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Solaria’s board of directors adopted, and Solaria’s stockholders approved, the 2016 Plan, in May 2016 and July 2016, respectively. SunPower assumed the 2016 Plan in connection with the Required Transaction. The 2016 Plan was terminated in November 2022 in connection with the Required Transaction, and no new awards may be granted under it. Outstanding awards granted under the 2016 Plan remain outstanding, subject to the terms of the 2016 Plan and award agreements, until such outstanding options are exercised or terminate or expire by their terms. As of April 30, 2025, there were outstanding awards relating to 3,265,128 shares of common stock under the 2016 Plan and the other Legacy Plans, collectively.</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Plan Administration</w:t>
      </w:r>
      <w:r>
        <w:rPr>
          <w:rFonts w:ascii="Times New Roman" w:cs="Times New Roman" w:eastAsia="Times New Roman" w:hAnsi="Times New Roman"/>
          <w:sz w:val="15"/>
          <w:szCs w:val="15"/>
          <w:color w:val="auto"/>
        </w:rPr>
        <w:t>. SunPower’s board of directors or a duly authorized committee administers the 2016 Plan and the awards granted under it.</w:t>
      </w:r>
    </w:p>
    <w:p>
      <w:pPr>
        <w:spacing w:after="0" w:line="192"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Capitalization Adjustments</w:t>
      </w:r>
      <w:r>
        <w:rPr>
          <w:rFonts w:ascii="Times New Roman" w:cs="Times New Roman" w:eastAsia="Times New Roman" w:hAnsi="Times New Roman"/>
          <w:sz w:val="15"/>
          <w:szCs w:val="15"/>
          <w:color w:val="auto"/>
        </w:rPr>
        <w:t>. In the event that any change is made in, or other events occur with respect to, SunPower’s common stock subject to the 2016 Plan or any stock award,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spacing w:after="0" w:line="140"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i w:val="1"/>
          <w:iCs w:val="1"/>
          <w:color w:val="auto"/>
        </w:rPr>
        <w:t>Change in Control</w:t>
      </w:r>
      <w:r>
        <w:rPr>
          <w:rFonts w:ascii="Times New Roman" w:cs="Times New Roman" w:eastAsia="Times New Roman" w:hAnsi="Times New Roman"/>
          <w:sz w:val="15"/>
          <w:szCs w:val="15"/>
          <w:color w:val="auto"/>
        </w:rPr>
        <w:t>. In the event of a Change in Control (as defined in the 2016 Plan), our 2016 Plan provides that unless otherwise provided in a written agreement between us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spacing w:after="0" w:line="147"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i w:val="1"/>
          <w:iCs w:val="1"/>
          <w:color w:val="auto"/>
        </w:rPr>
        <w:t>Amendment of Awards</w:t>
      </w:r>
      <w:r>
        <w:rPr>
          <w:rFonts w:ascii="Times New Roman" w:cs="Times New Roman" w:eastAsia="Times New Roman" w:hAnsi="Times New Roman"/>
          <w:sz w:val="15"/>
          <w:szCs w:val="15"/>
          <w:color w:val="auto"/>
        </w:rPr>
        <w:t>. The plan administrator has the authority to modify outstanding stock awards under our 2016 Plan; provided that no such amendment or modification may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impair the rights of any participant with respect to awards granted prior to such action without such participant’s written consent.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Solaria 2006 Stock Plan</w:t>
      </w:r>
    </w:p>
    <w:p>
      <w:pPr>
        <w:spacing w:after="0" w:line="196" w:lineRule="exact"/>
        <w:rPr>
          <w:sz w:val="20"/>
          <w:szCs w:val="20"/>
          <w:color w:val="auto"/>
        </w:rPr>
      </w:pPr>
    </w:p>
    <w:p>
      <w:pPr>
        <w:jc w:val="both"/>
        <w:ind w:right="20" w:firstLine="273"/>
        <w:spacing w:after="0" w:line="261" w:lineRule="auto"/>
        <w:rPr>
          <w:sz w:val="20"/>
          <w:szCs w:val="20"/>
          <w:color w:val="auto"/>
        </w:rPr>
      </w:pPr>
      <w:r>
        <w:rPr>
          <w:rFonts w:ascii="Times New Roman" w:cs="Times New Roman" w:eastAsia="Times New Roman" w:hAnsi="Times New Roman"/>
          <w:sz w:val="15"/>
          <w:szCs w:val="15"/>
          <w:color w:val="auto"/>
        </w:rPr>
        <w:t>Solaria’s board of directors adopted, and Solaria’s stockholders approved, the 2006 Plan, in February 2006 and August 2006, respectively, and it was amended and restated from to time by Solaria’s board of directors and its stockholders. The 2006 Plan was terminated in February 2016 in connection with Solaria’s adoption of the 2016 Plan, and no new awards may be granted under it. SunPower assumed the outstanding awards granted pursuant to the 2006 Plan in connection with the Required Transaction. Outstanding awards granted under the 2006 Plan remain outstanding, subject to the terms of the 2006 Plan and award agreements, until such outstanding options are exercised or terminate or expire by their terms. As of April 30, 2025, there were outstanding awards relating to 3,265,128 shares of common stock under the 2006 Plan and the other Legacy Plans, collectively.</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Plan Administration</w:t>
      </w:r>
      <w:r>
        <w:rPr>
          <w:rFonts w:ascii="Times New Roman" w:cs="Times New Roman" w:eastAsia="Times New Roman" w:hAnsi="Times New Roman"/>
          <w:sz w:val="15"/>
          <w:szCs w:val="15"/>
          <w:color w:val="auto"/>
        </w:rPr>
        <w:t>. The SunPower Board or a duly authorized committee administers the 2006 Plan and the awards granted under it.</w:t>
      </w:r>
    </w:p>
    <w:p>
      <w:pPr>
        <w:spacing w:after="0" w:line="192"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i w:val="1"/>
          <w:iCs w:val="1"/>
          <w:color w:val="auto"/>
        </w:rPr>
        <w:t>Capitalization Adjustments</w:t>
      </w:r>
      <w:r>
        <w:rPr>
          <w:rFonts w:ascii="Times New Roman" w:cs="Times New Roman" w:eastAsia="Times New Roman" w:hAnsi="Times New Roman"/>
          <w:sz w:val="15"/>
          <w:szCs w:val="15"/>
          <w:color w:val="auto"/>
        </w:rPr>
        <w:t>. In the event that any change is made in, or other events occur with respect to, our common stock subject to the 2006 Plan or any stock award, such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spacing w:after="0" w:line="140"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i w:val="1"/>
          <w:iCs w:val="1"/>
          <w:color w:val="auto"/>
        </w:rPr>
        <w:t>Change in Control</w:t>
      </w:r>
      <w:r>
        <w:rPr>
          <w:rFonts w:ascii="Times New Roman" w:cs="Times New Roman" w:eastAsia="Times New Roman" w:hAnsi="Times New Roman"/>
          <w:sz w:val="15"/>
          <w:szCs w:val="15"/>
          <w:color w:val="auto"/>
        </w:rPr>
        <w:t>. In the event of a change in control (as defined in the 2006 Plan), our 2006 Plan provides that any successor corporation (or parent thereof) will assume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may provide that such awards will be canceled for a payment equal to the excess, if any, of the value of the property the holder would have received upon exercise of such award over any exercise price payable.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06" w:name="page107"/>
    <w:bookmarkEnd w:id="106"/>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spacing w:after="0" w:line="14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spacing w:after="0" w:line="151" w:lineRule="exact"/>
        <w:rPr>
          <w:sz w:val="20"/>
          <w:szCs w:val="20"/>
          <w:color w:val="auto"/>
        </w:rPr>
      </w:pPr>
    </w:p>
    <w:p>
      <w:pPr>
        <w:jc w:val="both"/>
        <w:ind w:firstLine="273"/>
        <w:spacing w:after="0" w:line="293" w:lineRule="auto"/>
        <w:rPr>
          <w:sz w:val="20"/>
          <w:szCs w:val="20"/>
          <w:color w:val="auto"/>
        </w:rPr>
      </w:pPr>
      <w:r>
        <w:rPr>
          <w:rFonts w:ascii="Times New Roman" w:cs="Times New Roman" w:eastAsia="Times New Roman" w:hAnsi="Times New Roman"/>
          <w:sz w:val="15"/>
          <w:szCs w:val="15"/>
          <w:i w:val="1"/>
          <w:iCs w:val="1"/>
          <w:color w:val="auto"/>
        </w:rPr>
        <w:t>Amendment of Awards</w:t>
      </w:r>
      <w:r>
        <w:rPr>
          <w:rFonts w:ascii="Times New Roman" w:cs="Times New Roman" w:eastAsia="Times New Roman" w:hAnsi="Times New Roman"/>
          <w:sz w:val="15"/>
          <w:szCs w:val="15"/>
          <w:color w:val="auto"/>
        </w:rPr>
        <w:t>. The plan administrator has the authority to modify outstanding stock awards under our 2006 Plan; provided that no such amendment or modification may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impair the rights of any participant with respect to awards granted prior to such action without such participant’s written consent.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Inducement Grants</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In connection with our acquisitions of Sunder, Ambia and Cobalt, we granted time-based restricted stock units outside of SunPower’s 2023 Plan as a material inducement to certain key employees to enter into employment with SunPower. Such inducement grants were made in accordance with Nasdaq Listing Rule 5635(c)(4). Specifically, in connection with our acquisition of Sunder, we made inducement grants on October 8, 2025 to three key employees of Sunder as a material inducement to their employment with SunPower. These inducement grants were RSUs for a total of 2,700,000 shares of our common stock, with 20% of such RSUs vesting one year after grant and the remaining vesting in equal monthly installments thereafter until the fifth anniversary of the grant date, with such vesting subject to the RSU recipient’s continuous service through each vesting date. These RSUs are also subject to accelerated vesting in the event the RSU recipient’s employment is terminated by the Company without cause.</w:t>
      </w:r>
    </w:p>
    <w:p>
      <w:pPr>
        <w:spacing w:after="0" w:line="153"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In connection with our acquisition of Ambia, on November 21, 2025, we made inducement grants to two key employees of Ambia as a material inducement to employment with SunPower following its acquisition of Ambia. These inducement grants consist of RSUs for a total of 2,000,000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 The RSUs are also subject to accelerated vesting in the event the RSU recipient’s employment is terminated by the Company without cause.</w:t>
      </w:r>
    </w:p>
    <w:p>
      <w:pPr>
        <w:spacing w:after="0" w:line="33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In connection with our acquisition of Cobalt, we agreed to make inducement grants to two key employees of Cobalt as a material inducement to employment with SunPower following its acquisition of Cobalt. These inducement grants consist of RSUs for a total of 850,000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Health and Welfare Benefits</w:t>
      </w:r>
    </w:p>
    <w:p>
      <w:pPr>
        <w:spacing w:after="0" w:line="19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SunPower provides benefits to its named executive officers on the same basis as provided to all of its employees, including health, dental and vision insurance; life and disability insurance; and a tax-qualified Section 401(k) plan. SunPower does not maintain any executive-specific benefit or perquisite programs.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Rule 10b5-1 Sales Plans</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SunPower’s directors and executive officers may adopt written plans, known as Rule 10b5-1 plans, in which they will contract with a broker to buy or sell shares of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Emerging Growth Company Status</w:t>
      </w:r>
    </w:p>
    <w:p>
      <w:pPr>
        <w:spacing w:after="0" w:line="196" w:lineRule="exact"/>
        <w:rPr>
          <w:sz w:val="20"/>
          <w:szCs w:val="20"/>
          <w:color w:val="auto"/>
        </w:rPr>
      </w:pPr>
    </w:p>
    <w:p>
      <w:pPr>
        <w:jc w:val="both"/>
        <w:ind w:right="20" w:firstLine="273"/>
        <w:spacing w:after="0" w:line="264" w:lineRule="auto"/>
        <w:rPr>
          <w:sz w:val="20"/>
          <w:szCs w:val="20"/>
          <w:color w:val="auto"/>
        </w:rPr>
      </w:pPr>
      <w:r>
        <w:rPr>
          <w:rFonts w:ascii="Times New Roman" w:cs="Times New Roman" w:eastAsia="Times New Roman" w:hAnsi="Times New Roman"/>
          <w:sz w:val="15"/>
          <w:szCs w:val="15"/>
          <w:color w:val="auto"/>
        </w:rPr>
        <w:t>SunPower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5"/>
          <w:szCs w:val="15"/>
          <w:b w:val="1"/>
          <w:bCs w:val="1"/>
          <w:color w:val="auto"/>
        </w:rPr>
        <w:t>CERTAIN RELATIONSHIPS AND RELATED PARTY TRANSACTIONS</w:t>
      </w:r>
    </w:p>
    <w:p>
      <w:pPr>
        <w:spacing w:after="0" w:line="196" w:lineRule="exact"/>
        <w:rPr>
          <w:sz w:val="20"/>
          <w:szCs w:val="20"/>
          <w:color w:val="auto"/>
        </w:rPr>
      </w:pPr>
    </w:p>
    <w:p>
      <w:pPr>
        <w:ind w:right="20" w:firstLine="273"/>
        <w:spacing w:after="0" w:line="287" w:lineRule="auto"/>
        <w:rPr>
          <w:sz w:val="20"/>
          <w:szCs w:val="20"/>
          <w:color w:val="auto"/>
        </w:rPr>
      </w:pPr>
      <w:r>
        <w:rPr>
          <w:rFonts w:ascii="Times New Roman" w:cs="Times New Roman" w:eastAsia="Times New Roman" w:hAnsi="Times New Roman"/>
          <w:sz w:val="15"/>
          <w:szCs w:val="15"/>
          <w:color w:val="auto"/>
        </w:rPr>
        <w:t>Other than the compensation arrangements for our directors and executive officers, which are described in the section titled “Executive Compensation,” below is a description of transactions since January 1, 2025 to which we were a party, in which:</w:t>
      </w:r>
    </w:p>
    <w:p>
      <w:pPr>
        <w:spacing w:after="0" w:line="134" w:lineRule="exact"/>
        <w:rPr>
          <w:sz w:val="20"/>
          <w:szCs w:val="20"/>
          <w:color w:val="auto"/>
        </w:rPr>
      </w:pPr>
    </w:p>
    <w:p>
      <w:pPr>
        <w:ind w:left="540" w:hanging="276"/>
        <w:spacing w:after="0"/>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involved exceeded or will exceed $120,000; and</w:t>
      </w:r>
    </w:p>
    <w:p>
      <w:pPr>
        <w:spacing w:after="0" w:line="191"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Indebtedness Payable to the Rodgers Massey Revocable Living Trust</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principal portion of the SCI Debt owing to the Rodgers Massey Revocable Living Trust of $1.5 million (plus accrued interest) remained outstanding as of December 28, 2025 and is outstanding as of the date of Registration Statement. The outstanding amount, plus accrued interest, is due on demand to the Rodgers Massey Revocable Living Trust. Thurman J. Rodgers is a trustee of the Rodgers Massey Revocable Living Trust, and he is the Executive Chairman of our Board of Directors and our Chief Executive Officer.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Notes Issued to Affiliates of Thurman J. Rodgers</w:t>
      </w:r>
    </w:p>
    <w:p>
      <w:pPr>
        <w:spacing w:after="0" w:line="192" w:lineRule="exact"/>
        <w:rPr>
          <w:sz w:val="20"/>
          <w:szCs w:val="20"/>
          <w:color w:val="auto"/>
        </w:rPr>
      </w:pPr>
    </w:p>
    <w:p>
      <w:pPr>
        <w:jc w:val="both"/>
        <w:ind w:firstLine="273"/>
        <w:spacing w:after="0" w:line="255" w:lineRule="auto"/>
        <w:rPr>
          <w:sz w:val="20"/>
          <w:szCs w:val="20"/>
          <w:color w:val="auto"/>
        </w:rPr>
      </w:pPr>
      <w:r>
        <w:rPr>
          <w:rFonts w:ascii="Times New Roman" w:cs="Times New Roman" w:eastAsia="Times New Roman" w:hAnsi="Times New Roman"/>
          <w:sz w:val="15"/>
          <w:szCs w:val="15"/>
          <w:color w:val="auto"/>
        </w:rPr>
        <w:t>On January 29, 2026, SunPower issued a convertible promissory note in the original principal amount of $3,300,000 (the “</w:t>
      </w:r>
      <w:r>
        <w:rPr>
          <w:rFonts w:ascii="Times New Roman" w:cs="Times New Roman" w:eastAsia="Times New Roman" w:hAnsi="Times New Roman"/>
          <w:sz w:val="15"/>
          <w:szCs w:val="15"/>
          <w:b w:val="1"/>
          <w:bCs w:val="1"/>
          <w:color w:val="auto"/>
        </w:rPr>
        <w:t>January 2026 Note</w:t>
      </w:r>
      <w:r>
        <w:rPr>
          <w:rFonts w:ascii="Times New Roman" w:cs="Times New Roman" w:eastAsia="Times New Roman" w:hAnsi="Times New Roman"/>
          <w:sz w:val="15"/>
          <w:szCs w:val="15"/>
          <w:color w:val="auto"/>
        </w:rPr>
        <w:t>”) to a trust controlled by Thurman J. Rodgers, our Chief Executive Officer and Executive Chairman. The January 2026 Note bears a 12% interest rate. The January 2026 Note is a general unsecured obligation of the Company and will mature on July 1, 2029, unless earlier converted, redeemed or repurchased. Interest on the January 2026 Note will be payable semiannually in arrears on January 1 and July 1 of each year, beginning on July 1, 2026. The January 2026 Note is convertible at the option of the holder at any time prior to the payment of the payment of the principal amount of the January 2026 Note in full. Upon conversion of the January 2026 Note, the Company will satisfy its conversion obligation by delivering shares of its common stock and paying cash in respect of any fractional shares. The conversion rate of the January 2026 Note is initially equal to 504.5405 shares of common stock per $1,000 principal amount due under note. The conversion rate shall be subject to adjustment from time to time pursuant to the terms of the January 2026 Note. We may not redeem the January 2026 Note prior to July 5, 2026. We may redeem for cash all (but not less than all) of the, at our option, (i) on or after July 5, 2026 and prior to July 1, 2027, if the last reported sale price of our common stock has been at least 150% of the conversion price for the January 2026 Note then in effect and (ii) on or after July 5, 2027 and prior to the maturity date for the January 2026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January 2026 Note. If we undergo a change of control (as defined in the January 2026 Note), then, subject to certain conditions and except as described in the note, the holder may require the Company to redeem for cash all (but not less than all) of the note at a price equal to 100% of the principal amount of the January 2026 Note. The January 2026 Note sets forth certain events of default after which the note may be declared immediately due and payable and sets forth certain types of bankruptcy or insolvency events of default involving the Company after which the January 2026 Note becomes automatically due and payable. If certain bankruptcy and insolvency-related events of default occur with respect to the Company, the principal of, and accrued and unpaid interest, if any, on, the January 2026 Note shall automatically become due and payable. If an event of default with respect to the January 2026 Note, other than certain bankruptcy and insolvency-related events of default with respect to the Company, occurs and is continuing, a holder may at its option declare the note to be immediately due and payable.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08" w:name="page109"/>
    <w:bookmarkEnd w:id="108"/>
    <w:p>
      <w:pPr>
        <w:jc w:val="both"/>
        <w:ind w:left="9" w:firstLine="273"/>
        <w:spacing w:after="0" w:line="255" w:lineRule="auto"/>
        <w:rPr>
          <w:sz w:val="20"/>
          <w:szCs w:val="20"/>
          <w:color w:val="auto"/>
        </w:rPr>
      </w:pPr>
      <w:r>
        <w:rPr>
          <w:rFonts w:ascii="Times New Roman" w:cs="Times New Roman" w:eastAsia="Times New Roman" w:hAnsi="Times New Roman"/>
          <w:sz w:val="15"/>
          <w:szCs w:val="15"/>
          <w:color w:val="auto"/>
        </w:rPr>
        <w:t>On July 10, 2025, we issued a convertible promissory note in the original principal amount of $5,000,000 (the “</w:t>
      </w:r>
      <w:r>
        <w:rPr>
          <w:rFonts w:ascii="Times New Roman" w:cs="Times New Roman" w:eastAsia="Times New Roman" w:hAnsi="Times New Roman"/>
          <w:sz w:val="15"/>
          <w:szCs w:val="15"/>
          <w:b w:val="1"/>
          <w:bCs w:val="1"/>
          <w:color w:val="auto"/>
        </w:rPr>
        <w:t>July 2025 Note</w:t>
      </w:r>
      <w:r>
        <w:rPr>
          <w:rFonts w:ascii="Times New Roman" w:cs="Times New Roman" w:eastAsia="Times New Roman" w:hAnsi="Times New Roman"/>
          <w:sz w:val="15"/>
          <w:szCs w:val="15"/>
          <w:color w:val="auto"/>
        </w:rPr>
        <w:t>”) to a trust controlled by Thurman J. Rodgers, the Company’s Chief Executive Officer and a Director. The July 2025 Note bears a 12% interest rate. The July 2025 Note is a general unsecured obligation of the Company and will mature on July 1, 2029, unless earlier converted, redeemed or repurchased. Interest on the July 2025 Note will accrue at a rate of 12.00% per year from July 1, 2024 and will be payable semiannually in arrears on January 1 and July 1 of each year, beginning on January 1, 2026. The July 2025 Note is convertible at the option of the holder at any time prior to the payment of the payment of the principal amount of the July 2025 Note in full. Upon conversion of the Note, SunPower will satisfy its conversion obligation by delivering shares of common stock and paying cash in respect of any fractional shares. The conversion rate of the July 2025 Note is initially equal to 558.6592 shares of common stock per $1,000 principal amount due under the note. The conversion rate shall be subject to adjustment from time to time pursuant to the terms of the July 2025 Note. We may not redeem the July 2025 Note prior to July 5, 2026. We may redeem for cash all (but not less than all) of the, at our option, (i) on or after July 5, 2026 and prior to July 1, 2027, if the last reported sale price of our common stock has been at least 150% of the conversion price for the July 2025 Note then in effect and (ii) on or after July 5, 2027 and prior to the maturity date for the July 2025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July 2025 Note. If we undergo a change of control (as defined in the July 2025 Note), then, subject to certain conditions and except as described in the note, the holder may require the Company to redeem for cash all (but not less than all) of the note at a price equal to 100% of the principal amount of the July 2025 Note. The July 2025 Note sets forth certain events of default after which the note may be declared immediately due and payable and sets forth certain types of bankruptcy or insolvency events of default involving the Company after which the July 2025 Note becomes automatically due and payable. If certain bankruptcy and insolvency-related events of default occur with respect to the Company, the principal of, and accrued and unpaid interest, if any, on, the July 2025 Note shall automatically become due and payable. If an event of default with respect to the July 2025 Note, other than certain bankruptcy and insolvency-related events of default with respect to the Company, occurs and is continuing, a holder may at its option declare the note to be immediately due and payable.</w:t>
      </w:r>
    </w:p>
    <w:p>
      <w:pPr>
        <w:spacing w:after="0" w:line="159" w:lineRule="exact"/>
        <w:rPr>
          <w:sz w:val="20"/>
          <w:szCs w:val="20"/>
          <w:color w:val="auto"/>
        </w:rPr>
      </w:pPr>
    </w:p>
    <w:p>
      <w:pPr>
        <w:jc w:val="both"/>
        <w:ind w:left="9" w:firstLine="273"/>
        <w:spacing w:after="0" w:line="255" w:lineRule="auto"/>
        <w:rPr>
          <w:sz w:val="20"/>
          <w:szCs w:val="20"/>
          <w:color w:val="auto"/>
        </w:rPr>
      </w:pPr>
      <w:r>
        <w:rPr>
          <w:rFonts w:ascii="Times New Roman" w:cs="Times New Roman" w:eastAsia="Times New Roman" w:hAnsi="Times New Roman"/>
          <w:sz w:val="15"/>
          <w:szCs w:val="15"/>
          <w:color w:val="auto"/>
        </w:rPr>
        <w:t>On November 20, 2025, SunPower issued a convertible promissory note in the original principal amount of $2,000,000 (the “</w:t>
      </w:r>
      <w:r>
        <w:rPr>
          <w:rFonts w:ascii="Times New Roman" w:cs="Times New Roman" w:eastAsia="Times New Roman" w:hAnsi="Times New Roman"/>
          <w:sz w:val="15"/>
          <w:szCs w:val="15"/>
          <w:b w:val="1"/>
          <w:bCs w:val="1"/>
          <w:color w:val="auto"/>
        </w:rPr>
        <w:t>November 2025 Note</w:t>
      </w:r>
      <w:r>
        <w:rPr>
          <w:rFonts w:ascii="Times New Roman" w:cs="Times New Roman" w:eastAsia="Times New Roman" w:hAnsi="Times New Roman"/>
          <w:sz w:val="15"/>
          <w:szCs w:val="15"/>
          <w:color w:val="auto"/>
        </w:rPr>
        <w:t>”) to a trust controlled by Thurman J. Rodgers, our Chief Executive Officer and Executive Chairman. The November 2025 Note bears a 12% interest rate.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November 2025 Note is convertible at the option of the holder at any time prior to the payment of the payment of the principal amount of the Note in full. Upon conversion of the November 2025 Note, the Company will satisfy its conversion obligation by delivering shares of its common stock and paying cash in respect of any fractional shares. The conversion rate of the November 2025 Note is initially equal to 626.9592 shares of common stock per $1,000 principal amount due under note. The conversion rate shall be subject to adjustment from time to time pursuant to the terms of the November 2025 Note. We may not redeem the November 2025 Note prior to July 5, 2026. We may redeem for cash all (but not less than all) of the, at our option, (i) on or after July 5, 2026 and prior to July 1, 2027, if the last reported sale price of our common stock has been at least 150% of the conversion price for the November 2025 Note then in effect and (ii) on or after July 5, 2027 and prior to the maturity date for the November 2025 Note if the last reported sale price of our common stock has been at least 130% of the conversion price for the Note then in effect, in each case of</w:t>
      </w:r>
    </w:p>
    <w:p>
      <w:pPr>
        <w:spacing w:after="0" w:line="7" w:lineRule="exact"/>
        <w:rPr>
          <w:sz w:val="20"/>
          <w:szCs w:val="20"/>
          <w:color w:val="auto"/>
        </w:rPr>
      </w:pPr>
    </w:p>
    <w:p>
      <w:pPr>
        <w:jc w:val="both"/>
        <w:ind w:left="9" w:hanging="9"/>
        <w:spacing w:after="0" w:line="255" w:lineRule="auto"/>
        <w:tabs>
          <w:tab w:leader="none" w:pos="211"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November 2025 Note. If we undergo a change of control (as defined in the November 2025 Note), then, subject to certain conditions and except as described in the note, the holder may require the Company to redeem for cash all (but not less than all) of the note at a price equal to 100% of the principal amount of the November 2025 Note. The November 2025 Note sets forth certain events of default after which the note may be declared immediately due and payable and sets forth certain types of bankruptcy or insolvency events of default involving the Company after which the November 2025 Note becomes automatically due and payable. If certain bankruptcy and insolvency-related events of default occur with respect to the Company, the principal of, and accrued and unpaid interest, if any, on, the November 2025 Note shall automatically become due and payable. If an event of default with respect to the November 2025 Note, other than certain bankruptcy and insolvency-related events of default with respect to the Company, occurs and is continuing, a holder may at its option declare the note to be immediately due and payable.</w:t>
      </w:r>
    </w:p>
    <w:p>
      <w:pPr>
        <w:spacing w:after="0" w:line="33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109" w:name="page110"/>
    <w:bookmarkEnd w:id="109"/>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On July 1, 2024, we entered into Note Purchase Agreements and the Exchange Agreement (together the “</w:t>
      </w:r>
      <w:r>
        <w:rPr>
          <w:rFonts w:ascii="Times New Roman" w:cs="Times New Roman" w:eastAsia="Times New Roman" w:hAnsi="Times New Roman"/>
          <w:sz w:val="15"/>
          <w:szCs w:val="15"/>
          <w:b w:val="1"/>
          <w:bCs w:val="1"/>
          <w:color w:val="auto"/>
        </w:rPr>
        <w:t>July 2024 Purchase Agreement</w:t>
      </w:r>
      <w:r>
        <w:rPr>
          <w:rFonts w:ascii="Times New Roman" w:cs="Times New Roman" w:eastAsia="Times New Roman" w:hAnsi="Times New Roman"/>
          <w:sz w:val="15"/>
          <w:szCs w:val="15"/>
          <w:color w:val="auto"/>
        </w:rPr>
        <w:t>”), pursuant to which we issued to certain accredited investors and qualified institutional buyers approximately $50.0 million in aggregate principal amount in July 2024 Notes. A trust controlled by Thurman J. Rodgers – our Chief Executive Officer and Chairman – holds $18,000,000 principal amount of the July 2024 Notes. The July 2024 Notes accrue interest at the rate of 12.0% annually, which will be payable semiannually in arrears on January 1 and July 1 of each year, beginning on July 1, 2025, and the trust controlled by Mr. Rodgers received such interest payments during 2025 and will be entitled to such interest payments during 2026. The July 2024 Notes are convertible at the option of the holders at any time prior to the payment of the payment of the principal amount of such convertible note in full. Upon conversion of any convertible note, we will satisfy its conversion obligation by delivering shares of common stock and paying cash in respect of any fractional shares. The conversion rate for the convertible notes is initially equal to 595.2381 shares of common stock per $1,000 principal amount due under the convertible notes. The conversion rate shall be subject to adjustment from time to time pursuant to the terms of the convertible notes.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 Notes</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On September 8, 2024, September 11, 2024 and September 22, 2024, we entered into note purchase agreements with certain accredited investors and qualified institutional buyers relating to the sale and issuance of $80.0 million in aggregate principal amount of our 7% Notes. The Company issued $4.0 million principal amount of the 7% Notes to the Rodgers Family and Free Markets Charitable Trust, and the Company issued $4.0 million principal amount of the 7% Notes to the Rodgers Massey Revocable Living Trust. Thurman J. Rodgers is the Chief Executive Officer, a member of the Board of Directors, and trustee of each of the Rodgers Family and Free Markets Charitable Trust and the Rodgers Massey Revocable Living Trust. Mr. Rodgers and his affiliated trusts hold more than 5% holder of our capital stock. Additionally, the Company also issued $750,000 principal amount of the 7% Notes to the Dan and Kathy McCranie 2000 Revocable Trust, for which J. Daniel McCranie serves as trustee. Mr. McCranie was appointed to serve as a director of the Company on January 24, 2025.</w:t>
      </w:r>
    </w:p>
    <w:p>
      <w:pPr>
        <w:spacing w:after="0" w:line="340"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Interest on the 7% Notes accrues at a rate of 7.00% per year from September 16, 2024 and will be payable semiannually in arrears on January 1 and July 1 of each year, beginning on January 1, 2025. The trusts affiliated with Mr. Rodgers and Mr. McCranie received such interest payments during 2025 and will be entitled to such interest payments during 2026. On or after September 16, 2025, until the close of business on the second scheduled trading day immediately preceding the maturity date, holders of the 7%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On December 18, 2024, at our annual meeting of stockholders, our stockholders approved the issuance of shares of our common stock upon conversion of the 7% Notes in excess of the limitations otherwise applicable under the Indenture as a result of Nasdaq Listing Rule 5635(d)(2). As a result of this stockholder approval, we will seek approval to amend the Indenture to enable the earlier conversion of the 7% Notes.</w:t>
      </w:r>
    </w:p>
    <w:p>
      <w:pPr>
        <w:spacing w:after="0" w:line="155"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The conversion rate for the 7% Notes is initially 467.8363 shares of common stock per $1,000 principal amount of 7% Notes. The conversion rate for the 7% Notes is subject to adjustment from time to time in accordance with the terms of the Indenture. In addition, upon a conversion of the 7% Notes after September 16, 2025, following certain corporate events that occur prior to the maturity date of the 7% Notes or if the Company delivers a notice of redemption in respect of the 7% Notes, the Company will, under certain circumstances, increase the conversion rate of the 7% Notes for a holder who elects to convert its 7% Notes following September 16, 2025, in connection with such a corporate event that occurs prior to the maturity date, or if the Company delivers a notice of redemption in respect of the 7% Notes.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SameDay Solar</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SunPower previously entered into commercial agreements with SameDay Solar, a residential solar installer. William Anderson, a director and our former Chief Executive Officer, owns 60% of the equity securities of SameDay Solar, and he is Chief Executive Officer of SameDay Solar. All agreements between SunPower and SameDay Solar previously were entered into in the ordinary course of business; provided, however, the Company facilitates equipment purchases for SameDay Solar, and SameDay Solar receives the benefit of the pricing received by the Company for equipment purchases, including for projects that are completed by SameDay Solar on behalf of the Company and that do not involve the Company or its customers. Since January 1, 2022, we have paid SameDay Solar a total of approximately $2.3 million. Mr. Anderson receives separate compensation from SameDay Solar, and given his equity ownership, Mr. Anderson also has a 60% interest in SameDay Solar’s profits and earnings.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b w:val="1"/>
          <w:bCs w:val="1"/>
          <w:color w:val="auto"/>
        </w:rPr>
        <w:t>Employment Arrangements</w:t>
      </w:r>
    </w:p>
    <w:p>
      <w:pPr>
        <w:spacing w:after="0" w:line="19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We have entered into employment agreements with certain of its executive officers. For more information regarding these agreements with certain of our named executive officers, see the section titled “</w:t>
      </w:r>
      <w:r>
        <w:rPr>
          <w:rFonts w:ascii="Times New Roman" w:cs="Times New Roman" w:eastAsia="Times New Roman" w:hAnsi="Times New Roman"/>
          <w:sz w:val="15"/>
          <w:szCs w:val="15"/>
          <w:i w:val="1"/>
          <w:iCs w:val="1"/>
          <w:color w:val="auto"/>
        </w:rPr>
        <w:t>Employment Arrangements with Named Executive Officers.</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Option and Restricted Stock Unit Grants to Directors and Executive Officers</w:t>
      </w:r>
    </w:p>
    <w:p>
      <w:pPr>
        <w:spacing w:after="0" w:line="19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SunPower has granted stock options to certain of its directors and executive officers. For more information regarding the stock options and stock awards granted to SunPower’s directors and named executive officers, see the section titled “</w:t>
      </w:r>
      <w:r>
        <w:rPr>
          <w:rFonts w:ascii="Times New Roman" w:cs="Times New Roman" w:eastAsia="Times New Roman" w:hAnsi="Times New Roman"/>
          <w:sz w:val="15"/>
          <w:szCs w:val="15"/>
          <w:i w:val="1"/>
          <w:iCs w:val="1"/>
          <w:color w:val="auto"/>
        </w:rPr>
        <w:t>Executive Compensation</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Indemnification Agreements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SunPower entered into new indemnification agreements with the directors and officers of SunPower following the Business Combination.</w:t>
      </w:r>
    </w:p>
    <w:p>
      <w:pPr>
        <w:spacing w:after="0" w:line="192"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SunPower’s certificate of incorporation contains provisions limiting the liability of directors, and SunPower’s amended and restated bylaws provide that SunPower will indemnify each of its directors and officers to the fullest extent permitted under Delaware law. SunPower’s amended and restated certificate of incorporation and amended and restated bylaws also provide the SunPower Board with discretion to indemnify SunPower’s employees and other agents when determined appropriate by the SunPower Board.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Policies and Procedures for Related Person Transactions</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The SunPower Board adopted a written related person transactions policy that sets forth SunPower’s policies and procedures regarding the identification, review, consideration and oversight of “related person transactions.” For purposes of the SunPower policy only, a “related person transaction” is a transaction, arrangement or relationship (or any series of similar transactions, arrangements or relationships) in which SunPower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spacing w:after="0" w:line="155"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Under the policy, the related person in question or, in the case of transactions with a holder of more than 5% of any class SunPower’s voting securities, an officer with knowledge of a proposed transaction, must present information regarding the proposed related person transaction to SunPower’s Audit Committee (or, where review by SunPower’s Audit Committee would be inappropriate, to another independent body of the SunPower Board) for review. To identify related person transactions in advance, SunPower will rely on information supplied by SunPower’s executive officers, directors and certain significant stockholders. In considering a related person transaction, SunPower’s Audit Committee will take into account the relevant available facts and circumstances, which may include, but are not limited to:</w:t>
      </w:r>
    </w:p>
    <w:p>
      <w:pPr>
        <w:spacing w:after="0" w:line="155" w:lineRule="exact"/>
        <w:rPr>
          <w:sz w:val="20"/>
          <w:szCs w:val="20"/>
          <w:color w:val="auto"/>
        </w:rPr>
      </w:pPr>
    </w:p>
    <w:p>
      <w:pPr>
        <w:ind w:left="540" w:hanging="276"/>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costs, and benefits to SunPower;</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on a director’s independence in the event the related person is a director, immediate family member of a director or an entity with which a director is affiliated;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of the related person’s interest in the transaction;</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purpose and terms of the transaction;</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management’s recommendation with respect to the proposed related person transaction;</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other sources for comparable services or products;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transaction is on terms comparable to those that could be obtained in an arm’s length transaction.</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SunPower’s Audit Committee will approve only those transactions that it determines are fair to us and in SunPower’s best interests.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11" w:name="page112"/>
    <w:bookmarkEnd w:id="111"/>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PRINCIPAL STOCKHOLDERS</w:t>
      </w:r>
    </w:p>
    <w:p>
      <w:pPr>
        <w:spacing w:after="0" w:line="19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following table sets forth information regarding the beneficial ownership of shares of our common stock as of January 29, 2026 by:</w:t>
      </w:r>
    </w:p>
    <w:p>
      <w:pPr>
        <w:spacing w:after="0" w:line="192" w:lineRule="exact"/>
        <w:rPr>
          <w:sz w:val="20"/>
          <w:szCs w:val="20"/>
          <w:color w:val="auto"/>
        </w:rPr>
      </w:pPr>
    </w:p>
    <w:p>
      <w:pPr>
        <w:ind w:left="549" w:hanging="276"/>
        <w:spacing w:after="0"/>
        <w:tabs>
          <w:tab w:leader="none" w:pos="549"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known to us to be the beneficial owner of more than 5% of the outstanding shares of common stock;</w:t>
      </w:r>
    </w:p>
    <w:p>
      <w:pPr>
        <w:spacing w:after="0" w:line="191" w:lineRule="exact"/>
        <w:rPr>
          <w:rFonts w:ascii="Times New Roman" w:cs="Times New Roman" w:eastAsia="Times New Roman" w:hAnsi="Times New Roman"/>
          <w:sz w:val="15"/>
          <w:szCs w:val="15"/>
          <w:color w:val="auto"/>
        </w:rPr>
      </w:pPr>
    </w:p>
    <w:p>
      <w:pPr>
        <w:ind w:left="549" w:hanging="276"/>
        <w:spacing w:after="0"/>
        <w:tabs>
          <w:tab w:leader="none" w:pos="549"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 and each of our named executive officers; and</w:t>
      </w:r>
    </w:p>
    <w:p>
      <w:pPr>
        <w:spacing w:after="0" w:line="191" w:lineRule="exact"/>
        <w:rPr>
          <w:rFonts w:ascii="Times New Roman" w:cs="Times New Roman" w:eastAsia="Times New Roman" w:hAnsi="Times New Roman"/>
          <w:sz w:val="15"/>
          <w:szCs w:val="15"/>
          <w:color w:val="auto"/>
        </w:rPr>
      </w:pPr>
    </w:p>
    <w:p>
      <w:pPr>
        <w:ind w:left="549" w:hanging="276"/>
        <w:spacing w:after="0"/>
        <w:tabs>
          <w:tab w:leader="none" w:pos="549"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executive officers and directors of SunPower as a group.</w:t>
      </w:r>
    </w:p>
    <w:p>
      <w:pPr>
        <w:spacing w:after="0" w:line="192" w:lineRule="exact"/>
        <w:rPr>
          <w:sz w:val="20"/>
          <w:szCs w:val="20"/>
          <w:color w:val="auto"/>
        </w:rPr>
      </w:pPr>
    </w:p>
    <w:p>
      <w:pPr>
        <w:jc w:val="both"/>
        <w:ind w:left="9" w:firstLine="273"/>
        <w:spacing w:after="0" w:line="260" w:lineRule="auto"/>
        <w:rPr>
          <w:sz w:val="20"/>
          <w:szCs w:val="20"/>
          <w:color w:val="auto"/>
        </w:rPr>
      </w:pPr>
      <w:r>
        <w:rPr>
          <w:rFonts w:ascii="Times New Roman" w:cs="Times New Roman" w:eastAsia="Times New Roman" w:hAnsi="Times New Roman"/>
          <w:sz w:val="15"/>
          <w:szCs w:val="15"/>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in the table below, shares subject to options, warrants, convertible notes, other derivative securities or other rights held by that person that are currently exercisable, or will become exercisable within 60 days of January 12, 2026, are deemed outstanding, while such shares are not deemed outstanding for purposes of computing percentage ownership of any other person in the table below.</w:t>
      </w:r>
    </w:p>
    <w:p>
      <w:pPr>
        <w:spacing w:after="0" w:line="153"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The following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w:t>
      </w:r>
    </w:p>
    <w:p>
      <w:pPr>
        <w:spacing w:after="0" w:line="146" w:lineRule="exact"/>
        <w:rPr>
          <w:sz w:val="20"/>
          <w:szCs w:val="20"/>
          <w:color w:val="auto"/>
        </w:rPr>
      </w:pPr>
    </w:p>
    <w:tbl>
      <w:tblPr>
        <w:tblLayout w:type="fixed"/>
        <w:tblInd w:w="9"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5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Applicable percentages in the table below are based on 112,776,028 shares of Common Stock outstanding as of January 29, 2026.</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Percentage of</w:t>
            </w:r>
          </w:p>
        </w:tc>
        <w:tc>
          <w:tcPr>
            <w:tcW w:w="0" w:type="dxa"/>
            <w:vAlign w:val="bottom"/>
          </w:tcPr>
          <w:p>
            <w:pPr>
              <w:spacing w:after="0"/>
              <w:rPr>
                <w:sz w:val="1"/>
                <w:szCs w:val="1"/>
                <w:color w:val="auto"/>
              </w:rPr>
            </w:pPr>
          </w:p>
        </w:tc>
      </w:tr>
      <w:tr>
        <w:trPr>
          <w:trHeight w:val="182"/>
        </w:trPr>
        <w:tc>
          <w:tcPr>
            <w:tcW w:w="868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auto"/>
              </w:rPr>
              <w:t>Name and Address of Beneficial Owner</w:t>
            </w:r>
            <w:r>
              <w:rPr>
                <w:rFonts w:ascii="Times New Roman" w:cs="Times New Roman" w:eastAsia="Times New Roman" w:hAnsi="Times New Roman"/>
                <w:sz w:val="25"/>
                <w:szCs w:val="25"/>
                <w:b w:val="1"/>
                <w:bCs w:val="1"/>
                <w:color w:val="auto"/>
                <w:vertAlign w:val="superscript"/>
              </w:rPr>
              <w:t>(1)</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0" w:type="dxa"/>
            <w:vAlign w:val="bottom"/>
          </w:tcPr>
          <w:p>
            <w:pPr>
              <w:spacing w:after="0"/>
              <w:rPr>
                <w:sz w:val="1"/>
                <w:szCs w:val="1"/>
                <w:color w:val="auto"/>
              </w:rPr>
            </w:pPr>
          </w:p>
        </w:tc>
      </w:tr>
      <w:tr>
        <w:trPr>
          <w:trHeight w:val="203"/>
        </w:trPr>
        <w:tc>
          <w:tcPr>
            <w:tcW w:w="8680" w:type="dxa"/>
            <w:vAlign w:val="bottom"/>
            <w:gridSpan w:val="4"/>
            <w:vMerge w:val="continue"/>
          </w:tcPr>
          <w:p>
            <w:pPr>
              <w:spacing w:after="0"/>
              <w:rPr>
                <w:sz w:val="17"/>
                <w:szCs w:val="17"/>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Outstanding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5% or Greater Stockholders:</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Ecosystem Integrity Fund II, L.P.</w:t>
            </w:r>
            <w:r>
              <w:rPr>
                <w:rFonts w:ascii="Times New Roman" w:cs="Times New Roman" w:eastAsia="Times New Roman" w:hAnsi="Times New Roman"/>
                <w:sz w:val="25"/>
                <w:szCs w:val="25"/>
                <w:color w:val="auto"/>
                <w:vertAlign w:val="superscript"/>
              </w:rPr>
              <w:t>(2)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8,399,653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Thurman J. (T.J.) Rodgers</w:t>
            </w:r>
            <w:r>
              <w:rPr>
                <w:rFonts w:ascii="Times New Roman" w:cs="Times New Roman" w:eastAsia="Times New Roman" w:hAnsi="Times New Roman"/>
                <w:sz w:val="25"/>
                <w:szCs w:val="25"/>
                <w:color w:val="auto"/>
                <w:vertAlign w:val="superscript"/>
              </w:rPr>
              <w:t>(3)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44,149,560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Entities affiliated with Alyeska Investment Group, L.P.</w:t>
            </w:r>
            <w:r>
              <w:rPr>
                <w:rFonts w:ascii="Times New Roman" w:cs="Times New Roman" w:eastAsia="Times New Roman" w:hAnsi="Times New Roman"/>
                <w:sz w:val="25"/>
                <w:szCs w:val="25"/>
                <w:color w:val="auto"/>
                <w:vertAlign w:val="superscript"/>
              </w:rPr>
              <w:t>(4)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11,695,906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Entities Affiliated with Kline Hill</w:t>
            </w:r>
            <w:r>
              <w:rPr>
                <w:rFonts w:ascii="Times New Roman" w:cs="Times New Roman" w:eastAsia="Times New Roman" w:hAnsi="Times New Roman"/>
                <w:sz w:val="25"/>
                <w:szCs w:val="25"/>
                <w:color w:val="auto"/>
                <w:vertAlign w:val="superscript"/>
              </w:rPr>
              <w:t>(5)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7,299,695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Entities Affiliated with Carlyle Group</w:t>
            </w:r>
            <w:r>
              <w:rPr>
                <w:rFonts w:ascii="Times New Roman" w:cs="Times New Roman" w:eastAsia="Times New Roman" w:hAnsi="Times New Roman"/>
                <w:sz w:val="25"/>
                <w:szCs w:val="25"/>
                <w:color w:val="auto"/>
                <w:vertAlign w:val="superscript"/>
              </w:rPr>
              <w:t>(6)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7,211,351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Executive Officers and Incumbent Directors and Director Nominees: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Thurman J. Rodgers</w:t>
            </w:r>
            <w:r>
              <w:rPr>
                <w:rFonts w:ascii="Times New Roman" w:cs="Times New Roman" w:eastAsia="Times New Roman" w:hAnsi="Times New Roman"/>
                <w:sz w:val="25"/>
                <w:szCs w:val="25"/>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44,149,560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William J. Anderson</w:t>
            </w:r>
            <w:r>
              <w:rPr>
                <w:rFonts w:ascii="Times New Roman" w:cs="Times New Roman" w:eastAsia="Times New Roman" w:hAnsi="Times New Roman"/>
                <w:sz w:val="25"/>
                <w:szCs w:val="25"/>
                <w:color w:val="auto"/>
                <w:vertAlign w:val="superscript"/>
              </w:rPr>
              <w:t>(7)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2,777,727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Antonio R. Alvarez</w:t>
            </w:r>
            <w:r>
              <w:rPr>
                <w:rFonts w:ascii="Times New Roman" w:cs="Times New Roman" w:eastAsia="Times New Roman" w:hAnsi="Times New Roman"/>
                <w:sz w:val="25"/>
                <w:szCs w:val="25"/>
                <w:color w:val="auto"/>
                <w:vertAlign w:val="superscript"/>
              </w:rPr>
              <w:t>(8)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201,009</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Daniel Foley</w:t>
            </w:r>
            <w:r>
              <w:rPr>
                <w:rFonts w:ascii="Times New Roman" w:cs="Times New Roman" w:eastAsia="Times New Roman" w:hAnsi="Times New Roman"/>
                <w:sz w:val="25"/>
                <w:szCs w:val="25"/>
                <w:color w:val="auto"/>
                <w:vertAlign w:val="superscript"/>
              </w:rPr>
              <w:t>(9)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157,472</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Devin Whatley</w:t>
            </w:r>
            <w:r>
              <w:rPr>
                <w:rFonts w:ascii="Times New Roman" w:cs="Times New Roman" w:eastAsia="Times New Roman" w:hAnsi="Times New Roman"/>
                <w:sz w:val="25"/>
                <w:szCs w:val="25"/>
                <w:color w:val="auto"/>
                <w:vertAlign w:val="superscript"/>
              </w:rPr>
              <w:t>(2)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8,591,602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Tidjane Thiam</w:t>
            </w:r>
            <w:r>
              <w:rPr>
                <w:rFonts w:ascii="Times New Roman" w:cs="Times New Roman" w:eastAsia="Times New Roman" w:hAnsi="Times New Roman"/>
                <w:sz w:val="25"/>
                <w:szCs w:val="25"/>
                <w:color w:val="auto"/>
                <w:vertAlign w:val="superscript"/>
              </w:rPr>
              <w:t>(10)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292,825</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Adam Gishen</w:t>
            </w:r>
            <w:r>
              <w:rPr>
                <w:rFonts w:ascii="Times New Roman" w:cs="Times New Roman" w:eastAsia="Times New Roman" w:hAnsi="Times New Roman"/>
                <w:sz w:val="25"/>
                <w:szCs w:val="25"/>
                <w:color w:val="auto"/>
                <w:vertAlign w:val="superscript"/>
              </w:rPr>
              <w:t>(11)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311,381</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Ronald Pasek</w:t>
            </w:r>
            <w:r>
              <w:rPr>
                <w:rFonts w:ascii="Times New Roman" w:cs="Times New Roman" w:eastAsia="Times New Roman" w:hAnsi="Times New Roman"/>
                <w:sz w:val="25"/>
                <w:szCs w:val="25"/>
                <w:color w:val="auto"/>
                <w:vertAlign w:val="superscript"/>
              </w:rPr>
              <w:t>(12)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228,879</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Chris Lundell</w:t>
            </w:r>
            <w:r>
              <w:rPr>
                <w:rFonts w:ascii="Times New Roman" w:cs="Times New Roman" w:eastAsia="Times New Roman" w:hAnsi="Times New Roman"/>
                <w:sz w:val="25"/>
                <w:szCs w:val="25"/>
                <w:color w:val="auto"/>
                <w:vertAlign w:val="superscript"/>
              </w:rPr>
              <w:t>(13)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377,443</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Lothar Maier</w:t>
            </w:r>
            <w:r>
              <w:rPr>
                <w:rFonts w:ascii="Times New Roman" w:cs="Times New Roman" w:eastAsia="Times New Roman" w:hAnsi="Times New Roman"/>
                <w:sz w:val="25"/>
                <w:szCs w:val="25"/>
                <w:color w:val="auto"/>
                <w:vertAlign w:val="superscript"/>
              </w:rPr>
              <w:t>(14)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243,169</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J. Daniel McCranie</w:t>
            </w:r>
            <w:r>
              <w:rPr>
                <w:rFonts w:ascii="Times New Roman" w:cs="Times New Roman" w:eastAsia="Times New Roman" w:hAnsi="Times New Roman"/>
                <w:sz w:val="25"/>
                <w:szCs w:val="25"/>
                <w:color w:val="auto"/>
                <w:vertAlign w:val="superscript"/>
              </w:rPr>
              <w:t>(15)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1,681,765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Jamie Haenggi</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5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Jeanne Nguyen</w:t>
            </w:r>
            <w:r>
              <w:rPr>
                <w:rFonts w:ascii="Times New Roman" w:cs="Times New Roman" w:eastAsia="Times New Roman" w:hAnsi="Times New Roman"/>
                <w:sz w:val="25"/>
                <w:szCs w:val="25"/>
                <w:color w:val="auto"/>
                <w:vertAlign w:val="superscript"/>
              </w:rPr>
              <w:t>(16)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35,374</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All directors and executive officers as a group (13 persons)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59,048,206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42.9%</w:t>
            </w:r>
          </w:p>
        </w:tc>
        <w:tc>
          <w:tcPr>
            <w:tcW w:w="0" w:type="dxa"/>
            <w:vAlign w:val="bottom"/>
          </w:tcPr>
          <w:p>
            <w:pPr>
              <w:spacing w:after="0"/>
              <w:rPr>
                <w:sz w:val="1"/>
                <w:szCs w:val="1"/>
                <w:color w:val="auto"/>
              </w:rPr>
            </w:pPr>
          </w:p>
        </w:tc>
      </w:tr>
      <w:tr>
        <w:trPr>
          <w:trHeight w:val="350"/>
        </w:trPr>
        <w:tc>
          <w:tcPr>
            <w:tcW w:w="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Less than one percent.</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69" w:hanging="369"/>
        <w:spacing w:after="0" w:line="287" w:lineRule="auto"/>
        <w:tabs>
          <w:tab w:leader="none" w:pos="369"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indicated, the business address of each of the directors and executive officers of the Company listed in the table is c/o SunPower Inc., 1403 North 630 East, Orem, UT 84097.</w:t>
      </w:r>
    </w:p>
    <w:p>
      <w:pPr>
        <w:spacing w:after="0" w:line="3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112" w:name="page113"/>
    <w:bookmarkEnd w:id="112"/>
    <w:p>
      <w:pPr>
        <w:jc w:val="both"/>
        <w:ind w:left="369" w:hanging="369"/>
        <w:spacing w:after="0" w:line="261" w:lineRule="auto"/>
        <w:tabs>
          <w:tab w:leader="none" w:pos="369"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5,832,054 shares held by Ecosystem Integrity Fund II, L.P., of which Mr. Devin Whatley is the managing member of the general partner, (ii) 198,346 shares held by EIF CS SPV LLC, and (iii) 2,369,253 shares issuable pursuant to warrants exercisable within 60 days of January 29, 2026. Mr. Whatley serves as a director of the Company. The business address of each of Ecosystem Integrity Fund II, L.P., EIF CS SPV LLC and Mr. Whatley is 20 Richelle Court, Lafayette, California 94549. In the case of Mr. Whatley, also includes (i) 103,825 shares of common stock issuable upon settlement of restricted stock units, and (ii) 88,124 shares issuable pursuant to stock options exercisable within 60 days of January 29, 2026.</w:t>
      </w:r>
    </w:p>
    <w:p>
      <w:pPr>
        <w:spacing w:after="0" w:line="154" w:lineRule="exact"/>
        <w:rPr>
          <w:rFonts w:ascii="Times New Roman" w:cs="Times New Roman" w:eastAsia="Times New Roman" w:hAnsi="Times New Roman"/>
          <w:sz w:val="15"/>
          <w:szCs w:val="15"/>
          <w:color w:val="auto"/>
        </w:rPr>
      </w:pPr>
    </w:p>
    <w:p>
      <w:pPr>
        <w:jc w:val="both"/>
        <w:ind w:left="369" w:hanging="369"/>
        <w:spacing w:after="0" w:line="256" w:lineRule="auto"/>
        <w:tabs>
          <w:tab w:leader="none" w:pos="369"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485,562 shares held by Rodgers Capital, LLC, (ii) 8,843 shares held by Thurman J. Rodgers, (iii) 7,701,605 shares held by the Rodgers Massey Revocable Living Trust, (iv) 1,838,235 shares held by the Rodgers Massey Freedom and Free Markets Charitable Trust, (v) 724,416 shares issuable pursuant to warrants exercisable within 60 days of January 29, 2026, (vi) 116,601 shares issuable pursuant to stock options and restricted stock units exercisable or settleable within 60 days of January 29, 2026, (vii) 4,166,667 shares of common stock issued to the Rodgers Massey Freedom and Free Markets Charitable Trust pursuant to the Second SAFE, and (viii) 9,722,222 shares of common stock issued to the Rodgers Massey Freedom and Free Markets Charitable Trust pursuant to the Third SAFE. Additionally, the number of shares reflected in the table above include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and (e) the Rodgers Massey Freedom and Free Markets Charitable Trust holds an additional $3,300,000 principal amount of 12% Notes issued in January 2026 that are convertible into 1,783,783 shares of common stock. In addition to the foregoing and the number of shares reflected in the table above, shares of common stock are issuable pursuant to the Third SAFE in accordance with the terms thereof in connection with a bona fide common stock financing completed by the Company.</w:t>
      </w:r>
    </w:p>
    <w:p>
      <w:pPr>
        <w:spacing w:after="0" w:line="157" w:lineRule="exact"/>
        <w:rPr>
          <w:rFonts w:ascii="Times New Roman" w:cs="Times New Roman" w:eastAsia="Times New Roman" w:hAnsi="Times New Roman"/>
          <w:sz w:val="15"/>
          <w:szCs w:val="15"/>
          <w:color w:val="auto"/>
        </w:rPr>
      </w:pPr>
    </w:p>
    <w:p>
      <w:pPr>
        <w:jc w:val="both"/>
        <w:ind w:left="369" w:hanging="369"/>
        <w:spacing w:after="0" w:line="264" w:lineRule="auto"/>
        <w:tabs>
          <w:tab w:leader="none" w:pos="369"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p>
      <w:pPr>
        <w:spacing w:after="0" w:line="151" w:lineRule="exact"/>
        <w:rPr>
          <w:rFonts w:ascii="Times New Roman" w:cs="Times New Roman" w:eastAsia="Times New Roman" w:hAnsi="Times New Roman"/>
          <w:sz w:val="15"/>
          <w:szCs w:val="15"/>
          <w:color w:val="auto"/>
        </w:rPr>
      </w:pPr>
    </w:p>
    <w:p>
      <w:pPr>
        <w:jc w:val="both"/>
        <w:ind w:left="369" w:hanging="369"/>
        <w:spacing w:after="0" w:line="256" w:lineRule="auto"/>
        <w:tabs>
          <w:tab w:leader="none" w:pos="369"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solely on information obtained from a Schedule 13G filed by KHP Fund GP LLC (“KHP Fund GP”) on February 5, 2025. Includes (i) an aggregate of 2,383,534 shares of common stock held by Kline Hill Partners Fund LP (“KHP LP”), Kline Hill Partners IV SPV LLC (“KHP IV SPV”) and Kline Hill Partners Opportunity IV SPV LLC (“KHP Opportunity IV SPV”), (ii) an aggregate of 4,745,675 shares of common stock issuable upon the conversion of the outstanding convertible promissory notes held by KHP LP, KHP IV SPV and KHP Opportunity IV SPV and (iii) an aggregate of 170,486 shares of common stock issuable upon the exercise of warrants held by KHP LP, KHP IV SPV and KHP Opportunity IV SPV. KHP Fund GP is the general partner of KHP LP and may be deemed to share voting, investment and dispositive power with respect to these securities. Kline Hill Partners Fund IV LP (“KHP IV LP”) is the sole member of KHP IV SPV and may be deemed to share voting, investment and dispositive power with respect to these securities. KHP Fund IV GP is the general partner of KHP IV LP and may be deemed to share voting, investment and dispositive power with respect to these securities. KHP Opportunity IV LP is the sole member of KHP Opportunity IV SPV and may be deemed to share voting, investment and dispositive power with respect to these securities. KHP Fund IV GP is the general partner of KHP Opportunity IV LP and may be deemed to share voting, investment and dispositive power with respect to these securities. Michael Bego and Jared Barlow are the managing members of KHP Fund GP and KPH Fund IV GP and may be deemed to share voting, investment and dispositive power with respect to these securities. Other than those securities reported herein as being held directly by such securityholder, each of them disclaims any such beneficial ownership of such securities, except to the extent of their respective pecuniary interest. The business address for Kline Hill is 325 Greenwich Ave., 3rd Floor, Greenwich, CT 06830.</w:t>
      </w:r>
    </w:p>
    <w:p>
      <w:pPr>
        <w:spacing w:after="0" w:line="34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113" w:name="page114"/>
    <w:bookmarkEnd w:id="113"/>
    <w:p>
      <w:pPr>
        <w:jc w:val="both"/>
        <w:ind w:left="369" w:hanging="369"/>
        <w:spacing w:after="0" w:line="255" w:lineRule="auto"/>
        <w:tabs>
          <w:tab w:leader="none" w:pos="3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solely on information obtained form a Schedule 13G, as amended, filed by the Carlyle Group Inc. (“Carlyle”) and its affiliates on November 13, 2025. Includes (i) 1,258,970 shares of common stock held of record by CRSEF Solis Holdings, L.L.C. and (ii) 5,952,381 shares of common stock issuable upon the conversion of the 12% Notes held of record by CRSEF Solis Holdings, L.L.C. The Carlyle Group Inc., which is a publicly traded entity listed on Nasdaq, is the sole shareholder of Carlyle Holdings I GP Inc., which is the sole member of Carlyle Holdings I GP Sub L.L.C., which is the general partner of Carlyle Holdings I L.P., which, with respect to the securities managed by CRSEF Lux GP S.a r.l., is the managing member of CG Subsidiary Holdings L.L.C., which is the managing member of TC Group, L.L.C., which is the general partner of TC Group Sub L.P., which is the sole shareholder of CRSEF Lux GP S.a r.l., which is a general partner of Carlyle CRSEF Solis Aggregator, S.C.Sp. The Carlyle Group Inc. is also the sole member of Carlyle Holdings II GP L.L.C., which is the managing member of Carlyle Holdings II L.L.C., which, with respect to the securities managed by CRSEF Managing GP, L.P., is the managing member of CG Subsidiary Holdings L.L.C., which is the general partner of TC Group Cayman Investment Holdings, L.P., which is the general partner of TC Group Cayman Investment Holdings Sub L.P., which is the sole member of CRSEF GP, L.L.C., which is the general partner of CRSEF Managing GP, L.P., which is also a general partner of Carlyle CRSEF Solis Aggregator, S.C.Sp. Carlyle CRSEF Solis Aggregator, S.C.Sp. is the managing member of CRSEF Solis Holdings, L.L.C. Accordingly, each of the entities named above may be deemed to share beneficial ownership of the securities held of record by CRSEF Solis Holdings, L.L.C. Each of them disclaims any such beneficial ownership of such securities. The principal business office address for each of TC Group Cayman Investment Holdings, L.P. and TC Group Cayman Investment Holdings Sub L.P. is c/o Walkers Corporate Limited, 190 Elgin Avenue, George Town, Grand Cayman KY1-9008. The principal business office address for CRSEF Lux GP S.a r.l. is c/o The Carlyle Group, 2, avenue Charles de Gaulle, L-1653 Luxembourg, Luxembourg. The principal business office address for Carlyle CRSEF Solis Aggregator, S.C.Sp. is 9, rue de Bitbourg, L-1273 Luxembourg. The principal business office address for each of the remaining Reporting Persons is c/o The Carlyle Group Inc., 1001 Pennsylvania Avenue NW, Suite 220 South, Washington, DC 20004-2505.</w:t>
      </w:r>
    </w:p>
    <w:p>
      <w:pPr>
        <w:spacing w:after="0" w:line="162" w:lineRule="exact"/>
        <w:rPr>
          <w:rFonts w:ascii="Times New Roman" w:cs="Times New Roman" w:eastAsia="Times New Roman" w:hAnsi="Times New Roman"/>
          <w:sz w:val="15"/>
          <w:szCs w:val="15"/>
          <w:color w:val="auto"/>
        </w:rPr>
      </w:pPr>
    </w:p>
    <w:p>
      <w:pPr>
        <w:ind w:left="369" w:right="20" w:hanging="369"/>
        <w:spacing w:after="0" w:line="287" w:lineRule="auto"/>
        <w:tabs>
          <w:tab w:leader="none" w:pos="3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405,090 shares of common stock, (ii) 671,738 shares of common stock issued or issuable upon settlement of restricted stock units, (iii) 1,700,899 shares issuable pursuant to stock options r exercisable within 60 days of January 29, 2026, and (iv) 141,187 shares issuable pursuant to warrants exercisable within 60 days of January 29, 2026.</w:t>
      </w:r>
    </w:p>
    <w:p>
      <w:pPr>
        <w:spacing w:after="0" w:line="133" w:lineRule="exact"/>
        <w:rPr>
          <w:rFonts w:ascii="Times New Roman" w:cs="Times New Roman" w:eastAsia="Times New Roman" w:hAnsi="Times New Roman"/>
          <w:sz w:val="15"/>
          <w:szCs w:val="15"/>
          <w:color w:val="auto"/>
        </w:rPr>
      </w:pPr>
    </w:p>
    <w:p>
      <w:pPr>
        <w:ind w:left="369" w:hanging="369"/>
        <w:spacing w:after="0" w:line="287" w:lineRule="auto"/>
        <w:tabs>
          <w:tab w:leader="none" w:pos="3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106,577 shares of common stock issued or issuable upon settlement of restricted stock units and (ii) 94,452 shares issuable pursuant to stock options exercisable within 60 days of January 29, 2026.</w:t>
      </w:r>
    </w:p>
    <w:p>
      <w:pPr>
        <w:spacing w:after="0" w:line="133"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157,472 shares of common stock.</w:t>
      </w:r>
    </w:p>
    <w:p>
      <w:pPr>
        <w:spacing w:after="0" w:line="191" w:lineRule="exact"/>
        <w:rPr>
          <w:rFonts w:ascii="Times New Roman" w:cs="Times New Roman" w:eastAsia="Times New Roman" w:hAnsi="Times New Roman"/>
          <w:sz w:val="15"/>
          <w:szCs w:val="15"/>
          <w:color w:val="auto"/>
        </w:rPr>
      </w:pPr>
    </w:p>
    <w:p>
      <w:pPr>
        <w:ind w:left="369" w:hanging="369"/>
        <w:spacing w:after="0" w:line="287" w:lineRule="auto"/>
        <w:tabs>
          <w:tab w:leader="none" w:pos="3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80,245 shares of common stock and 106,011 shares of common stock issued or issuable upon settlement of restricted stock units, (ii) 12,117 shares issuable pursuant to warrants exercisable within 60 days of January 29, 2026, and (iii) 94,452shares issuable pursuant to stock options exercisable within 60 days of January 29, 2026 .</w:t>
      </w:r>
    </w:p>
    <w:p>
      <w:pPr>
        <w:spacing w:after="0" w:line="133" w:lineRule="exact"/>
        <w:rPr>
          <w:rFonts w:ascii="Times New Roman" w:cs="Times New Roman" w:eastAsia="Times New Roman" w:hAnsi="Times New Roman"/>
          <w:sz w:val="15"/>
          <w:szCs w:val="15"/>
          <w:color w:val="auto"/>
        </w:rPr>
      </w:pPr>
    </w:p>
    <w:p>
      <w:pPr>
        <w:ind w:left="369" w:hanging="369"/>
        <w:spacing w:after="0" w:line="287" w:lineRule="auto"/>
        <w:tabs>
          <w:tab w:leader="none" w:pos="3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99,999 shares of common stock and 110,656 shares of common stock issued or issuable upon settlement of restricted stock units, (ii) 1,211 shares issuable pursuant to warrants exercisable within 60 days of January 29, 2026 , and (iii) 99,515 shares issuable pursuant to stock options exercisable within 60 days of January 29, 2026.</w:t>
      </w:r>
    </w:p>
    <w:p>
      <w:pPr>
        <w:spacing w:after="0" w:line="133" w:lineRule="exact"/>
        <w:rPr>
          <w:rFonts w:ascii="Times New Roman" w:cs="Times New Roman" w:eastAsia="Times New Roman" w:hAnsi="Times New Roman"/>
          <w:sz w:val="15"/>
          <w:szCs w:val="15"/>
          <w:color w:val="auto"/>
        </w:rPr>
      </w:pPr>
    </w:p>
    <w:p>
      <w:pPr>
        <w:ind w:left="369" w:hanging="369"/>
        <w:spacing w:after="0" w:line="287" w:lineRule="auto"/>
        <w:tabs>
          <w:tab w:leader="none" w:pos="3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112,022 shares of common stock issued or issuable upon settlement of restricted stock units and (ii) 116,857 shares issuable pursuant to stock options exercisable within 60 days of January 29, 2026.</w:t>
      </w:r>
    </w:p>
    <w:p>
      <w:pPr>
        <w:spacing w:after="0" w:line="133" w:lineRule="exact"/>
        <w:rPr>
          <w:rFonts w:ascii="Times New Roman" w:cs="Times New Roman" w:eastAsia="Times New Roman" w:hAnsi="Times New Roman"/>
          <w:sz w:val="15"/>
          <w:szCs w:val="15"/>
          <w:color w:val="auto"/>
        </w:rPr>
      </w:pPr>
    </w:p>
    <w:p>
      <w:pPr>
        <w:ind w:left="369" w:hanging="369"/>
        <w:spacing w:after="0" w:line="287" w:lineRule="auto"/>
        <w:tabs>
          <w:tab w:leader="none" w:pos="3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103,825 shares of common stock issued or issuable upon settlement of restricted stock units and (ii) 273,618 shares issuable pursuant to stock options exercisable within 60 days of January 29, 2026.</w:t>
      </w:r>
    </w:p>
    <w:p>
      <w:pPr>
        <w:spacing w:after="0" w:line="133"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243,169 shares of common stock issued or issuable upon settlement of restricted stock units.</w:t>
      </w:r>
    </w:p>
    <w:p>
      <w:pPr>
        <w:spacing w:after="0" w:line="191" w:lineRule="exact"/>
        <w:rPr>
          <w:rFonts w:ascii="Times New Roman" w:cs="Times New Roman" w:eastAsia="Times New Roman" w:hAnsi="Times New Roman"/>
          <w:sz w:val="15"/>
          <w:szCs w:val="15"/>
          <w:color w:val="auto"/>
        </w:rPr>
      </w:pPr>
    </w:p>
    <w:p>
      <w:pPr>
        <w:jc w:val="both"/>
        <w:ind w:left="369" w:right="20" w:hanging="369"/>
        <w:spacing w:after="0" w:line="270" w:lineRule="auto"/>
        <w:tabs>
          <w:tab w:leader="none" w:pos="3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438,596 shares of common stock issuable upon conversion of $750,000 principal amount of 7% Notes held by the Dan and Kathy McCranie 2000 Revocable Trust, and (ii) 1,243,169 shares of common stock issued or issuable upon settlement of restricted stock units. Mr. McCranie serves as trustee of the Dan and Kathy McCranie 2000 Revocable Trust. Mr. McCranie disclaims any beneficial ownership of the reported shares other than to the extent of any pecuniary interest therein.</w:t>
      </w:r>
    </w:p>
    <w:p>
      <w:pPr>
        <w:spacing w:after="0" w:line="146"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35,374 shares of common stock issued or issuable upon settlement of restricted stock units.</w:t>
      </w:r>
    </w:p>
    <w:p>
      <w:pPr>
        <w:spacing w:after="0" w:line="3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5"/>
          <w:szCs w:val="15"/>
          <w:b w:val="1"/>
          <w:bCs w:val="1"/>
          <w:color w:val="auto"/>
        </w:rPr>
        <w:t>SELLING SECURITYHOLDERS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Selling Securityholders may offer and sell, from time to time, any or all of the shares of common stock being offered for resale by this prospectus, which consists of:</w:t>
      </w:r>
    </w:p>
    <w:p>
      <w:pPr>
        <w:spacing w:after="0" w:line="192" w:lineRule="exact"/>
        <w:rPr>
          <w:sz w:val="20"/>
          <w:szCs w:val="20"/>
          <w:color w:val="auto"/>
        </w:rPr>
      </w:pPr>
    </w:p>
    <w:p>
      <w:pPr>
        <w:ind w:left="540" w:hanging="276"/>
        <w:spacing w:after="0"/>
        <w:tabs>
          <w:tab w:leader="none" w:pos="5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10,243,924 shares of common stock previously issued by us pursuant to the Ambia Purchase Agreement in connection with our acquisition of Ambia,</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3,333,334 shares of common stock previously issued by us pursuant to the Sunder Purchase Agreement in connection with our acquisition of Sunder,</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 to 50,760,218 shares of common stock issuable upon conversion of the 7% Notes,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1,048,352 shares of common stock held by certain former affiliates of the company.</w:t>
      </w:r>
    </w:p>
    <w:p>
      <w:pPr>
        <w:spacing w:after="0" w:line="192"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As used in this prospectus, the term “Selling Securityholders” includes the Selling Securityholders listed in the table below, together with any additional Selling Securityholders listed in a subsequent amendment to this prospectus, and their donees, pledgees, assignees, transferees, distributees and successors-in-interest that receive shares in any non-sale transfer after the date of this prospectus.</w:t>
      </w:r>
    </w:p>
    <w:p>
      <w:pPr>
        <w:spacing w:after="0" w:line="14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The following table provides, as of the date of this prospectus, information regarding the beneficial ownership of our common stock of each Selling Securityholder, the number of shares of common stock that may be sold by each Selling Securityholder under this prospectus and that each Selling Securityholder will beneficially own assuming all securities that may be offered pursuant to this prospectus are sold. 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w:t>
      </w:r>
    </w:p>
    <w:p>
      <w:pPr>
        <w:spacing w:after="0" w:line="155"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A holder of 7% Notes may not convert such 7% Notes if such holder, together with its affiliates, would beneficially own more than 9.99% (or, if elected by the holder, an amount lesser than or equal to 9.99%) of the number of shares of common stock outstanding immediately after giving effect to such conversion (the “Beneficial Ownership Limitation”). Unless otherwise noted below, the table below does not give effect to the applicable Beneficial Ownership Limitation.</w:t>
      </w:r>
    </w:p>
    <w:p>
      <w:pPr>
        <w:spacing w:after="0" w:line="14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Beneficial ownership is determined in accordance with Rule 13d-3(d) promulgated by the SEC under the Exchange Act, and includes shares of common stock with respect to which the Selling Securityholder has voting and investment power. The percentage of shares of common stock beneficially owned by the Selling Securityholder prior to the offering shown in the table below is based on an aggregate of 112,776,028 shares of our common stock outstanding on January 29, 2026. The fourth column assumes the sale of all of the shares offered by the Selling Securityholders pursuant to this prospectus.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Unless otherwise noted below, the business address of each of the Selling Securityholders is 45700 Northport Loop East, Fremont, CA 94538.</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Please see the section titled “</w:t>
      </w:r>
      <w:r>
        <w:rPr>
          <w:rFonts w:ascii="Times New Roman" w:cs="Times New Roman" w:eastAsia="Times New Roman" w:hAnsi="Times New Roman"/>
          <w:sz w:val="15"/>
          <w:szCs w:val="15"/>
          <w:i w:val="1"/>
          <w:iCs w:val="1"/>
          <w:color w:val="auto"/>
        </w:rPr>
        <w:t>Plan of Distribution</w:t>
      </w:r>
      <w:r>
        <w:rPr>
          <w:rFonts w:ascii="Times New Roman" w:cs="Times New Roman" w:eastAsia="Times New Roman" w:hAnsi="Times New Roman"/>
          <w:sz w:val="15"/>
          <w:szCs w:val="15"/>
          <w:color w:val="auto"/>
        </w:rPr>
        <w:t>” for further information regarding the Selling Securityholders’ method of distributing these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15" w:name="page116"/>
    <w:bookmarkEnd w:id="115"/>
    <w:tbl>
      <w:tblPr>
        <w:tblLayout w:type="fixed"/>
        <w:tblInd w:w="9"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Maximum</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Number of Shares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Shares of</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5"/>
            <w:vMerge w:val="continue"/>
          </w:tcPr>
          <w:p>
            <w:pPr>
              <w:spacing w:after="0"/>
              <w:rPr>
                <w:sz w:val="14"/>
                <w:szCs w:val="14"/>
                <w:color w:val="auto"/>
              </w:rPr>
            </w:pPr>
          </w:p>
        </w:tc>
        <w:tc>
          <w:tcPr>
            <w:tcW w:w="132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5"/>
                <w:szCs w:val="15"/>
                <w:b w:val="1"/>
                <w:bCs w:val="1"/>
                <w:color w:val="auto"/>
              </w:rPr>
              <w:t>Common Stock</w:t>
            </w: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to be Offered</w:t>
            </w:r>
          </w:p>
        </w:tc>
        <w:tc>
          <w:tcPr>
            <w:tcW w:w="258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Number of Shares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Owned Prior 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Pursuant to</w:t>
            </w:r>
          </w:p>
        </w:tc>
        <w:tc>
          <w:tcPr>
            <w:tcW w:w="2580" w:type="dxa"/>
            <w:vAlign w:val="bottom"/>
            <w:gridSpan w:val="4"/>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left="864"/>
              <w:spacing w:after="0"/>
              <w:rPr>
                <w:sz w:val="20"/>
                <w:szCs w:val="20"/>
                <w:color w:val="auto"/>
              </w:rPr>
            </w:pPr>
            <w:r>
              <w:rPr>
                <w:rFonts w:ascii="Times New Roman" w:cs="Times New Roman" w:eastAsia="Times New Roman" w:hAnsi="Times New Roman"/>
                <w:sz w:val="15"/>
                <w:szCs w:val="15"/>
                <w:b w:val="1"/>
                <w:bCs w:val="1"/>
                <w:color w:val="auto"/>
              </w:rPr>
              <w:t>Offering</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this</w:t>
            </w: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Owned After Offering</w:t>
            </w:r>
          </w:p>
        </w:tc>
        <w:tc>
          <w:tcPr>
            <w:tcW w:w="0" w:type="dxa"/>
            <w:vAlign w:val="bottom"/>
          </w:tcPr>
          <w:p>
            <w:pPr>
              <w:spacing w:after="0"/>
              <w:rPr>
                <w:sz w:val="1"/>
                <w:szCs w:val="1"/>
                <w:color w:val="auto"/>
              </w:rPr>
            </w:pPr>
          </w:p>
        </w:tc>
      </w:tr>
      <w:tr>
        <w:trPr>
          <w:trHeight w:val="219"/>
        </w:trPr>
        <w:tc>
          <w:tcPr>
            <w:tcW w:w="46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 of Selling Securityholder</w:t>
            </w:r>
          </w:p>
        </w:tc>
        <w:tc>
          <w:tcPr>
            <w:tcW w:w="15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920" w:type="dxa"/>
            <w:vAlign w:val="bottom"/>
            <w:tcBorders>
              <w:top w:val="single" w:sz="8" w:color="auto"/>
            </w:tcBorders>
          </w:tcPr>
          <w:p>
            <w:pPr>
              <w:ind w:left="40"/>
              <w:spacing w:after="0" w:line="216" w:lineRule="exact"/>
              <w:rPr>
                <w:sz w:val="20"/>
                <w:szCs w:val="20"/>
                <w:color w:val="auto"/>
              </w:rPr>
            </w:pPr>
            <w:r>
              <w:rPr>
                <w:rFonts w:ascii="Times New Roman" w:cs="Times New Roman" w:eastAsia="Times New Roman" w:hAnsi="Times New Roman"/>
                <w:sz w:val="15"/>
                <w:szCs w:val="15"/>
                <w:b w:val="1"/>
                <w:bCs w:val="1"/>
                <w:color w:val="auto"/>
              </w:rPr>
              <w:t>Percent</w:t>
            </w:r>
            <w:r>
              <w:rPr>
                <w:rFonts w:ascii="Times New Roman" w:cs="Times New Roman" w:eastAsia="Times New Roman" w:hAnsi="Times New Roman"/>
                <w:sz w:val="25"/>
                <w:szCs w:val="25"/>
                <w:b w:val="1"/>
                <w:bCs w:val="1"/>
                <w:color w:val="auto"/>
                <w:vertAlign w:val="superscript"/>
              </w:rPr>
              <w:t>(1)</w:t>
            </w:r>
          </w:p>
        </w:tc>
        <w:tc>
          <w:tcPr>
            <w:tcW w:w="24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Prospectus</w:t>
            </w:r>
          </w:p>
        </w:tc>
        <w:tc>
          <w:tcPr>
            <w:tcW w:w="1320" w:type="dxa"/>
            <w:vAlign w:val="bottom"/>
            <w:tcBorders>
              <w:top w:val="single" w:sz="8" w:color="auto"/>
            </w:tcBorders>
            <w:gridSpan w:val="2"/>
          </w:tcPr>
          <w:p>
            <w:pPr>
              <w:jc w:val="right"/>
              <w:ind w:right="420"/>
              <w:spacing w:after="0" w:line="216" w:lineRule="exact"/>
              <w:rPr>
                <w:sz w:val="20"/>
                <w:szCs w:val="20"/>
                <w:color w:val="auto"/>
              </w:rPr>
            </w:pPr>
            <w:r>
              <w:rPr>
                <w:rFonts w:ascii="Times New Roman" w:cs="Times New Roman" w:eastAsia="Times New Roman" w:hAnsi="Times New Roman"/>
                <w:sz w:val="15"/>
                <w:szCs w:val="15"/>
                <w:b w:val="1"/>
                <w:bCs w:val="1"/>
                <w:color w:val="auto"/>
              </w:rPr>
              <w:t>Number</w:t>
            </w:r>
            <w:r>
              <w:rPr>
                <w:rFonts w:ascii="Times New Roman" w:cs="Times New Roman" w:eastAsia="Times New Roman" w:hAnsi="Times New Roman"/>
                <w:sz w:val="25"/>
                <w:szCs w:val="25"/>
                <w:b w:val="1"/>
                <w:bCs w:val="1"/>
                <w:color w:val="auto"/>
                <w:vertAlign w:val="superscript"/>
              </w:rPr>
              <w:t>(2)</w:t>
            </w:r>
          </w:p>
        </w:tc>
        <w:tc>
          <w:tcPr>
            <w:tcW w:w="1120" w:type="dxa"/>
            <w:vAlign w:val="bottom"/>
            <w:tcBorders>
              <w:top w:val="single" w:sz="8" w:color="auto"/>
            </w:tcBorders>
          </w:tcPr>
          <w:p>
            <w:pPr>
              <w:jc w:val="right"/>
              <w:ind w:right="164"/>
              <w:spacing w:after="0" w:line="216" w:lineRule="exact"/>
              <w:rPr>
                <w:sz w:val="20"/>
                <w:szCs w:val="20"/>
                <w:color w:val="auto"/>
              </w:rPr>
            </w:pPr>
            <w:r>
              <w:rPr>
                <w:rFonts w:ascii="Times New Roman" w:cs="Times New Roman" w:eastAsia="Times New Roman" w:hAnsi="Times New Roman"/>
                <w:sz w:val="15"/>
                <w:szCs w:val="15"/>
                <w:b w:val="1"/>
                <w:bCs w:val="1"/>
                <w:color w:val="auto"/>
              </w:rPr>
              <w:t>Percent</w:t>
            </w:r>
            <w:r>
              <w:rPr>
                <w:rFonts w:ascii="Times New Roman" w:cs="Times New Roman" w:eastAsia="Times New Roman" w:hAnsi="Times New Roman"/>
                <w:sz w:val="25"/>
                <w:szCs w:val="25"/>
                <w:b w:val="1"/>
                <w:bCs w:val="1"/>
                <w:color w:val="auto"/>
                <w:vertAlign w:val="superscript"/>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Acquisition Transaction Holders</w:t>
            </w: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Ambia Holdings, Inc.(3)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10,243,924</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10,243,924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Chicken Parm Pizza LLC(4)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2,991,672</w:t>
            </w:r>
          </w:p>
        </w:tc>
        <w:tc>
          <w:tcPr>
            <w:tcW w:w="2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2,991,672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Yan Purba(4)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50,000</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Joel Gregory(4)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33,333</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33,333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Jacob Lehmann(4)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33,333</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33,333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Jordan Matthesius(4)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33,333</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33,333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Christopher Munizzi(4)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33,333</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33,333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Cory Walksler(4)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33,333</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33,333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Christopher Wallace(4)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33,333</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33,333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Wyler Wittwer(4)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33,333</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33,333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Kody Ayotte(4)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16,666</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16,666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Tayten Bibb(4)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16,666</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16,666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Connor Zwerg(4)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16,666</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16,666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Daniel Hadobas(4)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8,333</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8,333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7% Noteholders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Alyeska Master Fund, LP(5)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11,695,906</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11,695,906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Luming Yang(6)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8,771,929</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8,771,929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Entities Affiliated with Thurman J. Rodgers(7)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44,149,560</w:t>
            </w:r>
          </w:p>
        </w:tc>
        <w:tc>
          <w:tcPr>
            <w:tcW w:w="2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4,678,362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39,471,198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Certain funds and accounts managed by Shaolin Capital Management</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LLC(8)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8,187,131</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8,187,131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Entities affiliated with Walleye Capital(9)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4,970,759</w:t>
            </w:r>
          </w:p>
        </w:tc>
        <w:tc>
          <w:tcPr>
            <w:tcW w:w="2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4,970,759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Enphase Energy, Inc.(10)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4,093,567</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4,093,567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Entities affiliated with Sandia Investment Management(11)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1,900,583</w:t>
            </w:r>
          </w:p>
        </w:tc>
        <w:tc>
          <w:tcPr>
            <w:tcW w:w="2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1,900,583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Entities Affiliated with Park West Asset Management, LLC(12)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1,754,385</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1,754,385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Cantor Fitzgerald &amp; Co.(13)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1,169,590</w:t>
            </w:r>
          </w:p>
        </w:tc>
        <w:tc>
          <w:tcPr>
            <w:tcW w:w="2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1,169,590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Charles Edgar Haldeman, Jr.(14)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877,192</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877,192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TQ Master Fund LP, by The Quarry LP(15)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584,795</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584,795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Entities affiliated with Linden Advisors, LP(16)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584,794</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584,794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Entities affiliated with DLD Asset Management, L.P.(17)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584,794</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584,794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Dan and Kathy McCranie 2000 Revocable Trust(18)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438,596</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438,596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Hans van Antwerpen(19)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292,397</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292,397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 Managed by Madison Trust Company(20)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116,959</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116,959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Richard M. Swanson(21)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58,479</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58,479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Former Affiliate Holders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Abhishek Bhatia(22)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568,262</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568,262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Anderson(22)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405,090</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405,090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Noreen Doyle(22)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25,000</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25,000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William Janetschek(22)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25,000</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25,000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Nell Cady-Kruse(22)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25,000</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25,000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49" w:hanging="549"/>
        <w:spacing w:after="0"/>
        <w:tabs>
          <w:tab w:leader="none" w:pos="549"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beneficial ownership of less than 1% of the outstanding shares of our common stock.</w:t>
      </w:r>
    </w:p>
    <w:p>
      <w:pPr>
        <w:spacing w:after="0" w:line="192" w:lineRule="exact"/>
        <w:rPr>
          <w:sz w:val="20"/>
          <w:szCs w:val="20"/>
          <w:color w:val="auto"/>
        </w:rPr>
      </w:pPr>
    </w:p>
    <w:p>
      <w:pPr>
        <w:ind w:left="5529" w:right="3260" w:hanging="5529"/>
        <w:spacing w:after="0" w:line="794" w:lineRule="auto"/>
        <w:tabs>
          <w:tab w:leader="none" w:pos="556"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Applicable percentage ownership is based on 112,776,028 shares of our common stock outstanding as of January 29, 2026.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5391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116" w:name="page117"/>
    <w:bookmarkEnd w:id="116"/>
    <w:p>
      <w:pPr>
        <w:ind w:left="549" w:hanging="549"/>
        <w:spacing w:after="0"/>
        <w:tabs>
          <w:tab w:leader="none" w:pos="54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the sale of all shares being offered pursuant to this prospectus.</w:t>
      </w:r>
    </w:p>
    <w:p>
      <w:pPr>
        <w:spacing w:after="0" w:line="191" w:lineRule="exact"/>
        <w:rPr>
          <w:rFonts w:ascii="Times New Roman" w:cs="Times New Roman" w:eastAsia="Times New Roman" w:hAnsi="Times New Roman"/>
          <w:sz w:val="15"/>
          <w:szCs w:val="15"/>
          <w:color w:val="auto"/>
        </w:rPr>
      </w:pPr>
    </w:p>
    <w:p>
      <w:pPr>
        <w:ind w:left="549" w:hanging="549"/>
        <w:spacing w:after="0" w:line="287" w:lineRule="auto"/>
        <w:tabs>
          <w:tab w:leader="none" w:pos="54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issued pursuant to the Ambia Purchase Agreement. The business address of Ambia Holdings, Inc. is 335 S 560 W, Suite 100, Lindon, UT 84042.</w:t>
      </w:r>
    </w:p>
    <w:p>
      <w:pPr>
        <w:spacing w:after="0" w:line="133" w:lineRule="exact"/>
        <w:rPr>
          <w:rFonts w:ascii="Times New Roman" w:cs="Times New Roman" w:eastAsia="Times New Roman" w:hAnsi="Times New Roman"/>
          <w:sz w:val="15"/>
          <w:szCs w:val="15"/>
          <w:color w:val="auto"/>
        </w:rPr>
      </w:pPr>
    </w:p>
    <w:p>
      <w:pPr>
        <w:ind w:left="549" w:right="20" w:hanging="549"/>
        <w:spacing w:after="0" w:line="287" w:lineRule="auto"/>
        <w:tabs>
          <w:tab w:leader="none" w:pos="54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issued pursuant to the Sunder Purchase Agreement. The business address of the Selling Securityholders is 1750 West 11400 South, Suite 110, South Jordan, Utah 84095.</w:t>
      </w:r>
    </w:p>
    <w:p>
      <w:pPr>
        <w:spacing w:after="0" w:line="133" w:lineRule="exact"/>
        <w:rPr>
          <w:rFonts w:ascii="Times New Roman" w:cs="Times New Roman" w:eastAsia="Times New Roman" w:hAnsi="Times New Roman"/>
          <w:sz w:val="15"/>
          <w:szCs w:val="15"/>
          <w:color w:val="auto"/>
        </w:rPr>
      </w:pPr>
    </w:p>
    <w:p>
      <w:pPr>
        <w:jc w:val="both"/>
        <w:ind w:left="549" w:hanging="549"/>
        <w:spacing w:after="0" w:line="264" w:lineRule="auto"/>
        <w:tabs>
          <w:tab w:leader="none" w:pos="54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p>
      <w:pPr>
        <w:spacing w:after="0" w:line="151" w:lineRule="exact"/>
        <w:rPr>
          <w:rFonts w:ascii="Times New Roman" w:cs="Times New Roman" w:eastAsia="Times New Roman" w:hAnsi="Times New Roman"/>
          <w:sz w:val="15"/>
          <w:szCs w:val="15"/>
          <w:color w:val="auto"/>
        </w:rPr>
      </w:pPr>
    </w:p>
    <w:p>
      <w:pPr>
        <w:ind w:left="549" w:hanging="549"/>
        <w:spacing w:after="0"/>
        <w:tabs>
          <w:tab w:leader="none" w:pos="54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issuable upon conversion of $14,000,000 principal amount of 7% Notes.</w:t>
      </w:r>
    </w:p>
    <w:p>
      <w:pPr>
        <w:spacing w:after="0" w:line="191" w:lineRule="exact"/>
        <w:rPr>
          <w:rFonts w:ascii="Times New Roman" w:cs="Times New Roman" w:eastAsia="Times New Roman" w:hAnsi="Times New Roman"/>
          <w:sz w:val="15"/>
          <w:szCs w:val="15"/>
          <w:color w:val="auto"/>
        </w:rPr>
      </w:pPr>
    </w:p>
    <w:p>
      <w:pPr>
        <w:jc w:val="both"/>
        <w:ind w:left="549" w:hanging="549"/>
        <w:spacing w:after="0" w:line="255" w:lineRule="auto"/>
        <w:tabs>
          <w:tab w:leader="none" w:pos="54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485,562 shares held by Rodgers Capital, LLC, (ii) 8,843 shares held by Thurman J. Rodgers, (iii) 7,701,605 shares held by the Rodgers Massey Revocable Living Trust, (iv) 1,838,235 shares held by the Rodgers Massey Freedom and Free Markets Charitable Trust, (v) 724,416 shares issuable pursuant to warrants exercisable within 60 days of January 29, 2026, (vi) 116,601 shares issuable pursuant to stock options and restricted stock units exercisable or settleable within 60 days of January 29, 2026, (vii) 4,166,667 shares of common stock issued to the Rodgers Massey Freedom and Free Markets Charitable Trust pursuant to the Second SAFE, and (viii) 9,722,222 shares of common stock issued to the Rodgers Massey Freedom and Free Markets Charitable Trust pursuant to the Third SAFE. Additionally, the number of shares reflected in the table above include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are being registered hereby, (c) the Rodgers Massey Revocable Living Trust holds $5,000,000 principal amount of 12% Notes issued in July 2025 that are convertible into 2,793,296 shares of common stock which are being registered hereby, (d) the Rodgers Massey Freedom and Free Markets Charitable Trust holds an additional $2,000,000 principal amount of 12% Notes issued in November 2025 that are convertible into 1,253,918 shares of common stock, and (e) the Rodgers Massey Freedom and Free Markets Charitable Trust holds an additional $3,300,000 principal amount of 12% Notes issued in January 2026 that are convertible into 1,783,783 shares of common stock. In addition to the foregoing and the number of shares reflected in the table above, shares of common stock are issuable pursuant to the Third SAFE in accordance with the terms thereof in connection with a bona fide common stock financing completed by the Company. Thurman J. Rodgers is the Chief Executive Officer, a member of the Board of Directors, and trustee of each of the Rodgers Family and Free Markets Charitable Trust and the Rodgers Massey Revocable Living Trust. Voting and investment power over the securities held by the foregoing entities resides with Mr. Rodgers, who may be deemed to be the beneficial owner of the shares. Mr. Rodgers and his affiliated trusts hold more than 5% holder of our capital stock.</w:t>
      </w:r>
    </w:p>
    <w:p>
      <w:pPr>
        <w:spacing w:after="0" w:line="345" w:lineRule="exact"/>
        <w:rPr>
          <w:rFonts w:ascii="Times New Roman" w:cs="Times New Roman" w:eastAsia="Times New Roman" w:hAnsi="Times New Roman"/>
          <w:sz w:val="15"/>
          <w:szCs w:val="15"/>
          <w:color w:val="auto"/>
        </w:rPr>
      </w:pPr>
    </w:p>
    <w:p>
      <w:pPr>
        <w:jc w:val="both"/>
        <w:ind w:left="549" w:hanging="549"/>
        <w:spacing w:after="0" w:line="257" w:lineRule="auto"/>
        <w:tabs>
          <w:tab w:leader="none" w:pos="54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3,769,590 shares of common stock issuable upon conversion of $6,446,000 principal amount of 7% Notes held by Shaolin Capital Partners Master Fund, (ii) 3,068,000 shares of common stock issuable upon conversion of $3,068,000 principal amount of 7% Notes held by MAP 214 Segregated Portfolio, a segregated portfolio of LMA SPC, (iii) 2,918,000 shares of common stock issuable upon conversion of $2,918,000 principal amount of 7% Notes held by Shaolin Capital Partners SP, a segregated portfolio of PCMP SPC, (iv) 776,608 shares of common stock issuable upon conversion of $1,328,000 principal amount of 7% Notes held by Eagle Harbor Multi-Strategy Master Fund Limited, and (v) 140,350.00 shares of common stock issuable upon conversion of $240,000 principal amount of 7% Notes held by Eagle Harbor Multi-Strategy Master Fund Limited. Shaolin Capital Management LLC (“Shaolin Capital Management”) serves as investment manager for these entities. David Puritz and Michael Jester are the general partners of Shaolin Capital Management and serve as the sub investment advisor to these entities. They have voting and investment control over the shares held by these entities. Mr. Puritz and Mr. Jester disclaim beneficial ownership of the shares held by these entities, except to the extent of their pecuniary interest therein. The principal business address of each of these entities and Shaolin Capital Management is 230 NW 24 Street, Suite 603, Miami, Florida 33127.</w:t>
      </w:r>
    </w:p>
    <w:p>
      <w:pPr>
        <w:spacing w:after="0" w:line="158" w:lineRule="exact"/>
        <w:rPr>
          <w:rFonts w:ascii="Times New Roman" w:cs="Times New Roman" w:eastAsia="Times New Roman" w:hAnsi="Times New Roman"/>
          <w:sz w:val="15"/>
          <w:szCs w:val="15"/>
          <w:color w:val="auto"/>
        </w:rPr>
      </w:pPr>
    </w:p>
    <w:p>
      <w:pPr>
        <w:jc w:val="both"/>
        <w:ind w:left="549" w:hanging="549"/>
        <w:spacing w:after="0" w:line="260" w:lineRule="auto"/>
        <w:tabs>
          <w:tab w:leader="none" w:pos="54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2,339,181 shares of common stock issuable upon conversion of $4,000,000 principal amount of 7% Notes held by Walleye Manager Opportunities LLC, and (ii) 2,631,578 shares of common stock issuable upon conversion of $4,500,000 principal amount of 7% Notes held by Walleye Opportunities Master Fund Ltd. Walleye Capital LLC is the ultimate parent holding company of such funds and accounts. On behalf of such funds and accounts, the applicable portfolio managers, as managing directors of such entities, have voting and investment power over the shares held by the funds and accounts which are the registered holders of the referenced shares. Such portfolio managers expressly disclaim beneficial ownership of all shares held by such funds and accounts. The address of Walleye Manager Opportunities LLC is 2800 Niagara Lane N, Plymouth, MN 55447. The principal business address of Walleye Opportunities Master Fund Ltd is 315 Park Avenue South, New York, NY 10010.</w:t>
      </w:r>
    </w:p>
    <w:p>
      <w:pPr>
        <w:spacing w:after="0" w:line="153" w:lineRule="exact"/>
        <w:rPr>
          <w:rFonts w:ascii="Times New Roman" w:cs="Times New Roman" w:eastAsia="Times New Roman" w:hAnsi="Times New Roman"/>
          <w:sz w:val="15"/>
          <w:szCs w:val="15"/>
          <w:color w:val="auto"/>
        </w:rPr>
      </w:pPr>
    </w:p>
    <w:p>
      <w:pPr>
        <w:ind w:left="549" w:hanging="549"/>
        <w:spacing w:after="0" w:line="287" w:lineRule="auto"/>
        <w:tabs>
          <w:tab w:leader="none" w:pos="54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issuable upon conversion of $7,000,000 principal amount of 7% Notes. The principal business address of the Selling Securityholder is 47281 Bayside Parkway, Fremont CA 94538.</w:t>
      </w:r>
    </w:p>
    <w:p>
      <w:pPr>
        <w:spacing w:after="0" w:line="3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117" w:name="page118"/>
    <w:bookmarkEnd w:id="117"/>
    <w:p>
      <w:pPr>
        <w:jc w:val="both"/>
        <w:ind w:left="549" w:hanging="549"/>
        <w:spacing w:after="0" w:line="259" w:lineRule="auto"/>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584,795 shares of common stock issuable upon conversion of $1,000,000 principal amount of 7% Notes held by Sandia Investment Management, on behalf of Boothbay Absolute Return Strategies, LP, (ii) 1,105,847 shares of common stock issuable upon conversion of $1,891,000 principal amount of 7% Notes held by Sandia Investment Management, on behalf of Diametric True Alpha Enhanced Market Neutral Master Fund, LP, and (iii) 209,941 shares of common stock issuable upon conversion of $359,000 principal amount of 7% Notes held by Sandia Investment Management, on behalf of Diametric True Alpha Market Neutral Master Fund, LP. Sandia Investment Management LLC is the general partner of Sandia. Tim Sichler serves as Founder &amp; CIO of the general partner of Sandia, and in such capacity may be deemed to be the beneficial owner having shared voting power and shared investment power over the securities described in this footnote. The business address of these entities and Mr. Sichler is 201 Washington Street, Boston, Massachusetts 02108.</w:t>
      </w:r>
    </w:p>
    <w:p>
      <w:pPr>
        <w:spacing w:after="0" w:line="153" w:lineRule="exact"/>
        <w:rPr>
          <w:rFonts w:ascii="Times New Roman" w:cs="Times New Roman" w:eastAsia="Times New Roman" w:hAnsi="Times New Roman"/>
          <w:sz w:val="15"/>
          <w:szCs w:val="15"/>
          <w:color w:val="auto"/>
        </w:rPr>
      </w:pPr>
    </w:p>
    <w:p>
      <w:pPr>
        <w:jc w:val="both"/>
        <w:ind w:left="549" w:hanging="549"/>
        <w:spacing w:after="0" w:line="261" w:lineRule="auto"/>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1,596,491 shares of common stock issuable upon conversion of $2,730,000 principal amount of 7% Notes held by Park West Master Fund, Limited, and (ii) 157,894 shares of common stock issuable upon conversion of $270,000 principal amount of 7% Notes held by Park West Partners International, Limited (collectively, the “Park West Funds”). Park West Asset Management LLC (the “Park West Manager”) serves as the investment manager to the Park West Funds. Peter S. Park, through one or more affiliated entities, is the controlling manager of the Park West Manager. As such, the Park West Manager and Mr. Park may be deemed to exercise voting and investment discretion over the shares directly held by the Park West Funds. The principal business address of the Park West Funds is One Letterman Drive, San Francisco 94129.</w:t>
      </w:r>
    </w:p>
    <w:p>
      <w:pPr>
        <w:spacing w:after="0" w:line="154" w:lineRule="exact"/>
        <w:rPr>
          <w:rFonts w:ascii="Times New Roman" w:cs="Times New Roman" w:eastAsia="Times New Roman" w:hAnsi="Times New Roman"/>
          <w:sz w:val="15"/>
          <w:szCs w:val="15"/>
          <w:color w:val="auto"/>
        </w:rPr>
      </w:pPr>
    </w:p>
    <w:p>
      <w:pPr>
        <w:ind w:left="549" w:hanging="549"/>
        <w:spacing w:after="0" w:line="287" w:lineRule="auto"/>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issuable upon conversion of $2,000,000 principal amount of 7% Notes. The principal business address of the Selling Securityholder is 119 E 59th Street, NY 10022.</w:t>
      </w:r>
    </w:p>
    <w:p>
      <w:pPr>
        <w:spacing w:after="0" w:line="133" w:lineRule="exact"/>
        <w:rPr>
          <w:rFonts w:ascii="Times New Roman" w:cs="Times New Roman" w:eastAsia="Times New Roman" w:hAnsi="Times New Roman"/>
          <w:sz w:val="15"/>
          <w:szCs w:val="15"/>
          <w:color w:val="auto"/>
        </w:rPr>
      </w:pPr>
    </w:p>
    <w:p>
      <w:pPr>
        <w:ind w:left="549" w:hanging="549"/>
        <w:spacing w:after="0"/>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issuable upon conversion of $1,500,000 principal amount of 7% Notes.</w:t>
      </w:r>
    </w:p>
    <w:p>
      <w:pPr>
        <w:spacing w:after="0" w:line="191" w:lineRule="exact"/>
        <w:rPr>
          <w:rFonts w:ascii="Times New Roman" w:cs="Times New Roman" w:eastAsia="Times New Roman" w:hAnsi="Times New Roman"/>
          <w:sz w:val="15"/>
          <w:szCs w:val="15"/>
          <w:color w:val="auto"/>
        </w:rPr>
      </w:pPr>
    </w:p>
    <w:p>
      <w:pPr>
        <w:ind w:left="549" w:hanging="549"/>
        <w:spacing w:after="0" w:line="287" w:lineRule="auto"/>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issuable upon conversion of $2,730,000 principal amount of 7% Notes. The registered address of the Selling Securityholder is 331 Park Ave S, Third Floor, New York, NY 10010.</w:t>
      </w:r>
    </w:p>
    <w:p>
      <w:pPr>
        <w:spacing w:after="0" w:line="133" w:lineRule="exact"/>
        <w:rPr>
          <w:rFonts w:ascii="Times New Roman" w:cs="Times New Roman" w:eastAsia="Times New Roman" w:hAnsi="Times New Roman"/>
          <w:sz w:val="15"/>
          <w:szCs w:val="15"/>
          <w:color w:val="auto"/>
        </w:rPr>
      </w:pPr>
    </w:p>
    <w:p>
      <w:pPr>
        <w:jc w:val="both"/>
        <w:ind w:left="549" w:hanging="549"/>
        <w:spacing w:after="0" w:line="260" w:lineRule="auto"/>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550,376 shares of common stock issuable upon conversion of $941,143 principal amount of 7% Notes held by Linden Capital, LP, (ii) 16,123 shares of common stock issuable upon conversion of $27,571 principal amount of 7% Notes held by Crown Managed Accounts SPC, and (iii) 18,295 shares of common stock issuable upon conversion of $31,286 principal amount of 7% Notes held by PCH Manager Fund SPC (collectively, the “Linden Accounts”). Linden Advisors LP is an investment manager for the Linden Accounts and holds voting and dispositive power over the securities held by them. Mr. Siu Min (Joe) Wong (the principal owner and the controlling person of Linden Advisors LP) also shares voting and dispositive power with respect to the securities listed held by the Linden Accounts. The principal business address of the Linden Accounts is 590 Madison Ave, 32nd Floor, NY 10022.</w:t>
      </w:r>
    </w:p>
    <w:p>
      <w:pPr>
        <w:spacing w:after="0" w:line="153" w:lineRule="exact"/>
        <w:rPr>
          <w:rFonts w:ascii="Times New Roman" w:cs="Times New Roman" w:eastAsia="Times New Roman" w:hAnsi="Times New Roman"/>
          <w:sz w:val="15"/>
          <w:szCs w:val="15"/>
          <w:color w:val="auto"/>
        </w:rPr>
      </w:pPr>
    </w:p>
    <w:p>
      <w:pPr>
        <w:jc w:val="both"/>
        <w:ind w:left="549" w:hanging="549"/>
        <w:spacing w:after="0" w:line="270" w:lineRule="auto"/>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292,397 shares of common stock issuable upon conversion of $500,000 principal amount of 7% Notes held by DLD Master Fund, L.P., and (ii) 292,397 shares of common stock issuable upon conversion of $500,000 principal amount of 7% Notes held by Commonfund Global Absolute Alpha Company. The address of each of the Selling Securityholders is 150 East 52nd Street, New York 10022.</w:t>
      </w:r>
    </w:p>
    <w:p>
      <w:pPr>
        <w:spacing w:after="0" w:line="146" w:lineRule="exact"/>
        <w:rPr>
          <w:rFonts w:ascii="Times New Roman" w:cs="Times New Roman" w:eastAsia="Times New Roman" w:hAnsi="Times New Roman"/>
          <w:sz w:val="15"/>
          <w:szCs w:val="15"/>
          <w:color w:val="auto"/>
        </w:rPr>
      </w:pPr>
    </w:p>
    <w:p>
      <w:pPr>
        <w:jc w:val="both"/>
        <w:ind w:left="549" w:hanging="549"/>
        <w:spacing w:after="0" w:line="270" w:lineRule="auto"/>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438,596 shares of common stock issuable upon conversion of $750,000 principal amount of 7% Notes held by the Dan and Kathy McCranie 2000 Revocable Trust. Daniel McCranie, a member of the Company’s board of directors serves as trustee of the Dan and Kathy McCranie 2000 Revocable Trust. Mr. McCranie disclaims any beneficial ownership of the reported shares other than to the extent of any pecuniary interest therein.</w:t>
      </w:r>
    </w:p>
    <w:p>
      <w:pPr>
        <w:spacing w:after="0" w:line="146" w:lineRule="exact"/>
        <w:rPr>
          <w:rFonts w:ascii="Times New Roman" w:cs="Times New Roman" w:eastAsia="Times New Roman" w:hAnsi="Times New Roman"/>
          <w:sz w:val="15"/>
          <w:szCs w:val="15"/>
          <w:color w:val="auto"/>
        </w:rPr>
      </w:pPr>
    </w:p>
    <w:p>
      <w:pPr>
        <w:ind w:left="549" w:hanging="549"/>
        <w:spacing w:after="0"/>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issuable upon conversion of $500,000 principal amount of 7% Notes.</w:t>
      </w:r>
    </w:p>
    <w:p>
      <w:pPr>
        <w:spacing w:after="0" w:line="191" w:lineRule="exact"/>
        <w:rPr>
          <w:rFonts w:ascii="Times New Roman" w:cs="Times New Roman" w:eastAsia="Times New Roman" w:hAnsi="Times New Roman"/>
          <w:sz w:val="15"/>
          <w:szCs w:val="15"/>
          <w:color w:val="auto"/>
        </w:rPr>
      </w:pPr>
    </w:p>
    <w:p>
      <w:pPr>
        <w:ind w:left="549" w:hanging="549"/>
        <w:spacing w:after="0"/>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issuable upon conversion of $200,000 principal amount of 7% Notes.</w:t>
      </w:r>
    </w:p>
    <w:p>
      <w:pPr>
        <w:spacing w:after="0" w:line="191" w:lineRule="exact"/>
        <w:rPr>
          <w:rFonts w:ascii="Times New Roman" w:cs="Times New Roman" w:eastAsia="Times New Roman" w:hAnsi="Times New Roman"/>
          <w:sz w:val="15"/>
          <w:szCs w:val="15"/>
          <w:color w:val="auto"/>
        </w:rPr>
      </w:pPr>
    </w:p>
    <w:p>
      <w:pPr>
        <w:ind w:left="549" w:hanging="549"/>
        <w:spacing w:after="0"/>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issuable upon conversion of $100,000 principal amount of 7% Notes.</w:t>
      </w:r>
    </w:p>
    <w:p>
      <w:pPr>
        <w:spacing w:after="0" w:line="191" w:lineRule="exact"/>
        <w:rPr>
          <w:rFonts w:ascii="Times New Roman" w:cs="Times New Roman" w:eastAsia="Times New Roman" w:hAnsi="Times New Roman"/>
          <w:sz w:val="15"/>
          <w:szCs w:val="15"/>
          <w:color w:val="auto"/>
        </w:rPr>
      </w:pPr>
    </w:p>
    <w:p>
      <w:pPr>
        <w:ind w:left="549" w:right="20" w:hanging="549"/>
        <w:spacing w:after="0" w:line="287" w:lineRule="auto"/>
        <w:tabs>
          <w:tab w:leader="none" w:pos="54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shares of common stock previously issued by the Company to issued to former affiliates of Freedom Acquisition I Corp. and its sponsor, Freedom Acquisition I, LLC.</w:t>
      </w:r>
    </w:p>
    <w:p>
      <w:pPr>
        <w:spacing w:after="0" w:line="3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The following summary of certain provisions of SunPower’s securities does not purport to be complete and is subject to the Certificate of Incorporation, the Bylaws and the provisions of the DGCL.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Authorized and Outstanding Stock</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As of the date of this prospectus, our Certificate of Incorporation authorizes the issuance of 1,010,000,000 shares, consisting of 1,000,000,000 shares of common stock, $0.0001 par value per share, and 10,000,000 shares of preferred stock, $0.0001 par value (the “</w:t>
      </w:r>
      <w:r>
        <w:rPr>
          <w:rFonts w:ascii="Times New Roman" w:cs="Times New Roman" w:eastAsia="Times New Roman" w:hAnsi="Times New Roman"/>
          <w:sz w:val="15"/>
          <w:szCs w:val="15"/>
          <w:b w:val="1"/>
          <w:bCs w:val="1"/>
          <w:color w:val="auto"/>
        </w:rPr>
        <w:t>preferred stock</w:t>
      </w:r>
      <w:r>
        <w:rPr>
          <w:rFonts w:ascii="Times New Roman" w:cs="Times New Roman" w:eastAsia="Times New Roman" w:hAnsi="Times New Roman"/>
          <w:sz w:val="15"/>
          <w:szCs w:val="15"/>
          <w:color w:val="auto"/>
        </w:rPr>
        <w:t>”). As of January 29, 2026, there were 112,776,028 shares of common stock issued and outstanding and no preferred shares of outstanding.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Voting Power</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Except as otherwise required by law or as otherwise provided in any certificate of designation for any series of preferred stock, the holders of common stock possess all voting power for the election of SunPower’s directors and all other matters requiring stockholder action. Holders of common stock are entitled to one vote per share on matters to be voted on by stockholders.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Holders of common stock are entitled to receive such dividends, if any, as may be declared from time to time by SunPower’s Board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Liquidation, Dissolution and Winding Up</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In the event of SunPower’s voluntary or involuntary liquidation, dissolution, distribution of assets or winding-up, the holders of common stock will be entitled to receive an equal amount per share of all of SunPower’s assets of whatever kind available for distribution to stockholders, after the rights of the holders of preferred stock have been satisfied.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Preemptive or Other Rights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holders of common stock have no preemptive rights or other subscription rights and there are no sinking fund or redemption provisions applicable to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Election of Directors</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SunPower’s Board has one class of directors and each director generally serves for a term of one year. Unless required by applicable law at the time of election, there is no cumulative voting with respect to the election of directors, with the result that the holders of more than 50% of the shares voted for the election of directors can elect all of the directors.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SunPower’s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preferred stock could have the effect of decreasing the trading price of the common stock, restricting dividends on SunPower’s capital stock, diluting the voting power of common stock, impairing the liquidation rights of SunPower’s capital stock, or delaying or preventing a change in control of SunPower.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5"/>
          <w:szCs w:val="15"/>
          <w:b w:val="1"/>
          <w:bCs w:val="1"/>
          <w:color w:val="auto"/>
        </w:rPr>
        <w:t>SAFE Agreements and Related Common Stock Issued or Issuable</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shares of our common stock. The conversion share price was $0.36, calculated as the product of (i) $0.45, the closing price of our common stock on April 19, 2024, multiplied by (ii) 80%. As a result of the conversion of the First SAFE and Second SAFE, 4,166,667 and 9,722,222 shares of our common stock, respectively, have been issued to the Purchaser.</w:t>
      </w:r>
    </w:p>
    <w:p>
      <w:pPr>
        <w:spacing w:after="0" w:line="155"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On May 13, 2024, we entered into the Third SAFE with the Purchaser in connection with the Purchaser’s investment of $1,000,000. The Third SAFE is convertible into shares of common stock upon the initial closing of a bona fide transaction or series of transactions with the principal purpose of raising capital, pursuant to which we issue and sell common stock at a fixed valuation (an “</w:t>
      </w:r>
      <w:r>
        <w:rPr>
          <w:rFonts w:ascii="Times New Roman" w:cs="Times New Roman" w:eastAsia="Times New Roman" w:hAnsi="Times New Roman"/>
          <w:sz w:val="15"/>
          <w:szCs w:val="15"/>
          <w:b w:val="1"/>
          <w:bCs w:val="1"/>
          <w:color w:val="auto"/>
        </w:rPr>
        <w:t>Equity Financing</w:t>
      </w:r>
      <w:r>
        <w:rPr>
          <w:rFonts w:ascii="Times New Roman" w:cs="Times New Roman" w:eastAsia="Times New Roman" w:hAnsi="Times New Roman"/>
          <w:sz w:val="15"/>
          <w:szCs w:val="15"/>
          <w:color w:val="auto"/>
        </w:rPr>
        <w:t>”), at a per share conversion price which is equal to 50% of the price per share of common stock sold in the Equity Financing. If we consummate a change of control prior to the termination of the Third SAFE, the Purchaser will be automatically entitled to receive a portion of the proceeds of such liquidity event equal to $1,000,000, subject to certain adjustments as set forth in the Third SAFE. The Third SAFE is convertible into a maximum of 2,750,000 shares of common stock, assuming a per share conversion price of $0.275, which is the product of (i) $0.55, the closing price of the common stock on May 13, 2024, multiplied by (ii) 50%.</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Thurman J. Rodgers is a trustee of the Purchaser, the Executive Chairman of the SunPower Board, and the Chief Executive Officer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 Purchase Agreements</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In July 2023, FACT and Legacy Complete Solaria entered into Forward Purchase Agreements with each of the FPA Sellers. Pursuant to the terms of the original Forward Purchase Agreements, the FPA Sellers could purchase through a broker in the open market, from holders of Shares other than the Company or affiliates thereof, the shares purchasable under the Forward Purchase Agreement (the “</w:t>
      </w:r>
      <w:r>
        <w:rPr>
          <w:rFonts w:ascii="Times New Roman" w:cs="Times New Roman" w:eastAsia="Times New Roman" w:hAnsi="Times New Roman"/>
          <w:sz w:val="15"/>
          <w:szCs w:val="15"/>
          <w:b w:val="1"/>
          <w:bCs w:val="1"/>
          <w:color w:val="auto"/>
        </w:rPr>
        <w:t>FPA Shares</w:t>
      </w:r>
      <w:r>
        <w:rPr>
          <w:rFonts w:ascii="Times New Roman" w:cs="Times New Roman" w:eastAsia="Times New Roman" w:hAnsi="Times New Roman"/>
          <w:sz w:val="15"/>
          <w:szCs w:val="15"/>
          <w:color w:val="auto"/>
        </w:rPr>
        <w:t>”). While the FPA Sellers had no obligation to purchase any Shares under the Forward Purchase Agreements, the aggregate total FPA Shares that could be purchased under the original Forward Purchase Agreements was no more than 6,720,000 in aggregate. The FPA Sellers could not beneficially own greater than 9.9% of issued and outstanding Shares following the Business Combination as per the Amended and Restated Business Combination Agreement.</w:t>
      </w:r>
    </w:p>
    <w:p>
      <w:pPr>
        <w:spacing w:after="0" w:line="151"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On December 18, 2023, the Company and the FPA Sellers entered into separate amendments to the Forward Purchase Agreements (the “</w:t>
      </w:r>
      <w:r>
        <w:rPr>
          <w:rFonts w:ascii="Times New Roman" w:cs="Times New Roman" w:eastAsia="Times New Roman" w:hAnsi="Times New Roman"/>
          <w:sz w:val="15"/>
          <w:szCs w:val="15"/>
          <w:b w:val="1"/>
          <w:bCs w:val="1"/>
          <w:color w:val="auto"/>
        </w:rPr>
        <w:t>FPA Amendments</w:t>
      </w:r>
      <w:r>
        <w:rPr>
          <w:rFonts w:ascii="Times New Roman" w:cs="Times New Roman" w:eastAsia="Times New Roman" w:hAnsi="Times New Roman"/>
          <w:sz w:val="15"/>
          <w:szCs w:val="15"/>
          <w:color w:val="auto"/>
        </w:rPr>
        <w:t>”). The FPA Amendments lower the reset floor price of each Forward Purchase Agreement from $5.00 to $3.00 and allow the Company to raise up to $10.0 million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51"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On May 7, 2024 and May 8, 2024, respectively, the Company entered into the Sandia Second Amendment and the Polar Second Amendment to the Forward Purchase Agreements. The Second Amendments lower the reset price of each Forward Purchase Agreement from $3.00 to $1.00 per share and amend the VWAP trigger event to mean an event that occurs if the VWAP price, for any 20 trading days during a 30 consecutive trading day-period, is below $1.00 per FPA Share.</w:t>
      </w:r>
    </w:p>
    <w:p>
      <w:pPr>
        <w:spacing w:after="0" w:line="14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Subsequently, on June 14, 2024, the Company entered into the Sandia Third Amendment. The Sandia Third Amendment sets the reset price of each Forward Purchase Agreement to $1.00 per share and amends the VWAP trigger event to mean an event that occurs if the VWAP price (as defined in the Forward Purchase Agreement), for any 20 trading days during a 30 consecutive trading day-period, is below $1.00 per Share. In the event either Polar or Meteora amend their Forward Purchase Agreements to include different terms from the $1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this document.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20" w:name="page121"/>
    <w:bookmarkEnd w:id="120"/>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On July 17, 2024, the Company entered into the third amendment to the Polar Third Amendment, pursuant to which the Company and Polar agreed that most favored nation term of the Forward Purchase Agreement is applicable to all 2,450,000 shares subject to the Forward Purchase Agreement.</w:t>
      </w:r>
    </w:p>
    <w:p>
      <w:pPr>
        <w:spacing w:after="0" w:line="134"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On July 15, 2025, SunPower and Meteora entered into an amendment to the Forward Purchase Agreement between Meteora and SunPower, and on July 16, 2025, SunPower and Sandia entered into an amendment to the Forward Purchase Agreement between Sandia and SunPower (collectively, the “</w:t>
      </w:r>
      <w:r>
        <w:rPr>
          <w:rFonts w:ascii="Times New Roman" w:cs="Times New Roman" w:eastAsia="Times New Roman" w:hAnsi="Times New Roman"/>
          <w:sz w:val="15"/>
          <w:szCs w:val="15"/>
          <w:b w:val="1"/>
          <w:bCs w:val="1"/>
          <w:color w:val="auto"/>
        </w:rPr>
        <w:t>Further FPA Amendments</w:t>
      </w:r>
      <w:r>
        <w:rPr>
          <w:rFonts w:ascii="Times New Roman" w:cs="Times New Roman" w:eastAsia="Times New Roman" w:hAnsi="Times New Roman"/>
          <w:sz w:val="15"/>
          <w:szCs w:val="15"/>
          <w:color w:val="auto"/>
        </w:rPr>
        <w:t>”). The Further FPA Amendments extend the valuation date to the earliest to occur of (a) July 17, 2026, (b) the date specified by the applicable Seller in a written notice to be delivered to the Company at such Seller’s discretion (which valuation date shall not be earlier than the day such notice is effective) after the occurrence of any of (w) a VWAP trigger event (x) a delisting event, (y) a registration failure or (z) unless otherwise specified therein, upon any additional termination event and (c) 90 days after delivery by SunPower of a written notice in the event that for any 20 trading days during a 30 consecutive trading day-period that occurs at least six months after the closing date of the transactions under the Amended and Restated Business Combination Agreement, dated as of May 26, 2023, among Freedom, the Company and the other parties thereto, the VWAP price is less than the then applicable reset price, provided that a registration statement was effective and available for the entire measurement period and remains continuously effective and available during the entire 90 day notice period.</w:t>
      </w:r>
    </w:p>
    <w:p>
      <w:pPr>
        <w:spacing w:after="0" w:line="155"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Further FPA Amendments further amend the definition of “Settlement Amount Adjustment” to provide that if the expected settlement amount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SunPower’s option, in cash or shares of SunPower’s common stock.</w:t>
      </w:r>
    </w:p>
    <w:p>
      <w:pPr>
        <w:spacing w:after="0" w:line="151"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Further FPA Amendments also amend the definition of “Cash Settlement Payment Date” to provide that if the settlement adjustment amount exceeds the settlement amount, SunPower shall remit to the applicable seller the difference between (i) the settlement amount adjustment and (ii) the settlement amount. The Further FPA Amendments further provide that the settlement amount will be used solely as a calculation mechanism to determine any liability SunPower may owe to the Seller via the settlement amount adjustment, and notwithstanding anything to the contrary herein, the Seller shall not be required to remit the settlement amount to SunPower or return any portion of the prepayment amount.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Each whole Public Warrant and Merger Warrant entitles the registered holder to purchase one share of common stock at a price of $11.50 per share, subject to adjustment as discussed below. The Public Warrants will expire on July 18, 2028 at 5:00 p.m., Eastern Time or earlier upon redemption or liquidation. The Merger Warrants expire on July 18, 2028 at 5:00 p.m., Eastern Time or earlier upon redemption or liquidation. However, no Public Warrants or Merger Warrants will be exercisable for cash unless SunPower has an effective and current registration statement covering the shares of common stock issuable upon exercise of the Public Warrants and Merger Warrants and a current prospectus relating to such shares of common stock. Notwithstanding the foregoing, if a registration statement covering the shares of common stock issuable upon exercise of the Public Warrants is not effective within 60 days from the Closing, warrant holders may, until such time as there is an effective registration statement and during any period when it shall have failed to maintain an effective registration statement, exercise Public Warrants and Merger Warrants on a cashless basis pursuant to an available exemption from registration under the Securities Act.</w:t>
      </w:r>
    </w:p>
    <w:p>
      <w:pPr>
        <w:spacing w:after="0" w:line="154"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Pursuant to the warrant agreements, no fractional warrants will be issued upon separation of the units and only whole warrants will trade. Upon the Closing, SunPower separated the units into shares of common stock and Public Warrants, and the Units stopped trading and were delisted from the NYSE.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21" w:name="page122"/>
    <w:bookmarkEnd w:id="121"/>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Private Warrants are identical to the Public Warrants underlying the Units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Working Capital Warrants are identical to the Private Warrants.</w:t>
      </w:r>
    </w:p>
    <w:p>
      <w:pPr>
        <w:spacing w:after="0" w:line="192"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Once the warrants become exercisable, SunPower may redeem the outstanding warrants (except as described herein with respect to the Private Warrants and Working Capital Warrants):</w:t>
      </w:r>
    </w:p>
    <w:p>
      <w:pPr>
        <w:spacing w:after="0" w:line="134" w:lineRule="exact"/>
        <w:rPr>
          <w:sz w:val="20"/>
          <w:szCs w:val="20"/>
          <w:color w:val="auto"/>
        </w:rPr>
      </w:pPr>
    </w:p>
    <w:p>
      <w:pPr>
        <w:ind w:left="540" w:hanging="276"/>
        <w:spacing w:after="0"/>
        <w:tabs>
          <w:tab w:leader="none" w:pos="54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whole and not in part;</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$0.10 per warrant upon a minimum of 30 days’ prior written notice of redemption, provided that holders will be able to exercise their warrants on a cashless basis prior to redemption and receive the number of shares determined by reference to the table set forth below based on the redemption date and the “fair market value” of common stock;</w:t>
      </w:r>
    </w:p>
    <w:p>
      <w:pPr>
        <w:spacing w:after="0" w:line="133"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only if, the Reference Value equals or exceeds $10.00 per share (as adjusted for share sub-divisions, share capitalizations, reorganizations, recapitalizations and the like); and</w:t>
      </w:r>
    </w:p>
    <w:p>
      <w:pPr>
        <w:spacing w:after="0" w:line="133" w:lineRule="exact"/>
        <w:rPr>
          <w:rFonts w:ascii="Times New Roman" w:cs="Times New Roman" w:eastAsia="Times New Roman" w:hAnsi="Times New Roman"/>
          <w:sz w:val="15"/>
          <w:szCs w:val="15"/>
          <w:color w:val="auto"/>
        </w:rPr>
      </w:pPr>
    </w:p>
    <w:p>
      <w:pPr>
        <w:jc w:val="both"/>
        <w:ind w:left="540" w:hanging="276"/>
        <w:spacing w:after="0" w:line="270" w:lineRule="auto"/>
        <w:tabs>
          <w:tab w:leader="none" w:pos="54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Reference Value is less than $18.00 per share (as adjusted for share sub-divisions, share capitalizations, reorganizations, recapitalizations and the like and as described above adjacent to the caption “Exercise Price”), the Private Warrants must also concurrently be called for redemption on the same terms as the outstanding public warrants, as described above.</w:t>
      </w:r>
    </w:p>
    <w:p>
      <w:pPr>
        <w:spacing w:after="0" w:line="14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The right to exercise will be forfeited unless the Public Warrants are exercised prior to the date specified in the notice of redemption. On and after the redemption date, a record holder of a Public Warrant will have no further rights except to receive the redemption price for such holder’s warrant upon surrender of such warrant.</w:t>
      </w:r>
    </w:p>
    <w:p>
      <w:pPr>
        <w:spacing w:after="0" w:line="134"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common stock may fall below the $18.00 redemption trigger price (as adjusted for share sub-divisions, share capitalizations, reorganizations, recapitalizations and the like and as described below) as well as the $11.50 (for whole shares) warrant exercise price after the redemption notice is issued.</w:t>
      </w:r>
    </w:p>
    <w:p>
      <w:pPr>
        <w:spacing w:after="0" w:line="155"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The numbers in the table below represent the number of shares of common stock that a warrant holder will receive upon such cashless exercise in connection with a redemption by us pursuant to this redemption feature, based on the “fair market value” of shares of common stock on the corresponding redemption date (assuming holders elect to exercise their warrants and such warrants are not redeemed for $0.10 per warrant), determined for these purposes based on volume-weighted average price of shares of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22" w:name="page123"/>
    <w:bookmarkEnd w:id="122"/>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The share prices set forth in the column headings of the table below will be adjusted as of any date on which the number of shares issuable upon exercise of a warrant or the exercise price of the warrant is adjusted as set forth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Redemption Date</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5"/>
                <w:szCs w:val="15"/>
                <w:b w:val="1"/>
                <w:bCs w:val="1"/>
                <w:color w:val="auto"/>
              </w:rPr>
              <w:t>Fair Market Value of Common Stock</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(period to expiration of warrants)</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$10.00</w:t>
            </w:r>
          </w:p>
        </w:tc>
        <w:tc>
          <w:tcPr>
            <w:tcW w:w="86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$11.00</w:t>
            </w:r>
          </w:p>
        </w:tc>
        <w:tc>
          <w:tcPr>
            <w:tcW w:w="120" w:type="dxa"/>
            <w:vAlign w:val="bottom"/>
          </w:tcPr>
          <w:p>
            <w:pPr>
              <w:spacing w:after="0"/>
              <w:rPr>
                <w:sz w:val="17"/>
                <w:szCs w:val="17"/>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$12.00</w:t>
            </w:r>
          </w:p>
        </w:tc>
        <w:tc>
          <w:tcPr>
            <w:tcW w:w="120" w:type="dxa"/>
            <w:vAlign w:val="bottom"/>
          </w:tcPr>
          <w:p>
            <w:pPr>
              <w:spacing w:after="0"/>
              <w:rPr>
                <w:sz w:val="17"/>
                <w:szCs w:val="17"/>
                <w:color w:val="auto"/>
              </w:rPr>
            </w:pPr>
          </w:p>
        </w:tc>
        <w:tc>
          <w:tcPr>
            <w:tcW w:w="86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$13.00</w:t>
            </w:r>
          </w:p>
        </w:tc>
        <w:tc>
          <w:tcPr>
            <w:tcW w:w="100" w:type="dxa"/>
            <w:vAlign w:val="bottom"/>
          </w:tcPr>
          <w:p>
            <w:pPr>
              <w:spacing w:after="0"/>
              <w:rPr>
                <w:sz w:val="17"/>
                <w:szCs w:val="17"/>
                <w:color w:val="auto"/>
              </w:rPr>
            </w:pPr>
          </w:p>
        </w:tc>
        <w:tc>
          <w:tcPr>
            <w:tcW w:w="86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$14.00</w:t>
            </w:r>
          </w:p>
        </w:tc>
        <w:tc>
          <w:tcPr>
            <w:tcW w:w="120" w:type="dxa"/>
            <w:vAlign w:val="bottom"/>
          </w:tcPr>
          <w:p>
            <w:pPr>
              <w:spacing w:after="0"/>
              <w:rPr>
                <w:sz w:val="17"/>
                <w:szCs w:val="17"/>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$15.00</w:t>
            </w:r>
          </w:p>
        </w:tc>
        <w:tc>
          <w:tcPr>
            <w:tcW w:w="120" w:type="dxa"/>
            <w:vAlign w:val="bottom"/>
          </w:tcPr>
          <w:p>
            <w:pPr>
              <w:spacing w:after="0"/>
              <w:rPr>
                <w:sz w:val="17"/>
                <w:szCs w:val="17"/>
                <w:color w:val="auto"/>
              </w:rPr>
            </w:pPr>
          </w:p>
        </w:tc>
        <w:tc>
          <w:tcPr>
            <w:tcW w:w="86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$16.00</w:t>
            </w:r>
          </w:p>
        </w:tc>
        <w:tc>
          <w:tcPr>
            <w:tcW w:w="100" w:type="dxa"/>
            <w:vAlign w:val="bottom"/>
          </w:tcPr>
          <w:p>
            <w:pPr>
              <w:spacing w:after="0"/>
              <w:rPr>
                <w:sz w:val="17"/>
                <w:szCs w:val="17"/>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$17.00</w:t>
            </w:r>
          </w:p>
        </w:tc>
        <w:tc>
          <w:tcPr>
            <w:tcW w:w="10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$18.00</w:t>
            </w:r>
          </w:p>
        </w:tc>
        <w:tc>
          <w:tcPr>
            <w:tcW w:w="40" w:type="dxa"/>
            <w:vAlign w:val="bottom"/>
          </w:tcPr>
          <w:p>
            <w:pPr>
              <w:spacing w:after="0"/>
              <w:rPr>
                <w:sz w:val="17"/>
                <w:szCs w:val="17"/>
                <w:color w:val="auto"/>
              </w:rPr>
            </w:pPr>
          </w:p>
        </w:tc>
      </w:tr>
      <w:tr>
        <w:trPr>
          <w:trHeight w:val="182"/>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60 months</w:t>
            </w: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0.261</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0.281</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4"/>
              </w:rPr>
              <w:t>0.297</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0.311</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0.324</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4"/>
              </w:rPr>
              <w:t>0.337</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0.348</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94"/>
              </w:rPr>
              <w:t>0.358</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tcBorders>
              <w:top w:val="single" w:sz="8" w:color="CCEEFF"/>
            </w:tcBorders>
            <w:shd w:val="clear" w:color="auto" w:fill="CCEEFF"/>
          </w:tcPr>
          <w:p>
            <w:pPr>
              <w:spacing w:after="0"/>
              <w:rPr>
                <w:sz w:val="15"/>
                <w:szCs w:val="15"/>
                <w:color w:val="auto"/>
              </w:rPr>
            </w:pPr>
          </w:p>
        </w:tc>
      </w:tr>
      <w:tr>
        <w:trPr>
          <w:trHeight w:val="182"/>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57 months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0.257</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0.277</w:t>
            </w:r>
          </w:p>
        </w:tc>
        <w:tc>
          <w:tcPr>
            <w:tcW w:w="84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4"/>
              </w:rPr>
              <w:t>0.294</w:t>
            </w: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0.310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0.324</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0.337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0.348</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0.358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tcPr>
          <w:p>
            <w:pPr>
              <w:spacing w:after="0"/>
              <w:rPr>
                <w:sz w:val="15"/>
                <w:szCs w:val="15"/>
                <w:color w:val="auto"/>
              </w:rPr>
            </w:pPr>
          </w:p>
        </w:tc>
      </w:tr>
      <w:tr>
        <w:trPr>
          <w:trHeight w:val="182"/>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54 months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0.252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0.272</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4"/>
              </w:rPr>
              <w:t>0.291</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0.307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0.322</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0.335</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0.347</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0.357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shd w:val="clear" w:color="auto" w:fill="CCEEFF"/>
          </w:tcPr>
          <w:p>
            <w:pPr>
              <w:spacing w:after="0"/>
              <w:rPr>
                <w:sz w:val="15"/>
                <w:szCs w:val="15"/>
                <w:color w:val="auto"/>
              </w:rPr>
            </w:pPr>
          </w:p>
        </w:tc>
      </w:tr>
      <w:tr>
        <w:trPr>
          <w:trHeight w:val="182"/>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51 months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0.246</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0.268</w:t>
            </w:r>
          </w:p>
        </w:tc>
        <w:tc>
          <w:tcPr>
            <w:tcW w:w="84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4"/>
              </w:rPr>
              <w:t>0.287</w:t>
            </w: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0.304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0.320</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0.333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0.346</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0.357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tcPr>
          <w:p>
            <w:pPr>
              <w:spacing w:after="0"/>
              <w:rPr>
                <w:sz w:val="15"/>
                <w:szCs w:val="15"/>
                <w:color w:val="auto"/>
              </w:rPr>
            </w:pPr>
          </w:p>
        </w:tc>
      </w:tr>
      <w:tr>
        <w:trPr>
          <w:trHeight w:val="182"/>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48 months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0.241</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0.263</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4"/>
              </w:rPr>
              <w:t>0.283</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0.301</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0.317</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0.332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0.344</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0.356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shd w:val="clear" w:color="auto" w:fill="CCEEFF"/>
          </w:tcPr>
          <w:p>
            <w:pPr>
              <w:spacing w:after="0"/>
              <w:rPr>
                <w:sz w:val="15"/>
                <w:szCs w:val="15"/>
                <w:color w:val="auto"/>
              </w:rPr>
            </w:pPr>
          </w:p>
        </w:tc>
      </w:tr>
      <w:tr>
        <w:trPr>
          <w:trHeight w:val="182"/>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45 months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0.235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0.258</w:t>
            </w:r>
          </w:p>
        </w:tc>
        <w:tc>
          <w:tcPr>
            <w:tcW w:w="84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4"/>
              </w:rPr>
              <w:t>0.279</w:t>
            </w: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0.298</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0.315</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0.330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0.343</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0.356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tcPr>
          <w:p>
            <w:pPr>
              <w:spacing w:after="0"/>
              <w:rPr>
                <w:sz w:val="15"/>
                <w:szCs w:val="15"/>
                <w:color w:val="auto"/>
              </w:rPr>
            </w:pPr>
          </w:p>
        </w:tc>
      </w:tr>
      <w:tr>
        <w:trPr>
          <w:trHeight w:val="182"/>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42 months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0.228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0.252</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4"/>
              </w:rPr>
              <w:t>0.274</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0.294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0.312</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0.328</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0.342</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0.355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shd w:val="clear" w:color="auto" w:fill="CCEEFF"/>
          </w:tcPr>
          <w:p>
            <w:pPr>
              <w:spacing w:after="0"/>
              <w:rPr>
                <w:sz w:val="15"/>
                <w:szCs w:val="15"/>
                <w:color w:val="auto"/>
              </w:rPr>
            </w:pPr>
          </w:p>
        </w:tc>
      </w:tr>
      <w:tr>
        <w:trPr>
          <w:trHeight w:val="182"/>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39 months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0.221</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0.246</w:t>
            </w:r>
          </w:p>
        </w:tc>
        <w:tc>
          <w:tcPr>
            <w:tcW w:w="84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4"/>
              </w:rPr>
              <w:t>0.269</w:t>
            </w: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0.290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0.309</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0.325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0.340</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0.354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tcPr>
          <w:p>
            <w:pPr>
              <w:spacing w:after="0"/>
              <w:rPr>
                <w:sz w:val="15"/>
                <w:szCs w:val="15"/>
                <w:color w:val="auto"/>
              </w:rPr>
            </w:pPr>
          </w:p>
        </w:tc>
      </w:tr>
      <w:tr>
        <w:trPr>
          <w:trHeight w:val="182"/>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36 months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0.213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0.239</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4"/>
              </w:rPr>
              <w:t>0.263</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0.285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0.305</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0.323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0.339</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0.353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shd w:val="clear" w:color="auto" w:fill="CCEEFF"/>
          </w:tcPr>
          <w:p>
            <w:pPr>
              <w:spacing w:after="0"/>
              <w:rPr>
                <w:sz w:val="15"/>
                <w:szCs w:val="15"/>
                <w:color w:val="auto"/>
              </w:rPr>
            </w:pPr>
          </w:p>
        </w:tc>
      </w:tr>
      <w:tr>
        <w:trPr>
          <w:trHeight w:val="182"/>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33 months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0.205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0.232</w:t>
            </w:r>
          </w:p>
        </w:tc>
        <w:tc>
          <w:tcPr>
            <w:tcW w:w="84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4"/>
              </w:rPr>
              <w:t>0.257</w:t>
            </w: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0.280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0.301</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0.320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0.337</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0.352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tcPr>
          <w:p>
            <w:pPr>
              <w:spacing w:after="0"/>
              <w:rPr>
                <w:sz w:val="15"/>
                <w:szCs w:val="15"/>
                <w:color w:val="auto"/>
              </w:rPr>
            </w:pPr>
          </w:p>
        </w:tc>
      </w:tr>
      <w:tr>
        <w:trPr>
          <w:trHeight w:val="182"/>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30 months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0.196</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0.224</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4"/>
              </w:rPr>
              <w:t>0.250</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0.274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0.297</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0.316</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0.335</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0.351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shd w:val="clear" w:color="auto" w:fill="CCEEFF"/>
          </w:tcPr>
          <w:p>
            <w:pPr>
              <w:spacing w:after="0"/>
              <w:rPr>
                <w:sz w:val="15"/>
                <w:szCs w:val="15"/>
                <w:color w:val="auto"/>
              </w:rPr>
            </w:pPr>
          </w:p>
        </w:tc>
      </w:tr>
      <w:tr>
        <w:trPr>
          <w:trHeight w:val="182"/>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27 months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0.185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0.214</w:t>
            </w:r>
          </w:p>
        </w:tc>
        <w:tc>
          <w:tcPr>
            <w:tcW w:w="84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4"/>
              </w:rPr>
              <w:t>0.242</w:t>
            </w: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0.268</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0.291</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0.313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0.332</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0.350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tcPr>
          <w:p>
            <w:pPr>
              <w:spacing w:after="0"/>
              <w:rPr>
                <w:sz w:val="15"/>
                <w:szCs w:val="15"/>
                <w:color w:val="auto"/>
              </w:rPr>
            </w:pPr>
          </w:p>
        </w:tc>
      </w:tr>
      <w:tr>
        <w:trPr>
          <w:trHeight w:val="182"/>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24 months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0.173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0.204</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4"/>
              </w:rPr>
              <w:t>0.233</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0.260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0.285</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0.308</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0.329</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0.348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shd w:val="clear" w:color="auto" w:fill="CCEEFF"/>
          </w:tcPr>
          <w:p>
            <w:pPr>
              <w:spacing w:after="0"/>
              <w:rPr>
                <w:sz w:val="15"/>
                <w:szCs w:val="15"/>
                <w:color w:val="auto"/>
              </w:rPr>
            </w:pPr>
          </w:p>
        </w:tc>
      </w:tr>
      <w:tr>
        <w:trPr>
          <w:trHeight w:val="182"/>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21 months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0.161</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0.193</w:t>
            </w:r>
          </w:p>
        </w:tc>
        <w:tc>
          <w:tcPr>
            <w:tcW w:w="84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4"/>
              </w:rPr>
              <w:t>0.223</w:t>
            </w: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0.252</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0.279</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0.304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0.326</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0.347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tcPr>
          <w:p>
            <w:pPr>
              <w:spacing w:after="0"/>
              <w:rPr>
                <w:sz w:val="15"/>
                <w:szCs w:val="15"/>
                <w:color w:val="auto"/>
              </w:rPr>
            </w:pPr>
          </w:p>
        </w:tc>
      </w:tr>
      <w:tr>
        <w:trPr>
          <w:trHeight w:val="182"/>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18 months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0.146</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0.179</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0.211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0.242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0.271</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0.298</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0.322</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0.345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shd w:val="clear" w:color="auto" w:fill="CCEEFF"/>
          </w:tcPr>
          <w:p>
            <w:pPr>
              <w:spacing w:after="0"/>
              <w:rPr>
                <w:sz w:val="15"/>
                <w:szCs w:val="15"/>
                <w:color w:val="auto"/>
              </w:rPr>
            </w:pPr>
          </w:p>
        </w:tc>
      </w:tr>
      <w:tr>
        <w:trPr>
          <w:trHeight w:val="182"/>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15 months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0.130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0.164</w:t>
            </w:r>
          </w:p>
        </w:tc>
        <w:tc>
          <w:tcPr>
            <w:tcW w:w="84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4"/>
              </w:rPr>
              <w:t>0.197</w:t>
            </w: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0.230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0.262</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0.291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0.317</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0.342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tcPr>
          <w:p>
            <w:pPr>
              <w:spacing w:after="0"/>
              <w:rPr>
                <w:sz w:val="15"/>
                <w:szCs w:val="15"/>
                <w:color w:val="auto"/>
              </w:rPr>
            </w:pPr>
          </w:p>
        </w:tc>
      </w:tr>
      <w:tr>
        <w:trPr>
          <w:trHeight w:val="182"/>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12 months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0.111</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0.146</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4"/>
              </w:rPr>
              <w:t>0.181</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0.216</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0.250</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0.282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0.312</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0.339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shd w:val="clear" w:color="auto" w:fill="CCEEFF"/>
          </w:tcPr>
          <w:p>
            <w:pPr>
              <w:spacing w:after="0"/>
              <w:rPr>
                <w:sz w:val="15"/>
                <w:szCs w:val="15"/>
                <w:color w:val="auto"/>
              </w:rPr>
            </w:pPr>
          </w:p>
        </w:tc>
      </w:tr>
      <w:tr>
        <w:trPr>
          <w:trHeight w:val="182"/>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9 months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0.090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0.125</w:t>
            </w:r>
          </w:p>
        </w:tc>
        <w:tc>
          <w:tcPr>
            <w:tcW w:w="84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4"/>
              </w:rPr>
              <w:t>0.162</w:t>
            </w: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0.199</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0.237</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0.272</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0.305</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0.336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tcPr>
          <w:p>
            <w:pPr>
              <w:spacing w:after="0"/>
              <w:rPr>
                <w:sz w:val="15"/>
                <w:szCs w:val="15"/>
                <w:color w:val="auto"/>
              </w:rPr>
            </w:pPr>
          </w:p>
        </w:tc>
      </w:tr>
      <w:tr>
        <w:trPr>
          <w:trHeight w:val="182"/>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6 months</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0.065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0.099</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4"/>
              </w:rPr>
              <w:t>0.137</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0.178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0.219</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0.259</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0.296</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0.331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shd w:val="clear" w:color="auto" w:fill="CCEEFF"/>
          </w:tcPr>
          <w:p>
            <w:pPr>
              <w:spacing w:after="0"/>
              <w:rPr>
                <w:sz w:val="15"/>
                <w:szCs w:val="15"/>
                <w:color w:val="auto"/>
              </w:rPr>
            </w:pPr>
          </w:p>
        </w:tc>
      </w:tr>
      <w:tr>
        <w:trPr>
          <w:trHeight w:val="182"/>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 months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0.034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0.065</w:t>
            </w:r>
          </w:p>
        </w:tc>
        <w:tc>
          <w:tcPr>
            <w:tcW w:w="84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4"/>
              </w:rPr>
              <w:t>0.104</w:t>
            </w:r>
          </w:p>
        </w:tc>
        <w:tc>
          <w:tcPr>
            <w:tcW w:w="1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0.150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0.197</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0.243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0.286</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0.326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tcPr>
          <w:p>
            <w:pPr>
              <w:spacing w:after="0"/>
              <w:rPr>
                <w:sz w:val="15"/>
                <w:szCs w:val="15"/>
                <w:color w:val="auto"/>
              </w:rPr>
            </w:pPr>
          </w:p>
        </w:tc>
      </w:tr>
      <w:tr>
        <w:trPr>
          <w:trHeight w:val="182"/>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0 months</w:t>
            </w: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 xml:space="preserve">- </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xml:space="preserve">- </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4"/>
              </w:rPr>
              <w:t>0.042</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0.115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0.179</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0.233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0.281</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0.323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0.361</w:t>
            </w:r>
          </w:p>
        </w:tc>
        <w:tc>
          <w:tcPr>
            <w:tcW w:w="40" w:type="dxa"/>
            <w:vAlign w:val="bottom"/>
            <w:shd w:val="clear" w:color="auto" w:fill="CCEEFF"/>
          </w:tcPr>
          <w:p>
            <w:pPr>
              <w:spacing w:after="0"/>
              <w:rPr>
                <w:sz w:val="15"/>
                <w:szCs w:val="15"/>
                <w:color w:val="auto"/>
              </w:rPr>
            </w:pPr>
          </w:p>
        </w:tc>
      </w:tr>
    </w:tbl>
    <w:p>
      <w:pPr>
        <w:spacing w:after="0" w:line="167"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our shares outstanding immediately after giving effect to such exercise.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Registration Rights</w:t>
      </w:r>
    </w:p>
    <w:p>
      <w:pPr>
        <w:spacing w:after="0" w:line="192"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color w:val="auto"/>
        </w:rPr>
        <w:t>Pursuant to the Warrant Agreement dated February 25, 2021 between us and our Transfer Agent (the “</w:t>
      </w:r>
      <w:r>
        <w:rPr>
          <w:rFonts w:ascii="Times New Roman" w:cs="Times New Roman" w:eastAsia="Times New Roman" w:hAnsi="Times New Roman"/>
          <w:sz w:val="15"/>
          <w:szCs w:val="15"/>
          <w:b w:val="1"/>
          <w:bCs w:val="1"/>
          <w:color w:val="auto"/>
        </w:rPr>
        <w:t>Warrant Agreement</w:t>
      </w:r>
      <w:r>
        <w:rPr>
          <w:rFonts w:ascii="Times New Roman" w:cs="Times New Roman" w:eastAsia="Times New Roman" w:hAnsi="Times New Roman"/>
          <w:sz w:val="15"/>
          <w:szCs w:val="15"/>
          <w:color w:val="auto"/>
        </w:rPr>
        <w:t>”), we agreed to register the shares issuable upon exercise of the Warrants following the Closing of the Business Combination.</w:t>
      </w:r>
    </w:p>
    <w:p>
      <w:pPr>
        <w:spacing w:after="0" w:line="129"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We, Freedom Acquisition I LLC, certain of our equity holders and certain of their respective affiliates, as applicable, and the other parties thereto, are party to an Amended and Restated Registration Rights Agreement, dated July 17, 2023 (the “</w:t>
      </w:r>
      <w:r>
        <w:rPr>
          <w:rFonts w:ascii="Times New Roman" w:cs="Times New Roman" w:eastAsia="Times New Roman" w:hAnsi="Times New Roman"/>
          <w:sz w:val="15"/>
          <w:szCs w:val="15"/>
          <w:b w:val="1"/>
          <w:bCs w:val="1"/>
          <w:color w:val="auto"/>
        </w:rPr>
        <w:t>A&amp;R Registration Rights Agreement</w:t>
      </w:r>
      <w:r>
        <w:rPr>
          <w:rFonts w:ascii="Times New Roman" w:cs="Times New Roman" w:eastAsia="Times New Roman" w:hAnsi="Times New Roman"/>
          <w:sz w:val="15"/>
          <w:szCs w:val="15"/>
          <w:color w:val="auto"/>
        </w:rPr>
        <w:t>”), pursuant to which we granted customary registration rights to the parties thereto, including to register for resale, pursuant to Rule 415 under the Securities Act, certain of our securities held by the parties thereto.</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Sponsor and certain payees under certain of our outstanding indebtedness are entitled to certain registration rights relating to the Working Capital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Demand Registration Rights under Forward Purchase Agreements and PIPE Subscription Agreements</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Pursuant to the Forward Purchase Agreements, dated July 13, 2023, between the Company and the FPA Sellers, within 30 days after receipt of a written request from an FPA Seller, we are required to file a registration statement with the SEC registering the resale of all shares held by the applicable FPA Seller and to cause such registration statement to be declared effective. No FPA Seller has requested a registration statement to date under their Forward Purchase Agreements. The FPA Sellers are also parties to Subscription Agreements dated July 13, 2023 with FACT that provided registration rights with respect to the subscribed shares.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5"/>
          <w:szCs w:val="15"/>
          <w:b w:val="1"/>
          <w:bCs w:val="1"/>
          <w:i w:val="1"/>
          <w:iCs w:val="1"/>
          <w:color w:val="auto"/>
        </w:rPr>
        <w:t>Registration Rights Under Ayna Warrant</w:t>
      </w:r>
    </w:p>
    <w:p>
      <w:pPr>
        <w:spacing w:after="0" w:line="192"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Pursuant to the warrant to purchase up to 6,000,000 shares of common stock (the “</w:t>
      </w:r>
      <w:r>
        <w:rPr>
          <w:rFonts w:ascii="Times New Roman" w:cs="Times New Roman" w:eastAsia="Times New Roman" w:hAnsi="Times New Roman"/>
          <w:sz w:val="15"/>
          <w:szCs w:val="15"/>
          <w:b w:val="1"/>
          <w:bCs w:val="1"/>
          <w:color w:val="auto"/>
        </w:rPr>
        <w:t>Ayna Warrant</w:t>
      </w:r>
      <w:r>
        <w:rPr>
          <w:rFonts w:ascii="Times New Roman" w:cs="Times New Roman" w:eastAsia="Times New Roman" w:hAnsi="Times New Roman"/>
          <w:sz w:val="15"/>
          <w:szCs w:val="15"/>
          <w:color w:val="auto"/>
        </w:rPr>
        <w:t>”) issued to Ayna.AI LLC (“</w:t>
      </w:r>
      <w:r>
        <w:rPr>
          <w:rFonts w:ascii="Times New Roman" w:cs="Times New Roman" w:eastAsia="Times New Roman" w:hAnsi="Times New Roman"/>
          <w:sz w:val="15"/>
          <w:szCs w:val="15"/>
          <w:b w:val="1"/>
          <w:bCs w:val="1"/>
          <w:color w:val="auto"/>
        </w:rPr>
        <w:t>Ayna</w:t>
      </w:r>
      <w:r>
        <w:rPr>
          <w:rFonts w:ascii="Times New Roman" w:cs="Times New Roman" w:eastAsia="Times New Roman" w:hAnsi="Times New Roman"/>
          <w:sz w:val="15"/>
          <w:szCs w:val="15"/>
          <w:color w:val="auto"/>
        </w:rPr>
        <w:t>”) on June 17, 2024, Ayna has piggy-back registration rights if we propose to register any of our common stock under the Securities Act in connection with a public offering of such securities solely for cash. Additionally, Ayna has Form S-3 demand registration rights if the Ayna Warrant has been exercised in full, we are eligible to use Form S-3, and Ayna requests that we file a Form S-3 registration statement with respect to all of the shares of common stock then held by Ayna. We filed such Form S-3 registration statement on December 30,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Registration Rights Under Exchange Agreement</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Pursuant to the Exchange Agreement, we agreed to file a registration statement with respect to resale of 1,500,000 shares of common stock issued to Kline Hill and with respect to the shares of common stock issuable upon conversion of 12.00% Notes due 2029 issued to Kline Hill and Carlyle. We filed such Form S-3 registration statement with respect to the securities held by Kline Hill on December 30,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White Lion Transaction Registration Rights Agreement</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On July 16, 2024, we entered into the White Lion Purchase Agreement with White Lion. In connection with the White Lion Purchase Agreement, we entered into the RRA with White Lion providing for the resale of the shares purchased by White Lion under the White Lion Purchase Agreement. We completed the initial filing of such registration statement on July 24,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Yorkville Registration Rights Agreement</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On January 27, 2026, we entered into the Purchase Agreement with Yorkville. In connection with the Purchase Agreement, we entered into the RRA with Yorkville providing for the resale of the shares purchased by Yorkville under the Purchase Agreement, which shares are being registered hereby.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Registration Rights Under Note Purchase Agreements for 7% Notes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note purchase agreements entered into by SunPower and certain purchasers of the 7% Notes require SunPower to file a registration statement with the SEC to register the resale of the maximum number of shares of common stock issuable upon conversion of the 7% Notes and to use commercially reasonable efforts to have such registration statement declared effective as soon as practicable after filing.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Registration Rights under Membership Interest Purchase Agreements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Membership Interest Purchase Agreement that we entered into on September 21, 2025 with the Company, Chicken Parm Pizza LLC and Sunder Energy LLC provides that we are required to file an initial registration statement on Form S-1 with the SEC with respect to the shares of our common stock issued and issuable as consideration for the acquisition of Sunder Energy on or before the six month anniversary of the closing date of the transactions under such Membership Interest Purchase Agreement.</w:t>
      </w:r>
    </w:p>
    <w:p>
      <w:pPr>
        <w:spacing w:after="0" w:line="14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Membership Interest Purchase Agreement that we entered into on November 21, 2025 with Ambia Holdings, Inc. and Ambia Energy, LLC provides that we are required to file an initial registration statement on Form S-1 with the SEC with respect to the shares of our common stock issued and issuable as consideration for the acquisition of Ambia Energy within 10 calendar days after we file an amendment to our Current Report on Form 8-K to file the financial statements required to be filed by SunPower pursuant to Item 9.01(a)(3) of Current Report Form 8-K in respect of the transactions contemplated by the Ambia Membership Interest Purchase Agreement.</w:t>
      </w:r>
    </w:p>
    <w:p>
      <w:pPr>
        <w:spacing w:after="0" w:line="151"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Stock Purchase Agreement that we entered into on January 30, 2026 with Cobalt Power Systems, Inc. and the selling shareholders party thereto provides that we are required to file an initial registration statement on Form S-1 with the SEC with respect to the shares of our common stock issued and issuable as consideration for the acquisition of Cobalt within 20 calendar days after we file our Annual Report on Form 10-K for the 2025 fiscal year.</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Certificate of Incorporation and Bylaws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Among other things, the Governing Documents:</w:t>
      </w:r>
    </w:p>
    <w:p>
      <w:pPr>
        <w:spacing w:after="0" w:line="192" w:lineRule="exact"/>
        <w:rPr>
          <w:sz w:val="20"/>
          <w:szCs w:val="20"/>
          <w:color w:val="auto"/>
        </w:rPr>
      </w:pPr>
    </w:p>
    <w:p>
      <w:pPr>
        <w:ind w:left="540" w:hanging="276"/>
        <w:spacing w:after="0" w:line="287" w:lineRule="auto"/>
        <w:tabs>
          <w:tab w:leader="none" w:pos="5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our Board to issue up to 10,000,000 shares of preferred stock, with any rights, preferences and privileges as they may designate, including the right to approve an acquisition or other change of control;</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that the authorized number of directors may be changed only by resolution of our Board;</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that all vacancies, including newly created directorships, may, except as otherwise required by law, be filled by the affirmative vote of a majority of directors then in office, even if less than a quorum;</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that Special Meetings of SunPower’s stockholders may be called by the chairperson of our Board, the chief executive officer or by our Board pursuant to a resolution adopted by a majority of the total number of authorized directors; and</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34"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The amendment of any of these provisions would require approval by the holders of at least 66 2/3% of all of the then-outstanding capital stock entitled to vote generally in the election of directors. The combination of these provisions will make it more difficult for the existing stockholders to replace our Board as well as for another party to obtain control of SunPower by replacing our Board. Because the our Board has the power to retain and discharge its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the success of any attempt to change our control.</w:t>
      </w:r>
    </w:p>
    <w:p>
      <w:pPr>
        <w:spacing w:after="0" w:line="155" w:lineRule="exact"/>
        <w:rPr>
          <w:sz w:val="20"/>
          <w:szCs w:val="20"/>
          <w:color w:val="auto"/>
        </w:rPr>
      </w:pPr>
    </w:p>
    <w:p>
      <w:pPr>
        <w:jc w:val="both"/>
        <w:ind w:right="20" w:firstLine="273"/>
        <w:spacing w:after="0" w:line="264" w:lineRule="auto"/>
        <w:rPr>
          <w:sz w:val="20"/>
          <w:szCs w:val="20"/>
          <w:color w:val="auto"/>
        </w:rPr>
      </w:pPr>
      <w:r>
        <w:rPr>
          <w:rFonts w:ascii="Times New Roman" w:cs="Times New Roman" w:eastAsia="Times New Roman" w:hAnsi="Times New Roman"/>
          <w:sz w:val="15"/>
          <w:szCs w:val="15"/>
          <w:color w:val="auto"/>
        </w:rPr>
        <w:t>These provisions are intended to enhance the likelihood of continued stability in the composition of our Board and its policies and to discourage coercive takeover practices and inadequate takeover bids. These provisions are also designed to reduce SunPower’s vulnerability to hostile takeovers and to discourage certain tactics that may be used in proxy fights. However, such provisions could have the effect of discouraging others from making tender offers for SunPower’s shares and may have the effect of delaying changes in our control or management. As a consequence, these provisions may also inhibit fluctuations in the market price of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Delaware Anti-Takeover Law</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SunPower opted out of Section 203 of the DGCL. However, the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34" w:lineRule="exact"/>
        <w:rPr>
          <w:sz w:val="20"/>
          <w:szCs w:val="20"/>
          <w:color w:val="auto"/>
        </w:rPr>
      </w:pPr>
    </w:p>
    <w:p>
      <w:pPr>
        <w:ind w:left="540" w:hanging="276"/>
        <w:spacing w:after="0"/>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date of the transaction, our Board approved either the business combination or the transaction which resulted in the stockholder becoming an interested stockholder;</w:t>
      </w:r>
    </w:p>
    <w:p>
      <w:pPr>
        <w:spacing w:after="0" w:line="191" w:lineRule="exact"/>
        <w:rPr>
          <w:rFonts w:ascii="Times New Roman" w:cs="Times New Roman" w:eastAsia="Times New Roman" w:hAnsi="Times New Roman"/>
          <w:sz w:val="15"/>
          <w:szCs w:val="15"/>
          <w:color w:val="auto"/>
        </w:rPr>
      </w:pPr>
    </w:p>
    <w:p>
      <w:pPr>
        <w:jc w:val="both"/>
        <w:ind w:left="540" w:hanging="276"/>
        <w:spacing w:after="0" w:line="270" w:lineRule="auto"/>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interested stockholder owned at least 85% of our voting stock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46"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subsequent to the consummation of the transaction, the business combination is approved by our Board and authorized at an annual or special meeting of stockholders, and not by written consent, by the affirmative vote of at least 66 2/3% of the outstanding voting stock which is not owned by the interested stockholder.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25" w:name="page126"/>
    <w:bookmarkEnd w:id="125"/>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did own 20% or more of our outstanding voting stock. These provisions may encourage companies interested in acquiring SunPower to negotiate in advance with our Board because the stockholder approval requirement would be avoided if the board of directors approves either the business combination or the transaction which results in the stockholder becoming an interested stockholder. These provisions also may have the effect of preventing changes in the SunPower Board and may make it more difficult to accomplish transactions which stockholders may otherwise deem to be in their best interests.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Choice of Forum</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w:t>
      </w:r>
    </w:p>
    <w:p>
      <w:pPr>
        <w:spacing w:after="0" w:line="146" w:lineRule="exact"/>
        <w:rPr>
          <w:sz w:val="20"/>
          <w:szCs w:val="20"/>
          <w:color w:val="auto"/>
        </w:rPr>
      </w:pPr>
    </w:p>
    <w:p>
      <w:pPr>
        <w:ind w:left="540" w:hanging="276"/>
        <w:spacing w:after="0"/>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derivative action or proceeding brought on SunPower’s behalf;</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or proceeding asserting a claim of breach of a fiduciary duty owed by any of SunPower’s directors, officers, or other employees to SunPower or our stockholders;</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or proceeding asserting a claim against SunPower or any of our directors, officers or other employees arising out of or pursuant to any provision of the DGCL, the Certificate of Incorporation or the Bylaws;</w:t>
      </w:r>
    </w:p>
    <w:p>
      <w:pPr>
        <w:spacing w:after="0" w:line="133"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or proceeding to interpret, apply, enforce or determine the validity of the Certificate of Incorporation or the Bylaws (including any right, obligation, or remedy thereunder);</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or proceeding as to which the DGCL confers jurisdiction to the Court of Chancery of the State of Delaware; and</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or proceeding asserting a claim against SunPower or any of our directors, officers, or other employees that is governed by the internal affairs doctrine, in all cases to the fullest extent permitted by law and subject to the court’s having personal jurisdiction over the indispensable parties named as defendants.</w:t>
      </w:r>
    </w:p>
    <w:p>
      <w:pPr>
        <w:spacing w:after="0" w:line="134"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This choice of forum provision would not apply to suits brought to enforce a duty or liability created by the Exchange Act or any other claim for which the federal courts have exclusive jurisdiction, or the Securities Act. The Certificate of Incorporation further provides that, unless SunPower consents in writing to the selection of an alternative forum, to the fullest extent permitted by law, the federal district courts of the United States of America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the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Additionally, the Certificate of Incorporation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Transfer Agent</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Continental Stock Transfer &amp; Trust Company is the transfer agent for common stock and the warrant agent for the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Listing of Common Stock and Warrants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common stock and Public Warrants are listed on Nasdaq under the symbols “SPWR” and “SPWRW,” respectively.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26" w:name="page127"/>
    <w:bookmarkEnd w:id="126"/>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following discussion is a summary of certain material U.S. federal income tax considerations generally applicable to the ownership and disposition of our common stock and the exercise, disposition and lapse of our Warrants. The common stock and the Warrants are referred to collectively herein as our securities. All prospective holders of our securities should consult their tax advisors with respect to the U.S. federal, state, local and non-U.S. tax consequences of the ownership and disposition of our securities.</w:t>
      </w:r>
    </w:p>
    <w:p>
      <w:pPr>
        <w:spacing w:after="0" w:line="14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This discussion is not a complete analysis of all potential U.S. federal income tax consequences relating to the ownership and disposition of our securities. This summary is based upon current provisions of the Code, existing U.S. Treasury Regulations promulgated thereunder, published administrative pronouncements and rulings of the U.S. Internal Revenue Service (the “</w:t>
      </w:r>
      <w:r>
        <w:rPr>
          <w:rFonts w:ascii="Times New Roman" w:cs="Times New Roman" w:eastAsia="Times New Roman" w:hAnsi="Times New Roman"/>
          <w:sz w:val="15"/>
          <w:szCs w:val="15"/>
          <w:b w:val="1"/>
          <w:bCs w:val="1"/>
          <w:color w:val="auto"/>
        </w:rPr>
        <w:t>IRS</w:t>
      </w:r>
      <w:r>
        <w:rPr>
          <w:rFonts w:ascii="Times New Roman" w:cs="Times New Roman" w:eastAsia="Times New Roman" w:hAnsi="Times New Roman"/>
          <w:sz w:val="15"/>
          <w:szCs w:val="15"/>
          <w:color w:val="auto"/>
        </w:rPr>
        <w:t>”),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ownership or disposition of our securities.</w:t>
      </w:r>
    </w:p>
    <w:p>
      <w:pPr>
        <w:spacing w:after="0" w:line="153"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non-income U.S.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S corporations, and certain former U.S. citizens or long-term residents.</w:t>
      </w:r>
    </w:p>
    <w:p>
      <w:pPr>
        <w:spacing w:after="0" w:line="15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generally will depend upon the status of the partner and the activities of the partnership. Such partners and partnerships should consult their tax advisors regarding the tax consequences of the ownership and disposition of our securities.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For purposes of this discussion, a “U.S. Holder” means a beneficial owner of our securities (other than a partnership or an entity or arrangement treated as a partnership for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federal income tax purposes) that is, for U.S. federal income tax purposes:</w:t>
      </w:r>
    </w:p>
    <w:p>
      <w:pPr>
        <w:spacing w:after="0" w:line="177" w:lineRule="exact"/>
        <w:rPr>
          <w:sz w:val="20"/>
          <w:szCs w:val="20"/>
          <w:color w:val="auto"/>
        </w:rPr>
      </w:pPr>
    </w:p>
    <w:p>
      <w:pPr>
        <w:ind w:left="540" w:hanging="276"/>
        <w:spacing w:after="0"/>
        <w:tabs>
          <w:tab w:leader="none" w:pos="5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U.S. federal income tax regardless of its source; or</w:t>
      </w:r>
    </w:p>
    <w:p>
      <w:pPr>
        <w:spacing w:after="0" w:line="191"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27" w:name="page128"/>
    <w:bookmarkEnd w:id="127"/>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 Considerations Applicable to U.S. 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Taxation of Distributions</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 xml:space="preserve">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or deemed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 </w:t>
      </w:r>
      <w:r>
        <w:rPr>
          <w:rFonts w:ascii="Times New Roman" w:cs="Times New Roman" w:eastAsia="Times New Roman" w:hAnsi="Times New Roman"/>
          <w:sz w:val="15"/>
          <w:szCs w:val="15"/>
          <w:i w:val="1"/>
          <w:iCs w:val="1"/>
          <w:color w:val="auto"/>
        </w:rPr>
        <w:t>- Tax Considerations Applicable to U.S. Holders - Gain or Loss on Sale, Taxable Exchange or Other Taxable Disposition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Common Stock</w:t>
      </w:r>
      <w:r>
        <w:rPr>
          <w:rFonts w:ascii="Times New Roman" w:cs="Times New Roman" w:eastAsia="Times New Roman" w:hAnsi="Times New Roman"/>
          <w:sz w:val="15"/>
          <w:szCs w:val="15"/>
          <w:color w:val="auto"/>
        </w:rPr>
        <w:t>” below.</w:t>
      </w:r>
    </w:p>
    <w:p>
      <w:pPr>
        <w:spacing w:after="0" w:line="153"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Dividends we pay to a U.S. Holder that is a taxable corporation generally will qualify for the dividends received deduction if the requisite holding period is satisfied. Provided certain holding period requirements are met, dividends we pay to a non-corporate U.S. Holder generally will constitute “qualified dividends” that under current law will be subject to tax at long-term capital gains rates.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Gain or Loss on Sale, Taxable Exchange or Other Taxable Disposition of Common Stock</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disposed of exceeds one year at the time of disposition. The amount of gain or loss recognized generally will be equal to the difference between (1) the sum of the amount of cash and the fair market value of any property received in such disposition and (2) the U.S. Holder’s adjusted tax basis in its common stock disposed of. A U.S. Holder’s adjusted tax basis in its common stock generally will equal the U.S. Holder’s acquisition cost for such common stock (or, in the case of common stock received upon exercise of a Warrant, the U.S. Holder’s initial basis for such common stock, as discussed below), less any prior distributions treated as a return of capital. Long-term capital gains recognized by non-corporate U.S. Holders generally are eligible under current law for reduced rates of tax. If the U.S. Holder’s holding period for the common stock disposed of is one year or less at the time of disposition, any gain on a taxable disposition of our common stock would be subject to short-term capital gain treatment and would be taxed at ordinary income tax rates. The deductibility of capital losses is subject to limitations.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Exercise of a Warrant</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Except as discussed below with respect to the cashless exercise of a Warrant, a U.S. Holder generally will not recognize taxable gain or loss upon the exercise of a Warrant for cash. The U.S. Holder’s initial tax basis in the shares of our common stock received upon exercise of the Warrant generally will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28" w:name="page129"/>
    <w:bookmarkEnd w:id="128"/>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a non-realization event, or a tax-free recapitalization. U.S. holders are urged to consult their tax advisors as to the consequences of an exercise of a Warrant on a cashless basis, including with respect to their holding period and tax basis in the common stock received upon exercise of the Warrant.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 Exchange, Redemption or Expiration of a Warrant</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Upon a sale, exchange (other than by exercise), redemption, or expiration of a Warrant, a U.S. Holder will recognize taxable gain or loss in an amount equal to the difference between (1) the amount realized upon such disposition and (2) the U.S. Holder’s adjusted tax basis in the Warrant. A U.S. Holder’s adjusted tax basis in its Warrants generally will equal the U.S. Holder’s acquisition cost of the Warrant, increased by the amount of any constructive distributions included in income by such U.S. Holder (as described below under “</w:t>
      </w:r>
      <w:r>
        <w:rPr>
          <w:rFonts w:ascii="Times New Roman" w:cs="Times New Roman" w:eastAsia="Times New Roman" w:hAnsi="Times New Roman"/>
          <w:sz w:val="15"/>
          <w:szCs w:val="15"/>
          <w:i w:val="1"/>
          <w:iCs w:val="1"/>
          <w:color w:val="auto"/>
        </w:rPr>
        <w:t>Tax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Considerations Applicable to U.S. Holders - Possible Constructive Distributions</w:t>
      </w:r>
      <w:r>
        <w:rPr>
          <w:rFonts w:ascii="Times New Roman" w:cs="Times New Roman" w:eastAsia="Times New Roman" w:hAnsi="Times New Roman"/>
          <w:sz w:val="15"/>
          <w:szCs w:val="15"/>
          <w:color w:val="auto"/>
        </w:rPr>
        <w:t>”). Such gain or loss generally will be treated as long-term capital gain or loss if the Warrant is held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U.S. Holder for more than one year at the time of such disposition or expiration.</w:t>
      </w:r>
    </w:p>
    <w:p>
      <w:pPr>
        <w:spacing w:after="0" w:line="155"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If a Warrant expires unexercised, a U.S. Holder generally will recognize a capital loss equal to such holder’s adjusted tax basis in the Warrant. Any such loss generally will be a capital loss and will be long-term capital loss if the Warrant is held for more than one year. The deductibility of capital losses is subject to certain limitations.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Possible Constructive Distributions</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 w:cs="Times New Roman" w:eastAsia="Times New Roman" w:hAnsi="Times New Roman"/>
          <w:sz w:val="15"/>
          <w:szCs w:val="15"/>
          <w:i w:val="1"/>
          <w:iCs w:val="1"/>
          <w:color w:val="auto"/>
        </w:rPr>
        <w:t>Description of Capital Stock - Warrants</w:t>
      </w:r>
      <w:r>
        <w:rPr>
          <w:rFonts w:ascii="Times New Roman" w:cs="Times New Roman" w:eastAsia="Times New Roman" w:hAnsi="Times New Roman"/>
          <w:sz w:val="15"/>
          <w:szCs w:val="15"/>
          <w:color w:val="auto"/>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Such constructive distribution would be subject to tax as described above under “</w:t>
      </w:r>
      <w:r>
        <w:rPr>
          <w:rFonts w:ascii="Times New Roman" w:cs="Times New Roman" w:eastAsia="Times New Roman" w:hAnsi="Times New Roman"/>
          <w:sz w:val="15"/>
          <w:szCs w:val="15"/>
          <w:i w:val="1"/>
          <w:iCs w:val="1"/>
          <w:color w:val="auto"/>
        </w:rPr>
        <w:t>Tax Considerations Applicable to U.S. Holders - Taxation of Distributions</w:t>
      </w:r>
      <w:r>
        <w:rPr>
          <w:rFonts w:ascii="Times New Roman" w:cs="Times New Roman" w:eastAsia="Times New Roman" w:hAnsi="Times New Roman"/>
          <w:sz w:val="15"/>
          <w:szCs w:val="15"/>
          <w:color w:val="auto"/>
        </w:rPr>
        <w:t>” in the same manner as if such U.S. Holder received a cash distribution from us on common stock equal to the fair market value of such increased interest.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In general, information reporting requirements may apply to distributions paid to a U.S. Holder and to the proceeds of the sale or other disposition of our securities,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such U.S. Holder is subject to backup withholding (and such notification has not been withdrawn). 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5"/>
          <w:szCs w:val="15"/>
          <w:b w:val="1"/>
          <w:bCs w:val="1"/>
          <w:color w:val="auto"/>
        </w:rPr>
        <w:t>Tax Considerations Applicable to Non-U.S. 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Taxation of Distributions</w:t>
      </w:r>
    </w:p>
    <w:p>
      <w:pPr>
        <w:spacing w:after="0" w:line="196" w:lineRule="exact"/>
        <w:rPr>
          <w:sz w:val="20"/>
          <w:szCs w:val="20"/>
          <w:color w:val="auto"/>
        </w:rPr>
      </w:pPr>
    </w:p>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 xml:space="preserve">In general, any distributions (including constructive distributions) we make to a non-U.S. Holder of shares on our common stock, to the extent paid or deemed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 </w:t>
      </w:r>
      <w:r>
        <w:rPr>
          <w:rFonts w:ascii="Times New Roman" w:cs="Times New Roman" w:eastAsia="Times New Roman" w:hAnsi="Times New Roman"/>
          <w:sz w:val="15"/>
          <w:szCs w:val="15"/>
          <w:i w:val="1"/>
          <w:iCs w:val="1"/>
          <w:color w:val="auto"/>
        </w:rPr>
        <w:t>- Tax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Considerations Applicable to Non-U.S. Holders - Possible Constructive Distributions</w:t>
      </w:r>
      <w:r>
        <w:rPr>
          <w:rFonts w:ascii="Times New Roman" w:cs="Times New Roman" w:eastAsia="Times New Roman" w:hAnsi="Times New Roman"/>
          <w:sz w:val="15"/>
          <w:szCs w:val="15"/>
          <w:color w:val="auto"/>
        </w:rPr>
        <w:t>”), it is possible that this tax would be withheld from any amount owed to a non-U.S. Holder by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5"/>
          <w:szCs w:val="15"/>
          <w:i w:val="1"/>
          <w:iCs w:val="1"/>
          <w:color w:val="auto"/>
        </w:rPr>
        <w:t>-Tax Considerations Applicable to Non-U.S. Holders - Gain on Sale, Exchange or Other Taxable Disposition of Common Stock and Warrants</w:t>
      </w:r>
      <w:r>
        <w:rPr>
          <w:rFonts w:ascii="Times New Roman" w:cs="Times New Roman" w:eastAsia="Times New Roman" w:hAnsi="Times New Roman"/>
          <w:sz w:val="15"/>
          <w:szCs w:val="15"/>
          <w:color w:val="auto"/>
        </w:rPr>
        <w:t>” below. In addition, if we determine that we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are likely to be classified as a “United States real property holding corporation” (see the section entitled “-</w:t>
      </w:r>
      <w:r>
        <w:rPr>
          <w:rFonts w:ascii="Times New Roman" w:cs="Times New Roman" w:eastAsia="Times New Roman" w:hAnsi="Times New Roman"/>
          <w:sz w:val="15"/>
          <w:szCs w:val="15"/>
          <w:i w:val="1"/>
          <w:iCs w:val="1"/>
          <w:color w:val="auto"/>
        </w:rPr>
        <w:t>Tax Considerations Applicable to Non-U.S. Holders - Gain on Sale, Exchange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or Other Taxable Disposition of Common Stock and Warrants</w:t>
      </w:r>
      <w:r>
        <w:rPr>
          <w:rFonts w:ascii="Times New Roman" w:cs="Times New Roman" w:eastAsia="Times New Roman" w:hAnsi="Times New Roman"/>
          <w:sz w:val="15"/>
          <w:szCs w:val="15"/>
          <w:color w:val="auto"/>
        </w:rPr>
        <w:t>” below), we will withhold 15% of any distribution that exceeds our current and accumulated earnings and profits.</w:t>
      </w:r>
    </w:p>
    <w:p>
      <w:pPr>
        <w:spacing w:after="0" w:line="159"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Dividends we pay to a non-U.S. Holder that are effectively connected with such non-U.S. Holder’s conduct of a trade or business within the United States (and, if a tax treaty applies, are attributable to a U.S. permanent establishment or fixed base maintained by the non-U.S. Holder) generally will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Exercise of a Warrant</w:t>
      </w:r>
    </w:p>
    <w:p>
      <w:pPr>
        <w:spacing w:after="0" w:line="19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 xml:space="preserve">The U.S. federal income tax treatment of a non-U.S. Holder’s exercise of a Warrant generally will correspond to the U.S. federal income tax treatment of the exercise of a Warrant by a U.S. Holder, as described under “ </w:t>
      </w:r>
      <w:r>
        <w:rPr>
          <w:rFonts w:ascii="Times New Roman" w:cs="Times New Roman" w:eastAsia="Times New Roman" w:hAnsi="Times New Roman"/>
          <w:sz w:val="15"/>
          <w:szCs w:val="15"/>
          <w:i w:val="1"/>
          <w:iCs w:val="1"/>
          <w:color w:val="auto"/>
        </w:rPr>
        <w:t>- Tax Considerations Applicable to U.S. Holders - Exercise of a Warrant</w:t>
      </w:r>
      <w:r>
        <w:rPr>
          <w:rFonts w:ascii="Times New Roman" w:cs="Times New Roman" w:eastAsia="Times New Roman" w:hAnsi="Times New Roman"/>
          <w:sz w:val="15"/>
          <w:szCs w:val="15"/>
          <w:color w:val="auto"/>
        </w:rPr>
        <w:t xml:space="preserve">” above, although to the extent a cashless exercise results in a taxable exchange, the tax consequences to the non-U.S. Holder would be the same as those described below in “ </w:t>
      </w:r>
      <w:r>
        <w:rPr>
          <w:rFonts w:ascii="Times New Roman" w:cs="Times New Roman" w:eastAsia="Times New Roman" w:hAnsi="Times New Roman"/>
          <w:sz w:val="15"/>
          <w:szCs w:val="15"/>
          <w:i w:val="1"/>
          <w:iCs w:val="1"/>
          <w:color w:val="auto"/>
        </w:rPr>
        <w:t>- Tax Considerations Applicable to Non-U.S. Holders - Gain on Sale, Exchange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or Other Taxable Disposition of Common Stock and Warrants</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Gain on Sale, Exchange or Other Taxable Disposition of Common Stock and Warrants</w:t>
      </w:r>
    </w:p>
    <w:p>
      <w:pPr>
        <w:spacing w:after="0" w:line="196"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A non-U.S. Holder generally will not be subject to U.S. federal income or withholding tax in respect of gain recognized on a sale, taxable exchange or other taxable disposition of our common stock or Warrants or an expiration or redemption of our Warrants, unless:</w:t>
      </w:r>
    </w:p>
    <w:p>
      <w:pPr>
        <w:spacing w:after="0" w:line="134" w:lineRule="exact"/>
        <w:rPr>
          <w:sz w:val="20"/>
          <w:szCs w:val="20"/>
          <w:color w:val="auto"/>
        </w:rPr>
      </w:pPr>
    </w:p>
    <w:p>
      <w:pPr>
        <w:ind w:left="540" w:hanging="276"/>
        <w:spacing w:after="0" w:line="287" w:lineRule="auto"/>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33"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non-U.S. Holder is an individual who is present in the United States for 183 days or more in the taxable year of disposition and certain other conditions are met; or</w:t>
      </w:r>
    </w:p>
    <w:p>
      <w:pPr>
        <w:spacing w:after="0" w:line="191" w:lineRule="exact"/>
        <w:rPr>
          <w:rFonts w:ascii="Times New Roman" w:cs="Times New Roman" w:eastAsia="Times New Roman" w:hAnsi="Times New Roman"/>
          <w:sz w:val="15"/>
          <w:szCs w:val="15"/>
          <w:color w:val="auto"/>
        </w:rPr>
      </w:pPr>
    </w:p>
    <w:p>
      <w:pPr>
        <w:jc w:val="both"/>
        <w:ind w:left="540" w:hanging="276"/>
        <w:spacing w:after="0" w:line="258" w:lineRule="auto"/>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(i) the non-U.S. Holder has owned, actually or constructively, more than 5% of our common stock at any time within the relevant period or (ii) provided that our Warrants are regularly traded on an established securities market, the non-U.S. Holder has owned, actually or constructively, more than 5% of our Warrants at any time within the within the relevant period. It is unclear how a non-U.S. Holder’s ownership of Warrants will affect the determination of whether the non-U.S. Holder owns more than 5% of our common stock. In addition, special rules may apply in the case of a disposition of warrants if our common stock is considered to be regularly traded, but our Warrants are not considered to be regularly traded. There can be no assurance that our common stock or Warrants will or will not be treated as regularly traded on an established securities market for this purpose.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30" w:name="page131"/>
    <w:bookmarkEnd w:id="130"/>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generally will be subject to a flat 30% U.S. federal income tax. Non-U.S. Holders are urged to consult their tax advisors regarding possible eligibility for benefits under income tax treaties.</w:t>
      </w:r>
    </w:p>
    <w:p>
      <w:pPr>
        <w:spacing w:after="0" w:line="151"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If the third bullet point above applies to a non-U.S. Holder and applicable exceptions are not available, gain recognized by such holder on the sale, exchange or other disposition of our common stock or Warrants, as applicable, will be subject to tax at generally applicable U.S. federal income tax rates. In addition, a buyer of our common stock or Warrants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Possible Constructive Distributions</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 w:cs="Times New Roman" w:eastAsia="Times New Roman" w:hAnsi="Times New Roman"/>
          <w:sz w:val="15"/>
          <w:szCs w:val="15"/>
          <w:i w:val="1"/>
          <w:iCs w:val="1"/>
          <w:color w:val="auto"/>
        </w:rPr>
        <w:t>Description of Capital Stock - Warrants</w:t>
      </w:r>
      <w:r>
        <w:rPr>
          <w:rFonts w:ascii="Times New Roman" w:cs="Times New Roman" w:eastAsia="Times New Roman" w:hAnsi="Times New Roman"/>
          <w:sz w:val="15"/>
          <w:szCs w:val="15"/>
          <w:color w:val="auto"/>
        </w:rPr>
        <w:t>.” An adjustment that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A non-U.S. Holder would be subject to U.S. federal income tax withholding as described above under “</w:t>
      </w:r>
      <w:r>
        <w:rPr>
          <w:rFonts w:ascii="Times New Roman" w:cs="Times New Roman" w:eastAsia="Times New Roman" w:hAnsi="Times New Roman"/>
          <w:sz w:val="15"/>
          <w:szCs w:val="15"/>
          <w:i w:val="1"/>
          <w:iCs w:val="1"/>
          <w:color w:val="auto"/>
        </w:rPr>
        <w:t>Tax Considerations Applicable to Non-U.S. Holders - Taxation of Distributions</w:t>
      </w:r>
      <w:r>
        <w:rPr>
          <w:rFonts w:ascii="Times New Roman" w:cs="Times New Roman" w:eastAsia="Times New Roman" w:hAnsi="Times New Roman"/>
          <w:sz w:val="15"/>
          <w:szCs w:val="15"/>
          <w:color w:val="auto"/>
        </w:rPr>
        <w:t>” under that section in the same manner as if such non-U.S. Holder received a cash distribution from us on common stock equal to the fair market value of such increased interest.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Account Tax Compliance Act</w:t>
      </w:r>
    </w:p>
    <w:p>
      <w:pPr>
        <w:spacing w:after="0" w:line="192"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Sections 1471 through 1474 of the Code (commonly referred to as the “</w:t>
      </w:r>
      <w:r>
        <w:rPr>
          <w:rFonts w:ascii="Times New Roman" w:cs="Times New Roman" w:eastAsia="Times New Roman" w:hAnsi="Times New Roman"/>
          <w:sz w:val="15"/>
          <w:szCs w:val="15"/>
          <w:b w:val="1"/>
          <w:bCs w:val="1"/>
          <w:color w:val="auto"/>
        </w:rPr>
        <w:t>Foreign Account Tax Compliance Act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FATCA</w:t>
      </w:r>
      <w:r>
        <w:rPr>
          <w:rFonts w:ascii="Times New Roman" w:cs="Times New Roman" w:eastAsia="Times New Roman" w:hAnsi="Times New Roman"/>
          <w:sz w:val="15"/>
          <w:szCs w:val="15"/>
          <w:color w:val="auto"/>
        </w:rPr>
        <w:t>”) and Treasury Regulations and administrative guidance promulgated thereunder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154"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FATCA withholding currently applies to payments of dividends. The U.S. Treasury Department has released proposed regulations which, if finalized in their present form, would eliminate the federal withholding tax of 30% applicable to the gross proceeds of a disposition of our securities.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Information returns will be filed with the IRS in connection with payments of distributions and the proceeds from a sale or other disposition of our securities.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We are registering the resale by the Selling Securityholders named in this prospectus, or their permitted transferees, of up to 65,385,828 shares of common stock, consisting of (i) 10,243,924 shares of common stock previously issued by us pursuant to the Ambia Purchase Agreement in connection with our acquisition of Ambia, (ii) 3,333,334 shares of common stock previously issued by us pursuant to the Sunder Purchase Agreement, (iii) up to 50,760,218 shares of common stock issuable upon conversion of the 7% Notes, and (iv) 1,048,352 shares of common stock held by certain former affiliates. The shares of common stock offered by this prospectus are being offered by the Selling Securityholders. 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spacing w:after="0" w:line="154" w:lineRule="exact"/>
        <w:rPr>
          <w:sz w:val="20"/>
          <w:szCs w:val="20"/>
          <w:color w:val="auto"/>
        </w:rPr>
      </w:pPr>
    </w:p>
    <w:p>
      <w:pPr>
        <w:ind w:left="540" w:hanging="276"/>
        <w:spacing w:after="0"/>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ordinary brokers’ transactions;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 involving cross or block trades;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brokers, dealers, or underwriters who may act solely as agents;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market” into an existing market for our common stock;</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other ways not involving market makers or established business markets, including direct sales to purchasers or sales effected through agents;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privately negotiated transactions; or</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combination of the foregoing.</w:t>
      </w:r>
    </w:p>
    <w:p>
      <w:pPr>
        <w:spacing w:after="0" w:line="192"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4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Securityholder through this prospectus. The compensation paid to any such particular broker-dealer by any such purchasers of shares of our common stock sold by the Selling Securityholders may be less than or in excess of customary commissions. Neither we nor the Selling Securityholders can presently estimate the amount of compensation that any agent will receive from any purchasers of shares of our common stock sold by the Selling Securityholders.</w:t>
      </w:r>
    </w:p>
    <w:p>
      <w:pPr>
        <w:spacing w:after="0" w:line="155"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We know of no existing arrangements between any of the Selling Securityholders or any other stockholder, broker, dealer, underwriter or agent relating to the sale or distribution of the shares of our common stock offered by this prospectus.</w:t>
      </w:r>
    </w:p>
    <w:p>
      <w:pPr>
        <w:spacing w:after="0" w:line="134"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Securityholders, including the names of any brokers, dealers, underwriters or agents participating in the distribution of such shares by the Selling Securityholders, any compensation paid by the Selling Securityholders to any such brokers, dealers, underwriters or agents, and any other required information.</w:t>
      </w:r>
    </w:p>
    <w:p>
      <w:pPr>
        <w:spacing w:after="0" w:line="151"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We have agreed to indemnify the Selling Securityholders against certain liabilities, including liabilities under the Securities Act and state securities laws, relating to the registration of the Offered Securities by this prospectus.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estimate that the total expenses for the offering will be approximately $136,000.</w:t>
      </w:r>
    </w:p>
    <w:p>
      <w:pPr>
        <w:spacing w:after="0" w:line="192"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This offering will terminate on the date that all shares of our common stock offered by this prospectus have been sold by the Selling Securityholders.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common stock is currently listed on The Nasdaq Global Market under the symbol “SPWR”.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validity of the securities offered hereby will be passed upon for us by Arnold &amp; Porter Kaye Scholer LLP, New York, New York.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financial statements of Complete Solaria, Inc. as of December 31, 2023, and for the year then ended, included in this Registration Statement,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46"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consolidated financial statements of SunPower Inc. (f/k/a Complete Solaria, Inc.) (the “Company”) as of December 29, 2024 and for the fiscal year then ended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51" w:lineRule="exact"/>
        <w:rPr>
          <w:sz w:val="20"/>
          <w:szCs w:val="20"/>
          <w:color w:val="auto"/>
        </w:rPr>
      </w:pPr>
    </w:p>
    <w:p>
      <w:pPr>
        <w:jc w:val="both"/>
        <w:ind w:right="20" w:firstLine="273"/>
        <w:spacing w:after="0" w:line="264" w:lineRule="auto"/>
        <w:rPr>
          <w:sz w:val="20"/>
          <w:szCs w:val="20"/>
          <w:color w:val="auto"/>
        </w:rPr>
      </w:pPr>
      <w:r>
        <w:rPr>
          <w:rFonts w:ascii="Times New Roman" w:cs="Times New Roman" w:eastAsia="Times New Roman" w:hAnsi="Times New Roman"/>
          <w:sz w:val="15"/>
          <w:szCs w:val="15"/>
          <w:color w:val="auto"/>
        </w:rPr>
        <w:t>The combined financial statements of the SunPower Businesses as of September 29, 2024 and December 31, 2023 and for the 39 weeks ended September 29, 2024 and the year ended December 31, 2023 included in this prospectus and in the Registration Statement have been so included in reliance on the report of BDO USA, P.C., independent auditors, given on the authority of said firm as experts in auditing and accounting. The report on the combined financial statements contains an explanatory paragraph regarding the SunPower Businesses’ ability to continue as a going concern.</w:t>
      </w:r>
    </w:p>
    <w:p>
      <w:pPr>
        <w:spacing w:after="0" w:line="151"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financial statements of Sunder Energy LLC as of and for the years ended December 31, 2024 and 2023 included in this prospectus and in the Registration Statement have been so included in reliance on the report of BDO USA, P.C., independent auditors, given on the authority of said firm as experts in auditing and accounting. The report on the financial statements contains an explanatory paragraph regarding Sunder Energy LLC’s ability to continue as a going concern.</w:t>
      </w:r>
    </w:p>
    <w:p>
      <w:pPr>
        <w:spacing w:after="0" w:line="14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The audited financial statements of Ambia Energy, LLC as of and for the fiscal year ended December 31, 2024 included in this prospectus and in the Registration Statement have been so included in reliance upon the report of Tanner LLP, given on the authority of said firm as experts in accounting and auditing.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SunPower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https://www.sunpower.com/, at which you may access these materials free of charge as soon as reasonably practicable after they are electronically filed with, or furnished to, the SEC. The information contained in, or that can be accessed through, our website is not part of this prospectus.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INDEX TO FINANCIAL STATEMENTS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SUNPOWER, INC.</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Page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340" w:type="dxa"/>
            <w:vAlign w:val="bottom"/>
            <w:gridSpan w:val="18"/>
          </w:tcPr>
          <w:p>
            <w:pPr>
              <w:spacing w:after="0"/>
              <w:rPr>
                <w:sz w:val="20"/>
                <w:szCs w:val="20"/>
                <w:color w:val="auto"/>
              </w:rPr>
            </w:pPr>
            <w:r>
              <w:rPr>
                <w:rFonts w:ascii="Times New Roman" w:cs="Times New Roman" w:eastAsia="Times New Roman" w:hAnsi="Times New Roman"/>
                <w:sz w:val="15"/>
                <w:szCs w:val="15"/>
                <w:b w:val="1"/>
                <w:bCs w:val="1"/>
                <w:color w:val="auto"/>
              </w:rPr>
              <w:t>UNAUDITED FINANCIAL STATEMENTS OF SUNPOWER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Condensed Consolidated Balance Sheets as of September 28, 2025 and December 29, 2024</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Condensed Consolidated Statements of Operations and Comprehensive Loss as of September 28, 2025 and September 29, 2024</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Condensed Consolidated Statements of Stockholders’ Deficit</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Condensed Consolidated Statements of Cash Flows as of September 28, 2025 and September 29, 2024</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tcBorders>
              <w:bottom w:val="single" w:sz="8" w:color="0000EE"/>
            </w:tcBorders>
            <w:gridSpan w:val="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Notes to Unaudited Condensed Consolidated Financial Statements</w:t>
            </w:r>
          </w:p>
        </w:tc>
        <w:tc>
          <w:tcPr>
            <w:tcW w:w="6320" w:type="dxa"/>
            <w:vAlign w:val="bottom"/>
            <w:tcBorders>
              <w:bottom w:val="single" w:sz="8" w:color="CCEEFF"/>
            </w:tcBorders>
            <w:gridSpan w:val="9"/>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F-8</w:t>
            </w:r>
          </w:p>
        </w:tc>
        <w:tc>
          <w:tcPr>
            <w:tcW w:w="0" w:type="dxa"/>
            <w:vAlign w:val="bottom"/>
          </w:tcPr>
          <w:p>
            <w:pPr>
              <w:spacing w:after="0"/>
              <w:rPr>
                <w:sz w:val="1"/>
                <w:szCs w:val="1"/>
                <w:color w:val="auto"/>
              </w:rPr>
            </w:pPr>
          </w:p>
        </w:tc>
      </w:tr>
      <w:tr>
        <w:trPr>
          <w:trHeight w:val="365"/>
        </w:trPr>
        <w:tc>
          <w:tcPr>
            <w:tcW w:w="10360" w:type="dxa"/>
            <w:vAlign w:val="bottom"/>
            <w:gridSpan w:val="19"/>
          </w:tcPr>
          <w:p>
            <w:pPr>
              <w:spacing w:after="0"/>
              <w:rPr>
                <w:sz w:val="20"/>
                <w:szCs w:val="20"/>
                <w:color w:val="auto"/>
              </w:rPr>
            </w:pPr>
            <w:r>
              <w:rPr>
                <w:rFonts w:ascii="Times New Roman" w:cs="Times New Roman" w:eastAsia="Times New Roman" w:hAnsi="Times New Roman"/>
                <w:sz w:val="15"/>
                <w:szCs w:val="15"/>
                <w:b w:val="1"/>
                <w:bCs w:val="1"/>
                <w:color w:val="auto"/>
              </w:rPr>
              <w:t>AUDITED FINANCIAL STATEMENTS OF SUNPOWER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Report of Independent Registered Public Accounting Firm</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F-40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Report of Independent Registered Public Accounting Firm</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F-41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Consolidated Balance Sheets</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F-42</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Consolidated Statements of Operations and Comprehensive Loss</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F-43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Consolidated Statements of Stockholders’ Deficit</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F-44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Consolidated Statements of Cash Flows</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F-45</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Notes to Consolidated Financial Statements</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F-47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760" w:type="dxa"/>
            <w:vAlign w:val="bottom"/>
            <w:tcBorders>
              <w:top w:val="single" w:sz="8" w:color="CCEEFF"/>
            </w:tcBorders>
            <w:gridSpan w:val="7"/>
          </w:tcPr>
          <w:p>
            <w:pPr>
              <w:jc w:val="center"/>
              <w:ind w:right="3720"/>
              <w:spacing w:after="0"/>
              <w:rPr>
                <w:sz w:val="20"/>
                <w:szCs w:val="20"/>
                <w:color w:val="auto"/>
              </w:rPr>
            </w:pPr>
            <w:r>
              <w:rPr>
                <w:rFonts w:ascii="Times New Roman" w:cs="Times New Roman" w:eastAsia="Times New Roman" w:hAnsi="Times New Roman"/>
                <w:sz w:val="15"/>
                <w:szCs w:val="15"/>
                <w:b w:val="1"/>
                <w:bCs w:val="1"/>
                <w:color w:val="auto"/>
              </w:rPr>
              <w:t>SUNPOWER BUSINESSES</w:t>
            </w:r>
          </w:p>
        </w:tc>
        <w:tc>
          <w:tcPr>
            <w:tcW w:w="9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360" w:type="dxa"/>
            <w:vAlign w:val="bottom"/>
            <w:gridSpan w:val="19"/>
          </w:tcPr>
          <w:p>
            <w:pPr>
              <w:spacing w:after="0"/>
              <w:rPr>
                <w:sz w:val="20"/>
                <w:szCs w:val="20"/>
                <w:color w:val="auto"/>
              </w:rPr>
            </w:pPr>
            <w:r>
              <w:rPr>
                <w:rFonts w:ascii="Times New Roman" w:cs="Times New Roman" w:eastAsia="Times New Roman" w:hAnsi="Times New Roman"/>
                <w:sz w:val="15"/>
                <w:szCs w:val="15"/>
                <w:b w:val="1"/>
                <w:bCs w:val="1"/>
                <w:color w:val="auto"/>
              </w:rPr>
              <w:t>AUDITED COMBINED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Independent Auditor’s Report</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F-93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Combined Balance Sheet as of September 29, 2024 and December 31, 2023</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F-95</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Combined Statement of Operations for the Thirty-Nine Weeks ended September 29, 2024 and Fiscal Year ended December 31, 2023</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F-96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Combined Statement of Net Parent Investment as of September 29, 2024 and December 31, 2023</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F-97</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Combined Statement of Cash Flows for the Thirty-Nine Weeks ended September 29, 2024 and Fiscal Year ended December 31, 2023</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F-98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340" w:type="dxa"/>
            <w:vAlign w:val="bottom"/>
            <w:gridSpan w:val="18"/>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Notes to Combined Financial Statements</w:t>
            </w:r>
          </w:p>
        </w:tc>
        <w:tc>
          <w:tcPr>
            <w:tcW w:w="9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F-99</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17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760" w:type="dxa"/>
            <w:vAlign w:val="bottom"/>
            <w:tcBorders>
              <w:top w:val="single" w:sz="8" w:color="CCEEFF"/>
              <w:bottom w:val="single" w:sz="8" w:color="auto"/>
            </w:tcBorders>
            <w:gridSpan w:val="7"/>
          </w:tcPr>
          <w:p>
            <w:pPr>
              <w:jc w:val="center"/>
              <w:ind w:right="3720"/>
              <w:spacing w:after="0"/>
              <w:rPr>
                <w:sz w:val="20"/>
                <w:szCs w:val="20"/>
                <w:color w:val="auto"/>
              </w:rPr>
            </w:pPr>
            <w:r>
              <w:rPr>
                <w:rFonts w:ascii="Times New Roman" w:cs="Times New Roman" w:eastAsia="Times New Roman" w:hAnsi="Times New Roman"/>
                <w:sz w:val="15"/>
                <w:szCs w:val="15"/>
                <w:color w:val="auto"/>
                <w:w w:val="95"/>
              </w:rPr>
              <w:t>F-1</w:t>
            </w:r>
          </w:p>
        </w:tc>
        <w:tc>
          <w:tcPr>
            <w:tcW w:w="9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3" w:right="31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gridSpan w:val="8"/>
          </w:tcPr>
          <w:p>
            <w:pPr>
              <w:jc w:val="center"/>
              <w:ind w:right="2800"/>
              <w:spacing w:after="0"/>
              <w:rPr>
                <w:sz w:val="20"/>
                <w:szCs w:val="20"/>
                <w:color w:val="auto"/>
              </w:rPr>
            </w:pPr>
            <w:r>
              <w:rPr>
                <w:rFonts w:ascii="Times New Roman" w:cs="Times New Roman" w:eastAsia="Times New Roman" w:hAnsi="Times New Roman"/>
                <w:sz w:val="15"/>
                <w:szCs w:val="15"/>
                <w:b w:val="1"/>
                <w:bCs w:val="1"/>
                <w:color w:val="auto"/>
              </w:rPr>
              <w:t>SUNDER ENERGY LLC</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9300" w:type="dxa"/>
            <w:vAlign w:val="bottom"/>
            <w:gridSpan w:val="20"/>
          </w:tcPr>
          <w:p>
            <w:pPr>
              <w:spacing w:after="0"/>
              <w:rPr>
                <w:sz w:val="20"/>
                <w:szCs w:val="20"/>
                <w:color w:val="auto"/>
              </w:rPr>
            </w:pPr>
            <w:r>
              <w:rPr>
                <w:rFonts w:ascii="Times New Roman" w:cs="Times New Roman" w:eastAsia="Times New Roman" w:hAnsi="Times New Roman"/>
                <w:sz w:val="15"/>
                <w:szCs w:val="15"/>
                <w:b w:val="1"/>
                <w:bCs w:val="1"/>
                <w:color w:val="auto"/>
              </w:rPr>
              <w:t>UNAUDITED FINANCIAL STATEMENTS OF SUNDER ENERGY LLC</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Balance Sheets as of June 30, 2025 (Unaudited) and December 31, 2024</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F-118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Statements of Operations for the six months ended June 30, 2025 and June 30, 2024</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F-119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Statements of Changes in Member’s Deficit for the six months ended June 30, 2025 and 2024</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F-120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Statements of Cash Flows for the six months ended June 30, 2025 and 2024</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F-121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60" w:type="dxa"/>
            <w:vAlign w:val="bottom"/>
            <w:tcBorders>
              <w:bottom w:val="single" w:sz="8" w:color="0000EE"/>
            </w:tcBorders>
            <w:gridSpan w:val="3"/>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w w:val="99"/>
              </w:rPr>
              <w:t>Notes to Unaudited Financial Statements</w:t>
            </w:r>
          </w:p>
        </w:tc>
        <w:tc>
          <w:tcPr>
            <w:tcW w:w="6820" w:type="dxa"/>
            <w:vAlign w:val="bottom"/>
            <w:tcBorders>
              <w:bottom w:val="single" w:sz="8" w:color="CCEEFF"/>
            </w:tcBorders>
            <w:gridSpan w:val="16"/>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F-122</w:t>
            </w:r>
          </w:p>
        </w:tc>
        <w:tc>
          <w:tcPr>
            <w:tcW w:w="0" w:type="dxa"/>
            <w:vAlign w:val="bottom"/>
          </w:tcPr>
          <w:p>
            <w:pPr>
              <w:spacing w:after="0"/>
              <w:rPr>
                <w:sz w:val="1"/>
                <w:szCs w:val="1"/>
                <w:color w:val="auto"/>
              </w:rPr>
            </w:pPr>
          </w:p>
        </w:tc>
      </w:tr>
      <w:tr>
        <w:trPr>
          <w:trHeight w:val="365"/>
        </w:trPr>
        <w:tc>
          <w:tcPr>
            <w:tcW w:w="9300" w:type="dxa"/>
            <w:vAlign w:val="bottom"/>
            <w:gridSpan w:val="20"/>
          </w:tcPr>
          <w:p>
            <w:pPr>
              <w:spacing w:after="0"/>
              <w:rPr>
                <w:sz w:val="20"/>
                <w:szCs w:val="20"/>
                <w:color w:val="auto"/>
              </w:rPr>
            </w:pPr>
            <w:r>
              <w:rPr>
                <w:rFonts w:ascii="Times New Roman" w:cs="Times New Roman" w:eastAsia="Times New Roman" w:hAnsi="Times New Roman"/>
                <w:sz w:val="15"/>
                <w:szCs w:val="15"/>
                <w:b w:val="1"/>
                <w:bCs w:val="1"/>
                <w:color w:val="auto"/>
              </w:rPr>
              <w:t>AUDITED FINANCIAL STATEMENTS OF SUNDER ENERGY LLC</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Independent Auditor’s Report</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F-134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Balance Sheets as of December 31, 2024 and 2023</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F-136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Statements of Operations for the years ended December 31, 2024 and 2023</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F-137</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Statements of Changes in Member’s Deficit for the years ended December 31, 2024 and 2023</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F-138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Statements of Cash Flows for the years ended December 31, 2024 and 2023</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F-139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Notes to Financial Statements</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F-140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540" w:type="dxa"/>
            <w:vAlign w:val="bottom"/>
            <w:tcBorders>
              <w:top w:val="single" w:sz="8" w:color="CCEEFF"/>
            </w:tcBorders>
            <w:gridSpan w:val="8"/>
          </w:tcPr>
          <w:p>
            <w:pPr>
              <w:jc w:val="center"/>
              <w:ind w:right="2820"/>
              <w:spacing w:after="0"/>
              <w:rPr>
                <w:sz w:val="20"/>
                <w:szCs w:val="20"/>
                <w:color w:val="auto"/>
              </w:rPr>
            </w:pPr>
            <w:r>
              <w:rPr>
                <w:rFonts w:ascii="Times New Roman" w:cs="Times New Roman" w:eastAsia="Times New Roman" w:hAnsi="Times New Roman"/>
                <w:sz w:val="15"/>
                <w:szCs w:val="15"/>
                <w:b w:val="1"/>
                <w:bCs w:val="1"/>
                <w:color w:val="auto"/>
                <w:w w:val="98"/>
              </w:rPr>
              <w:t>AMBIA ENERGY, LLC</w:t>
            </w:r>
          </w:p>
        </w:tc>
        <w:tc>
          <w:tcPr>
            <w:tcW w:w="19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300" w:type="dxa"/>
            <w:vAlign w:val="bottom"/>
            <w:gridSpan w:val="20"/>
          </w:tcPr>
          <w:p>
            <w:pPr>
              <w:spacing w:after="0"/>
              <w:rPr>
                <w:sz w:val="20"/>
                <w:szCs w:val="20"/>
                <w:color w:val="auto"/>
              </w:rPr>
            </w:pPr>
            <w:r>
              <w:rPr>
                <w:rFonts w:ascii="Times New Roman" w:cs="Times New Roman" w:eastAsia="Times New Roman" w:hAnsi="Times New Roman"/>
                <w:sz w:val="15"/>
                <w:szCs w:val="15"/>
                <w:b w:val="1"/>
                <w:bCs w:val="1"/>
                <w:color w:val="auto"/>
              </w:rPr>
              <w:t>UNAUDITED FINANCIAL STATEMENTS OF AMBIA ENERGY, LLC</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Balance Sheets as of September 30, 2025 (Unaudited) and December 31, 2024</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F-153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Statements of Operations and Member’s Deficit for the nine months ended September 30, 2025 and September 30, 2024</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F-154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Statements of Cash Flows for the nine months ended September 30, 2025 and September 30, 2024</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F-155</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Notes to Financial Statements</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F-156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780" w:type="dxa"/>
            <w:vAlign w:val="bottom"/>
            <w:shd w:val="clear" w:color="auto" w:fill="0000EE"/>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9300" w:type="dxa"/>
            <w:vAlign w:val="bottom"/>
            <w:gridSpan w:val="20"/>
          </w:tcPr>
          <w:p>
            <w:pPr>
              <w:spacing w:after="0"/>
              <w:rPr>
                <w:sz w:val="20"/>
                <w:szCs w:val="20"/>
                <w:color w:val="auto"/>
              </w:rPr>
            </w:pPr>
            <w:r>
              <w:rPr>
                <w:rFonts w:ascii="Times New Roman" w:cs="Times New Roman" w:eastAsia="Times New Roman" w:hAnsi="Times New Roman"/>
                <w:sz w:val="15"/>
                <w:szCs w:val="15"/>
                <w:b w:val="1"/>
                <w:bCs w:val="1"/>
                <w:color w:val="auto"/>
              </w:rPr>
              <w:t>AUDITED FINANCIAL STATEMENTS OF AMBIA ENERGY, LLC</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Independent Auditor’s Report</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F-167</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Balance Sheet as of December 31, 2024</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F-169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Statement of Operations and Member’s Deficit for the year ended December 31, 2024</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F-170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Statement of Cash Flows for the year ended December 31, 2024</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F-171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Notes to Financial Statements</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F-172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5960" w:type="dxa"/>
            <w:vAlign w:val="bottom"/>
            <w:tcBorders>
              <w:top w:val="single" w:sz="8" w:color="CCEEFF"/>
            </w:tcBorders>
            <w:gridSpan w:val="14"/>
          </w:tcPr>
          <w:p>
            <w:pPr>
              <w:jc w:val="center"/>
              <w:ind w:right="1380"/>
              <w:spacing w:after="0"/>
              <w:rPr>
                <w:sz w:val="20"/>
                <w:szCs w:val="20"/>
                <w:color w:val="auto"/>
              </w:rPr>
            </w:pPr>
            <w:r>
              <w:rPr>
                <w:rFonts w:ascii="Times New Roman" w:cs="Times New Roman" w:eastAsia="Times New Roman" w:hAnsi="Times New Roman"/>
                <w:sz w:val="15"/>
                <w:szCs w:val="15"/>
                <w:b w:val="1"/>
                <w:bCs w:val="1"/>
                <w:color w:val="auto"/>
              </w:rPr>
              <w:t>UNAUDITED PRO FORMA FINANCIAL INFORMATION</w:t>
            </w:r>
          </w:p>
        </w:tc>
        <w:tc>
          <w:tcPr>
            <w:tcW w:w="19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Pro Forma Combined Financial Information</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F-181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280" w:type="dxa"/>
            <w:vAlign w:val="bottom"/>
            <w:gridSpan w:val="19"/>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Notes to Unaudited Pro Forma Combined Financial Statements</w:t>
            </w:r>
          </w:p>
        </w:tc>
        <w:tc>
          <w:tcPr>
            <w:tcW w:w="1960" w:type="dxa"/>
            <w:vAlign w:val="bottom"/>
            <w:shd w:val="clear" w:color="auto" w:fill="CCEEFF"/>
          </w:tcPr>
          <w:p>
            <w:pPr>
              <w:ind w:left="1320"/>
              <w:spacing w:after="0" w:line="148" w:lineRule="exact"/>
              <w:rPr>
                <w:sz w:val="20"/>
                <w:szCs w:val="20"/>
                <w:color w:val="auto"/>
              </w:rPr>
            </w:pPr>
            <w:r>
              <w:rPr>
                <w:rFonts w:ascii="Times New Roman" w:cs="Times New Roman" w:eastAsia="Times New Roman" w:hAnsi="Times New Roman"/>
                <w:sz w:val="15"/>
                <w:szCs w:val="15"/>
                <w:color w:val="auto"/>
              </w:rPr>
              <w:t>F-185</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178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40" w:type="dxa"/>
            <w:vAlign w:val="bottom"/>
            <w:tcBorders>
              <w:top w:val="single" w:sz="8" w:color="CCEEFF"/>
              <w:bottom w:val="single" w:sz="8" w:color="auto"/>
            </w:tcBorders>
            <w:gridSpan w:val="6"/>
          </w:tcPr>
          <w:p>
            <w:pPr>
              <w:jc w:val="center"/>
              <w:ind w:right="3320"/>
              <w:spacing w:after="0"/>
              <w:rPr>
                <w:sz w:val="20"/>
                <w:szCs w:val="20"/>
                <w:color w:val="auto"/>
              </w:rPr>
            </w:pPr>
            <w:r>
              <w:rPr>
                <w:rFonts w:ascii="Times New Roman" w:cs="Times New Roman" w:eastAsia="Times New Roman" w:hAnsi="Times New Roman"/>
                <w:sz w:val="15"/>
                <w:szCs w:val="15"/>
                <w:color w:val="auto"/>
                <w:w w:val="95"/>
              </w:rPr>
              <w:t>F-2</w:t>
            </w:r>
          </w:p>
        </w:tc>
        <w:tc>
          <w:tcPr>
            <w:tcW w:w="19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58" w:right="319" w:bottom="1440" w:gutter="0" w:footer="0" w:header="0"/>
        </w:sectPr>
      </w:pPr>
    </w:p>
    <w:bookmarkStart w:id="136" w:name="page137"/>
    <w:bookmarkEnd w:id="136"/>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SUNPOWER INC. AND SUBSIDIARIES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Unaudited Condensed Consolidated Balance Sheets</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in thousands except share and per share amounts</w:t>
      </w:r>
      <w:r>
        <w:rPr>
          <w:rFonts w:ascii="Times New Roman" w:cs="Times New Roman" w:eastAsia="Times New Roman" w:hAnsi="Times New Roman"/>
          <w:sz w:val="15"/>
          <w:szCs w:val="15"/>
          <w:b w:val="1"/>
          <w:bCs w:val="1"/>
          <w:color w:val="auto"/>
        </w:rPr>
        <w:t>)</w:t>
      </w:r>
    </w:p>
    <w:p>
      <w:pPr>
        <w:spacing w:after="0" w:line="173" w:lineRule="exact"/>
        <w:rPr>
          <w:sz w:val="20"/>
          <w:szCs w:val="20"/>
          <w:color w:val="auto"/>
        </w:rPr>
      </w:pPr>
    </w:p>
    <w:tbl>
      <w:tblPr>
        <w:tblLayout w:type="fixed"/>
        <w:tblInd w:w="9"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302"/>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Pr>
          <w:p>
            <w:pPr>
              <w:spacing w:after="0"/>
              <w:rPr>
                <w:sz w:val="16"/>
                <w:szCs w:val="16"/>
                <w:color w:val="auto"/>
              </w:rPr>
            </w:pPr>
          </w:p>
        </w:tc>
        <w:tc>
          <w:tcPr>
            <w:tcW w:w="11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68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ASSETS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5,072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13,378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receivable, net</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80,753</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51,908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Inventories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8,694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22,110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80" w:type="dxa"/>
            <w:vAlign w:val="bottom"/>
          </w:tcPr>
          <w:p>
            <w:pPr>
              <w:spacing w:after="0"/>
              <w:rPr>
                <w:sz w:val="17"/>
                <w:szCs w:val="17"/>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20,830</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8,206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current assets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115,349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ind w:left="120"/>
              <w:spacing w:after="0" w:line="165" w:lineRule="exact"/>
              <w:rPr>
                <w:sz w:val="20"/>
                <w:szCs w:val="20"/>
                <w:color w:val="auto"/>
              </w:rPr>
            </w:pPr>
            <w:r>
              <w:rPr>
                <w:rFonts w:ascii="Times New Roman" w:cs="Times New Roman" w:eastAsia="Times New Roman" w:hAnsi="Times New Roman"/>
                <w:sz w:val="15"/>
                <w:szCs w:val="15"/>
                <w:color w:val="auto"/>
              </w:rPr>
              <w:t>Restricted cash</w:t>
            </w:r>
          </w:p>
        </w:tc>
        <w:tc>
          <w:tcPr>
            <w:tcW w:w="80" w:type="dxa"/>
            <w:vAlign w:val="bottom"/>
          </w:tcPr>
          <w:p>
            <w:pPr>
              <w:spacing w:after="0"/>
              <w:rPr>
                <w:sz w:val="14"/>
                <w:szCs w:val="14"/>
                <w:color w:val="auto"/>
              </w:rPr>
            </w:pPr>
          </w:p>
        </w:tc>
        <w:tc>
          <w:tcPr>
            <w:tcW w:w="106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3,841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3,841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3,670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5,493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2,528</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3,041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Intangible assets, net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38,956</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17,385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Goodwill</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42,911</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18,476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1,085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tcPr>
          <w:p>
            <w:pPr>
              <w:ind w:left="120"/>
              <w:spacing w:after="0" w:line="165" w:lineRule="exact"/>
              <w:rPr>
                <w:sz w:val="20"/>
                <w:szCs w:val="20"/>
                <w:color w:val="auto"/>
              </w:rPr>
            </w:pPr>
            <w:r>
              <w:rPr>
                <w:rFonts w:ascii="Times New Roman" w:cs="Times New Roman" w:eastAsia="Times New Roman" w:hAnsi="Times New Roman"/>
                <w:sz w:val="15"/>
                <w:szCs w:val="15"/>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208,340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144,466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DEFICIT</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Current liabilities:</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19,857</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5"/>
                <w:szCs w:val="15"/>
                <w:color w:val="auto"/>
              </w:rPr>
              <w:t xml:space="preserve">Accrued expenses and other current liabilities </w:t>
            </w:r>
            <w:r>
              <w:rPr>
                <w:rFonts w:ascii="Times New Roman" w:cs="Times New Roman" w:eastAsia="Times New Roman" w:hAnsi="Times New Roman"/>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59,271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56,081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Notes payable to related parties</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21,500</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1,500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Contract liabilities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9,713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10,003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SAFE Agreement with related party</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497</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Forward purchase agreement liabilities with related parties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1,274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Forward purchase agreement liabilities</w:t>
            </w:r>
          </w:p>
        </w:tc>
        <w:tc>
          <w:tcPr>
            <w:tcW w:w="80" w:type="dxa"/>
            <w:vAlign w:val="bottom"/>
          </w:tcPr>
          <w:p>
            <w:pPr>
              <w:spacing w:after="0"/>
              <w:rPr>
                <w:sz w:val="17"/>
                <w:szCs w:val="17"/>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4,301</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115,139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ind w:left="100"/>
              <w:spacing w:after="0" w:line="165" w:lineRule="exact"/>
              <w:rPr>
                <w:sz w:val="20"/>
                <w:szCs w:val="20"/>
                <w:color w:val="auto"/>
              </w:rPr>
            </w:pPr>
            <w:r>
              <w:rPr>
                <w:rFonts w:ascii="Times New Roman" w:cs="Times New Roman" w:eastAsia="Times New Roman" w:hAnsi="Times New Roman"/>
                <w:sz w:val="15"/>
                <w:szCs w:val="15"/>
                <w:color w:val="auto"/>
              </w:rPr>
              <w:t>Warranty provision, noncurrent</w:t>
            </w:r>
          </w:p>
        </w:tc>
        <w:tc>
          <w:tcPr>
            <w:tcW w:w="80" w:type="dxa"/>
            <w:vAlign w:val="bottom"/>
          </w:tcPr>
          <w:p>
            <w:pPr>
              <w:spacing w:after="0"/>
              <w:rPr>
                <w:sz w:val="14"/>
                <w:szCs w:val="14"/>
                <w:color w:val="auto"/>
              </w:rPr>
            </w:pPr>
          </w:p>
        </w:tc>
        <w:tc>
          <w:tcPr>
            <w:tcW w:w="106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2,140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3,437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Warrant liability</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4,683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1,561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Contract liabilities, noncurrent</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1,713</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918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Notes payable and derivative liabilities, net of current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148,205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92,638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Notes payable and derivative liabilities with related parties, net of current</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34,572</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53,193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1,335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2,263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80" w:type="dxa"/>
            <w:vAlign w:val="bottom"/>
          </w:tcPr>
          <w:p>
            <w:pPr>
              <w:spacing w:after="0"/>
              <w:rPr>
                <w:sz w:val="17"/>
                <w:szCs w:val="17"/>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12,869</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8,553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liabilities</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320,656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242,005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Commitments and contingencies (Note 12)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Stockholders’ (deficit):</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6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Common stock, $0.0001 par value; Authorized 1,000,000,000 shares as of September 28, 2025, and December 29, 2024; issued and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outstanding 89,167,963 and 73,784,645 shares as of September 28, 2025, and December 29, 2024, respectively.</w:t>
            </w:r>
          </w:p>
        </w:tc>
        <w:tc>
          <w:tcPr>
            <w:tcW w:w="80" w:type="dxa"/>
            <w:vAlign w:val="bottom"/>
          </w:tcPr>
          <w:p>
            <w:pPr>
              <w:spacing w:after="0"/>
              <w:rPr>
                <w:sz w:val="17"/>
                <w:szCs w:val="17"/>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330,083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313,661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Accumulated deficit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(442,578)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(411,379)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top w:val="single" w:sz="8" w:color="CCEEFF"/>
              <w:bottom w:val="single" w:sz="8" w:color="CCEEFF"/>
            </w:tcBorders>
          </w:tcPr>
          <w:p>
            <w:pPr>
              <w:ind w:left="100"/>
              <w:spacing w:after="0" w:line="165" w:lineRule="exact"/>
              <w:rPr>
                <w:sz w:val="20"/>
                <w:szCs w:val="20"/>
                <w:color w:val="auto"/>
              </w:rPr>
            </w:pPr>
            <w:r>
              <w:rPr>
                <w:rFonts w:ascii="Times New Roman" w:cs="Times New Roman" w:eastAsia="Times New Roman" w:hAnsi="Times New Roman"/>
                <w:sz w:val="15"/>
                <w:szCs w:val="15"/>
                <w:color w:val="auto"/>
              </w:rPr>
              <w:t>Total stockholders’ (deficit)</w:t>
            </w: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(112,316</w:t>
            </w:r>
          </w:p>
        </w:tc>
        <w:tc>
          <w:tcPr>
            <w:tcW w:w="220" w:type="dxa"/>
            <w:vAlign w:val="bottom"/>
            <w:tcBorders>
              <w:top w:val="single" w:sz="8" w:color="CCEEFF"/>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(97,539</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liabilities and stockholders’ (deficit)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208,340</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144,466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right"/>
        <w:ind w:left="2289" w:right="2260" w:hanging="2289"/>
        <w:spacing w:after="0" w:line="301" w:lineRule="auto"/>
        <w:tabs>
          <w:tab w:leader="none" w:pos="267" w:val="left"/>
        </w:tabs>
        <w:numPr>
          <w:ilvl w:val="0"/>
          <w:numId w:val="8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Includes accrued interest due to related parties of $1.2 million and $2.2 million as of September 28, 2025, and December 29, 2024, respectively. </w:t>
      </w: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22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58" w:right="319" w:bottom="1440" w:gutter="0" w:footer="0" w:header="0"/>
        </w:sectPr>
      </w:pPr>
    </w:p>
    <w:bookmarkStart w:id="137" w:name="page138"/>
    <w:bookmarkEnd w:id="137"/>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SUNPOWER INC. AND SUBSIDIARIES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Operations and Comprehensive Loss</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in thousands except share and per share amounts</w:t>
      </w:r>
      <w:r>
        <w:rPr>
          <w:rFonts w:ascii="Times New Roman" w:cs="Times New Roman" w:eastAsia="Times New Roman" w:hAnsi="Times New Roman"/>
          <w:sz w:val="15"/>
          <w:szCs w:val="15"/>
          <w:b w:val="1"/>
          <w:bCs w:val="1"/>
          <w:color w:val="auto"/>
        </w:rPr>
        <w:t>)</w:t>
      </w:r>
    </w:p>
    <w:p>
      <w:pPr>
        <w:spacing w:after="0" w:line="116"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5"/>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80" w:type="dxa"/>
            <w:vAlign w:val="bottom"/>
          </w:tcPr>
          <w:p>
            <w:pPr>
              <w:spacing w:after="0"/>
              <w:rPr>
                <w:sz w:val="17"/>
                <w:szCs w:val="17"/>
                <w:color w:val="auto"/>
              </w:rPr>
            </w:pPr>
          </w:p>
        </w:tc>
        <w:tc>
          <w:tcPr>
            <w:tcW w:w="2480" w:type="dxa"/>
            <w:vAlign w:val="bottom"/>
            <w:gridSpan w:val="5"/>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0" w:type="dxa"/>
            <w:vAlign w:val="bottom"/>
          </w:tcPr>
          <w:p>
            <w:pPr>
              <w:spacing w:after="0"/>
              <w:rPr>
                <w:sz w:val="1"/>
                <w:szCs w:val="1"/>
                <w:color w:val="auto"/>
              </w:rPr>
            </w:pPr>
          </w:p>
        </w:tc>
      </w:tr>
      <w:tr>
        <w:trPr>
          <w:trHeight w:val="175"/>
        </w:trPr>
        <w:tc>
          <w:tcPr>
            <w:tcW w:w="59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282"/>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4"/>
                <w:szCs w:val="14"/>
                <w:color w:val="auto"/>
              </w:rPr>
              <w:t xml:space="preserve">Revenues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70,005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5,536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220,269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20,068</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00" w:type="dxa"/>
            <w:vAlign w:val="bottom"/>
          </w:tcPr>
          <w:p>
            <w:pPr>
              <w:spacing w:after="0"/>
              <w:rPr>
                <w:sz w:val="17"/>
                <w:szCs w:val="17"/>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37,965</w:t>
            </w:r>
          </w:p>
        </w:tc>
        <w:tc>
          <w:tcPr>
            <w:tcW w:w="80" w:type="dxa"/>
            <w:vAlign w:val="bottom"/>
          </w:tcPr>
          <w:p>
            <w:pPr>
              <w:spacing w:after="0"/>
              <w:rPr>
                <w:sz w:val="17"/>
                <w:szCs w:val="17"/>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8,693</w:t>
            </w:r>
          </w:p>
        </w:tc>
        <w:tc>
          <w:tcPr>
            <w:tcW w:w="80" w:type="dxa"/>
            <w:vAlign w:val="bottom"/>
          </w:tcPr>
          <w:p>
            <w:pPr>
              <w:spacing w:after="0"/>
              <w:rPr>
                <w:sz w:val="17"/>
                <w:szCs w:val="17"/>
                <w:color w:val="auto"/>
              </w:rPr>
            </w:pPr>
          </w:p>
        </w:tc>
        <w:tc>
          <w:tcPr>
            <w:tcW w:w="126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126,970</w:t>
            </w:r>
          </w:p>
        </w:tc>
        <w:tc>
          <w:tcPr>
            <w:tcW w:w="80" w:type="dxa"/>
            <w:vAlign w:val="bottom"/>
          </w:tcPr>
          <w:p>
            <w:pPr>
              <w:spacing w:after="0"/>
              <w:rPr>
                <w:sz w:val="17"/>
                <w:szCs w:val="17"/>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21,834</w:t>
            </w:r>
          </w:p>
        </w:tc>
        <w:tc>
          <w:tcPr>
            <w:tcW w:w="0" w:type="dxa"/>
            <w:vAlign w:val="bottom"/>
          </w:tcPr>
          <w:p>
            <w:pPr>
              <w:spacing w:after="0"/>
              <w:rPr>
                <w:sz w:val="1"/>
                <w:szCs w:val="1"/>
                <w:color w:val="auto"/>
              </w:rPr>
            </w:pPr>
          </w:p>
        </w:tc>
      </w:tr>
      <w:tr>
        <w:trPr>
          <w:trHeight w:val="182"/>
        </w:trPr>
        <w:tc>
          <w:tcPr>
            <w:tcW w:w="59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Gross profit (loss)</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32,040</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(3,157)</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93,299</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Sales commissions</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7,534</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7,270</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24,273</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11,691</w:t>
            </w:r>
          </w:p>
        </w:tc>
        <w:tc>
          <w:tcPr>
            <w:tcW w:w="0" w:type="dxa"/>
            <w:vAlign w:val="bottom"/>
          </w:tcPr>
          <w:p>
            <w:pPr>
              <w:spacing w:after="0"/>
              <w:rPr>
                <w:sz w:val="1"/>
                <w:szCs w:val="1"/>
                <w:color w:val="auto"/>
              </w:rPr>
            </w:pPr>
          </w:p>
        </w:tc>
      </w:tr>
      <w:tr>
        <w:trPr>
          <w:trHeight w:val="182"/>
        </w:trPr>
        <w:tc>
          <w:tcPr>
            <w:tcW w:w="59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Sales and marketing</w:t>
            </w:r>
          </w:p>
        </w:tc>
        <w:tc>
          <w:tcPr>
            <w:tcW w:w="10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6,467</w:t>
            </w:r>
          </w:p>
        </w:tc>
        <w:tc>
          <w:tcPr>
            <w:tcW w:w="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1,093</w:t>
            </w:r>
          </w:p>
        </w:tc>
        <w:tc>
          <w:tcPr>
            <w:tcW w:w="80" w:type="dxa"/>
            <w:vAlign w:val="bottom"/>
          </w:tcPr>
          <w:p>
            <w:pPr>
              <w:spacing w:after="0"/>
              <w:rPr>
                <w:sz w:val="15"/>
                <w:szCs w:val="15"/>
                <w:color w:val="auto"/>
              </w:rPr>
            </w:pPr>
          </w:p>
        </w:tc>
        <w:tc>
          <w:tcPr>
            <w:tcW w:w="126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21,764</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3,762</w:t>
            </w: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21,483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18,450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52,382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29,789</w:t>
            </w:r>
          </w:p>
        </w:tc>
        <w:tc>
          <w:tcPr>
            <w:tcW w:w="0" w:type="dxa"/>
            <w:vAlign w:val="bottom"/>
          </w:tcPr>
          <w:p>
            <w:pPr>
              <w:spacing w:after="0"/>
              <w:rPr>
                <w:sz w:val="1"/>
                <w:szCs w:val="1"/>
                <w:color w:val="auto"/>
              </w:rPr>
            </w:pPr>
          </w:p>
        </w:tc>
      </w:tr>
      <w:tr>
        <w:trPr>
          <w:trHeight w:val="168"/>
        </w:trPr>
        <w:tc>
          <w:tcPr>
            <w:tcW w:w="5960" w:type="dxa"/>
            <w:vAlign w:val="bottom"/>
            <w:tcBorders>
              <w:top w:val="single" w:sz="8" w:color="CCEEFF"/>
              <w:bottom w:val="single" w:sz="8" w:color="CCEEFF"/>
            </w:tcBorders>
          </w:tcPr>
          <w:p>
            <w:pPr>
              <w:ind w:left="260"/>
              <w:spacing w:after="0" w:line="165" w:lineRule="exact"/>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35,484</w:t>
            </w: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26,813</w:t>
            </w: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98,419</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45,242</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(3,444</w:t>
            </w:r>
          </w:p>
        </w:tc>
        <w:tc>
          <w:tcPr>
            <w:tcW w:w="24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(29,970</w:t>
            </w:r>
          </w:p>
        </w:tc>
        <w:tc>
          <w:tcPr>
            <w:tcW w:w="24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(5,120</w:t>
            </w:r>
          </w:p>
        </w:tc>
        <w:tc>
          <w:tcPr>
            <w:tcW w:w="2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(47,008</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8"/>
        </w:trPr>
        <w:tc>
          <w:tcPr>
            <w:tcW w:w="5960" w:type="dxa"/>
            <w:vAlign w:val="bottom"/>
          </w:tcPr>
          <w:p>
            <w:pPr>
              <w:spacing w:after="0" w:line="188" w:lineRule="exact"/>
              <w:rPr>
                <w:sz w:val="20"/>
                <w:szCs w:val="20"/>
                <w:color w:val="auto"/>
              </w:rPr>
            </w:pPr>
            <w:r>
              <w:rPr>
                <w:rFonts w:ascii="Times New Roman" w:cs="Times New Roman" w:eastAsia="Times New Roman" w:hAnsi="Times New Roman"/>
                <w:sz w:val="13"/>
                <w:szCs w:val="13"/>
                <w:color w:val="auto"/>
              </w:rPr>
              <w:t xml:space="preserve">Interest expense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6"/>
                <w:szCs w:val="16"/>
                <w:color w:val="auto"/>
              </w:rPr>
            </w:pPr>
          </w:p>
        </w:tc>
        <w:tc>
          <w:tcPr>
            <w:tcW w:w="128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(8,104)</w:t>
            </w:r>
          </w:p>
        </w:tc>
        <w:tc>
          <w:tcPr>
            <w:tcW w:w="80" w:type="dxa"/>
            <w:vAlign w:val="bottom"/>
          </w:tcPr>
          <w:p>
            <w:pPr>
              <w:spacing w:after="0"/>
              <w:rPr>
                <w:sz w:val="16"/>
                <w:szCs w:val="16"/>
                <w:color w:val="auto"/>
              </w:rPr>
            </w:pPr>
          </w:p>
        </w:tc>
        <w:tc>
          <w:tcPr>
            <w:tcW w:w="128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(2,338)</w:t>
            </w:r>
          </w:p>
        </w:tc>
        <w:tc>
          <w:tcPr>
            <w:tcW w:w="80" w:type="dxa"/>
            <w:vAlign w:val="bottom"/>
          </w:tcPr>
          <w:p>
            <w:pPr>
              <w:spacing w:after="0"/>
              <w:rPr>
                <w:sz w:val="16"/>
                <w:szCs w:val="16"/>
                <w:color w:val="auto"/>
              </w:rPr>
            </w:pPr>
          </w:p>
        </w:tc>
        <w:tc>
          <w:tcPr>
            <w:tcW w:w="126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(23,258)</w:t>
            </w:r>
          </w:p>
        </w:tc>
        <w:tc>
          <w:tcPr>
            <w:tcW w:w="80" w:type="dxa"/>
            <w:vAlign w:val="bottom"/>
          </w:tcPr>
          <w:p>
            <w:pPr>
              <w:spacing w:after="0"/>
              <w:rPr>
                <w:sz w:val="16"/>
                <w:szCs w:val="16"/>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(8,230)</w:t>
            </w: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216"/>
        </w:trPr>
        <w:tc>
          <w:tcPr>
            <w:tcW w:w="596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Other expense, net </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128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(4,256)</w:t>
            </w:r>
          </w:p>
        </w:tc>
        <w:tc>
          <w:tcPr>
            <w:tcW w:w="80" w:type="dxa"/>
            <w:vAlign w:val="bottom"/>
          </w:tcPr>
          <w:p>
            <w:pPr>
              <w:spacing w:after="0"/>
              <w:rPr>
                <w:sz w:val="18"/>
                <w:szCs w:val="18"/>
                <w:color w:val="auto"/>
              </w:rPr>
            </w:pPr>
          </w:p>
        </w:tc>
        <w:tc>
          <w:tcPr>
            <w:tcW w:w="128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(65,684)</w:t>
            </w:r>
          </w:p>
        </w:tc>
        <w:tc>
          <w:tcPr>
            <w:tcW w:w="80" w:type="dxa"/>
            <w:vAlign w:val="bottom"/>
          </w:tcPr>
          <w:p>
            <w:pPr>
              <w:spacing w:after="0"/>
              <w:rPr>
                <w:sz w:val="18"/>
                <w:szCs w:val="18"/>
                <w:color w:val="auto"/>
              </w:rPr>
            </w:pPr>
          </w:p>
        </w:tc>
        <w:tc>
          <w:tcPr>
            <w:tcW w:w="126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(1,724)</w:t>
            </w:r>
          </w:p>
        </w:tc>
        <w:tc>
          <w:tcPr>
            <w:tcW w:w="80" w:type="dxa"/>
            <w:vAlign w:val="bottom"/>
          </w:tcPr>
          <w:p>
            <w:pPr>
              <w:spacing w:after="0"/>
              <w:rPr>
                <w:sz w:val="18"/>
                <w:szCs w:val="18"/>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(66,234)</w:t>
            </w: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extinguishment of debt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19,948</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19,948</w:t>
            </w:r>
          </w:p>
        </w:tc>
        <w:tc>
          <w:tcPr>
            <w:tcW w:w="0" w:type="dxa"/>
            <w:vAlign w:val="bottom"/>
          </w:tcPr>
          <w:p>
            <w:pPr>
              <w:spacing w:after="0"/>
              <w:rPr>
                <w:sz w:val="1"/>
                <w:szCs w:val="1"/>
                <w:color w:val="auto"/>
              </w:rPr>
            </w:pPr>
          </w:p>
        </w:tc>
      </w:tr>
      <w:tr>
        <w:trPr>
          <w:trHeight w:val="168"/>
        </w:trPr>
        <w:tc>
          <w:tcPr>
            <w:tcW w:w="5960" w:type="dxa"/>
            <w:vAlign w:val="bottom"/>
            <w:tcBorders>
              <w:top w:val="single" w:sz="8" w:color="CCEEFF"/>
              <w:bottom w:val="single" w:sz="8" w:color="CCEEFF"/>
            </w:tcBorders>
          </w:tcPr>
          <w:p>
            <w:pPr>
              <w:ind w:left="120"/>
              <w:spacing w:after="0" w:line="165" w:lineRule="exact"/>
              <w:rPr>
                <w:sz w:val="20"/>
                <w:szCs w:val="20"/>
                <w:color w:val="auto"/>
              </w:rPr>
            </w:pPr>
            <w:r>
              <w:rPr>
                <w:rFonts w:ascii="Times New Roman" w:cs="Times New Roman" w:eastAsia="Times New Roman" w:hAnsi="Times New Roman"/>
                <w:sz w:val="15"/>
                <w:szCs w:val="15"/>
                <w:color w:val="auto"/>
              </w:rPr>
              <w:t>Total other expense, net</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(12,360</w:t>
            </w:r>
          </w:p>
        </w:tc>
        <w:tc>
          <w:tcPr>
            <w:tcW w:w="240" w:type="dxa"/>
            <w:vAlign w:val="bottom"/>
            <w:tcBorders>
              <w:top w:val="single" w:sz="8" w:color="CCEEFF"/>
              <w:bottom w:val="single" w:sz="8" w:color="CCEEFF"/>
            </w:tcBorders>
          </w:tcPr>
          <w:p>
            <w:pPr>
              <w:jc w:val="right"/>
              <w:ind w:right="10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(47,988</w:t>
            </w:r>
          </w:p>
        </w:tc>
        <w:tc>
          <w:tcPr>
            <w:tcW w:w="240" w:type="dxa"/>
            <w:vAlign w:val="bottom"/>
            <w:tcBorders>
              <w:top w:val="single" w:sz="8" w:color="CCEEFF"/>
              <w:bottom w:val="single" w:sz="8" w:color="CCEEFF"/>
            </w:tcBorders>
          </w:tcPr>
          <w:p>
            <w:pPr>
              <w:jc w:val="right"/>
              <w:ind w:right="10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(24,979</w:t>
            </w:r>
          </w:p>
        </w:tc>
        <w:tc>
          <w:tcPr>
            <w:tcW w:w="200" w:type="dxa"/>
            <w:vAlign w:val="bottom"/>
            <w:tcBorders>
              <w:top w:val="single" w:sz="8" w:color="CCEEFF"/>
              <w:bottom w:val="single" w:sz="8" w:color="CCEEFF"/>
            </w:tcBorders>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(54,414</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Loss from continuing operations before income taxes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(15,804)</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(77,958)</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(30,099)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(101,422)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100" w:type="dxa"/>
            <w:vAlign w:val="bottom"/>
          </w:tcPr>
          <w:p>
            <w:pPr>
              <w:spacing w:after="0"/>
              <w:rPr>
                <w:sz w:val="17"/>
                <w:szCs w:val="17"/>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6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2"/>
        </w:trPr>
        <w:tc>
          <w:tcPr>
            <w:tcW w:w="59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loss from continuing operations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(15,804</w:t>
            </w:r>
          </w:p>
        </w:tc>
        <w:tc>
          <w:tcPr>
            <w:tcW w:w="240" w:type="dxa"/>
            <w:vAlign w:val="bottom"/>
            <w:tcBorders>
              <w:top w:val="single" w:sz="8" w:color="CCEEFF"/>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(77,958</w:t>
            </w:r>
          </w:p>
        </w:tc>
        <w:tc>
          <w:tcPr>
            <w:tcW w:w="240" w:type="dxa"/>
            <w:vAlign w:val="bottom"/>
            <w:tcBorders>
              <w:top w:val="single" w:sz="8" w:color="CCEEFF"/>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(30,099</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(101,433</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8"/>
        </w:trPr>
        <w:tc>
          <w:tcPr>
            <w:tcW w:w="5960" w:type="dxa"/>
            <w:vAlign w:val="bottom"/>
            <w:tcBorders>
              <w:bottom w:val="single" w:sz="8" w:color="CCEEFF"/>
            </w:tcBorders>
          </w:tcPr>
          <w:p>
            <w:pPr>
              <w:ind w:left="260"/>
              <w:spacing w:after="0" w:line="165" w:lineRule="exact"/>
              <w:rPr>
                <w:sz w:val="20"/>
                <w:szCs w:val="20"/>
                <w:color w:val="auto"/>
              </w:rPr>
            </w:pPr>
            <w:r>
              <w:rPr>
                <w:rFonts w:ascii="Times New Roman" w:cs="Times New Roman" w:eastAsia="Times New Roman" w:hAnsi="Times New Roman"/>
                <w:sz w:val="15"/>
                <w:szCs w:val="15"/>
                <w:color w:val="auto"/>
              </w:rPr>
              <w:t>Loss from discontinued operations, net of tax</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(1,100</w:t>
            </w:r>
          </w:p>
        </w:tc>
        <w:tc>
          <w:tcPr>
            <w:tcW w:w="240" w:type="dxa"/>
            <w:vAlign w:val="bottom"/>
            <w:tcBorders>
              <w:bottom w:val="single" w:sz="8" w:color="CCEEFF"/>
            </w:tcBorders>
          </w:tcPr>
          <w:p>
            <w:pPr>
              <w:jc w:val="right"/>
              <w:ind w:right="10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(1,100</w:t>
            </w:r>
          </w:p>
        </w:tc>
        <w:tc>
          <w:tcPr>
            <w:tcW w:w="200" w:type="dxa"/>
            <w:vAlign w:val="bottom"/>
            <w:tcBorders>
              <w:bottom w:val="single" w:sz="8" w:color="CCEEFF"/>
            </w:tcBorders>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(2,007</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2"/>
        </w:trPr>
        <w:tc>
          <w:tcPr>
            <w:tcW w:w="5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loss from discontinued operations, net of taxes</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24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2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(2,007</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8"/>
        </w:trPr>
        <w:tc>
          <w:tcPr>
            <w:tcW w:w="5960" w:type="dxa"/>
            <w:vAlign w:val="bottom"/>
            <w:tcBorders>
              <w:bottom w:val="single" w:sz="8" w:color="CCEEFF"/>
            </w:tcBorders>
          </w:tcPr>
          <w:p>
            <w:pPr>
              <w:ind w:left="400"/>
              <w:spacing w:after="0" w:line="165"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(16,904</w:t>
            </w:r>
          </w:p>
        </w:tc>
        <w:tc>
          <w:tcPr>
            <w:tcW w:w="240" w:type="dxa"/>
            <w:vAlign w:val="bottom"/>
            <w:tcBorders>
              <w:bottom w:val="single" w:sz="8" w:color="CCEEFF"/>
            </w:tcBorders>
          </w:tcPr>
          <w:p>
            <w:pPr>
              <w:jc w:val="right"/>
              <w:ind w:right="10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(77,958</w:t>
            </w:r>
          </w:p>
        </w:tc>
        <w:tc>
          <w:tcPr>
            <w:tcW w:w="240" w:type="dxa"/>
            <w:vAlign w:val="bottom"/>
            <w:tcBorders>
              <w:bottom w:val="single" w:sz="8" w:color="CCEEFF"/>
            </w:tcBorders>
          </w:tcPr>
          <w:p>
            <w:pPr>
              <w:jc w:val="right"/>
              <w:ind w:right="10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(31,199</w:t>
            </w:r>
          </w:p>
        </w:tc>
        <w:tc>
          <w:tcPr>
            <w:tcW w:w="200" w:type="dxa"/>
            <w:vAlign w:val="bottom"/>
            <w:tcBorders>
              <w:bottom w:val="single" w:sz="8" w:color="CCEEFF"/>
            </w:tcBorders>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(103,440</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100" w:type="dxa"/>
            <w:vAlign w:val="bottom"/>
          </w:tcPr>
          <w:p>
            <w:pPr>
              <w:spacing w:after="0"/>
              <w:rPr>
                <w:sz w:val="17"/>
                <w:szCs w:val="17"/>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6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loss (net of tax)</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(16,904</w:t>
            </w:r>
          </w:p>
        </w:tc>
        <w:tc>
          <w:tcPr>
            <w:tcW w:w="240" w:type="dxa"/>
            <w:vAlign w:val="bottom"/>
            <w:tcBorders>
              <w:top w:val="single" w:sz="8" w:color="CCEEFF"/>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(77,958</w:t>
            </w:r>
          </w:p>
        </w:tc>
        <w:tc>
          <w:tcPr>
            <w:tcW w:w="240" w:type="dxa"/>
            <w:vAlign w:val="bottom"/>
            <w:tcBorders>
              <w:top w:val="single" w:sz="8" w:color="CCEEFF"/>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(31,199</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(103,418</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120"/>
              <w:spacing w:after="0" w:line="168" w:lineRule="exact"/>
              <w:rPr>
                <w:sz w:val="20"/>
                <w:szCs w:val="20"/>
                <w:color w:val="auto"/>
              </w:rPr>
            </w:pPr>
            <w:r>
              <w:rPr>
                <w:rFonts w:ascii="Times New Roman" w:cs="Times New Roman" w:eastAsia="Times New Roman" w:hAnsi="Times New Roman"/>
                <w:sz w:val="15"/>
                <w:szCs w:val="15"/>
                <w:color w:val="auto"/>
              </w:rPr>
              <w:t>Net loss from continuing operations per share attributable to common stockholders, basic and</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59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(0.19)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(0.37)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127"/>
        </w:trPr>
        <w:tc>
          <w:tcPr>
            <w:tcW w:w="5960" w:type="dxa"/>
            <w:vAlign w:val="bottom"/>
            <w:tcBorders>
              <w:top w:val="single" w:sz="8" w:color="CCEEFF"/>
            </w:tcBorders>
            <w:shd w:val="clear" w:color="auto" w:fill="CCEEFF"/>
          </w:tcPr>
          <w:p>
            <w:pPr>
              <w:ind w:left="120"/>
              <w:spacing w:after="0" w:line="128" w:lineRule="exact"/>
              <w:rPr>
                <w:sz w:val="20"/>
                <w:szCs w:val="20"/>
                <w:color w:val="auto"/>
              </w:rPr>
            </w:pPr>
            <w:r>
              <w:rPr>
                <w:rFonts w:ascii="Times New Roman" w:cs="Times New Roman" w:eastAsia="Times New Roman" w:hAnsi="Times New Roman"/>
                <w:sz w:val="14"/>
                <w:szCs w:val="14"/>
                <w:color w:val="auto"/>
              </w:rPr>
              <w:t>Net loss from discontinued operations per share attributable to common stockholders, basic</w:t>
            </w: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and 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(0.01)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(0.03)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5"/>
                <w:szCs w:val="15"/>
                <w:color w:val="auto"/>
              </w:rPr>
              <w:t>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19"/>
        </w:trPr>
        <w:tc>
          <w:tcPr>
            <w:tcW w:w="596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24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24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(0.38</w:t>
            </w:r>
          </w:p>
        </w:tc>
        <w:tc>
          <w:tcPr>
            <w:tcW w:w="20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596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4"/>
                <w:szCs w:val="14"/>
                <w:color w:val="auto"/>
              </w:rPr>
              <w:t>Weighted-average shares used to compute net loss per share attributable to common</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stockholders, basic and 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84,904,228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75,348,627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82,036,790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61,868,747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269" w:hanging="269"/>
        <w:spacing w:after="0" w:line="212" w:lineRule="auto"/>
        <w:tabs>
          <w:tab w:leader="none" w:pos="269" w:val="left"/>
        </w:tabs>
        <w:numPr>
          <w:ilvl w:val="0"/>
          <w:numId w:val="8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Revenue is net of dealer fees attributable to related party of $0.3 million and $1.6 million in the thirteen and thirty-nine week periods ended September 28, 2025, respectively. Revenue is net of dealer fees attributable to related party of $1.6 million in each of the thirteen and thirty-nine week periods ended September 29, 2024. Refer to Note 16 – Related Party Transactions for details.</w:t>
      </w:r>
    </w:p>
    <w:p>
      <w:pPr>
        <w:spacing w:after="0" w:line="101" w:lineRule="exact"/>
        <w:rPr>
          <w:rFonts w:ascii="Times New Roman" w:cs="Times New Roman" w:eastAsia="Times New Roman" w:hAnsi="Times New Roman"/>
          <w:sz w:val="25"/>
          <w:szCs w:val="25"/>
          <w:color w:val="auto"/>
          <w:vertAlign w:val="superscript"/>
        </w:rPr>
      </w:pPr>
    </w:p>
    <w:p>
      <w:pPr>
        <w:jc w:val="both"/>
        <w:ind w:left="269" w:hanging="269"/>
        <w:spacing w:after="0" w:line="212" w:lineRule="auto"/>
        <w:tabs>
          <w:tab w:leader="none" w:pos="269" w:val="left"/>
        </w:tabs>
        <w:numPr>
          <w:ilvl w:val="0"/>
          <w:numId w:val="8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related party interest expense and amortization of debt issuance costs of $1.8 million and $1.5 million in the thirteen week periods ended September 28, 2025, and September 29, 2024, respectively. Includes related party interest expense and amortization of debt issuance costs of $5.4 million and $5.6 million in the thirty-nine weeks periods ended September 28, 2025, and September 29, 2024, respectively.</w:t>
      </w:r>
    </w:p>
    <w:p>
      <w:pPr>
        <w:spacing w:after="0" w:line="11" w:lineRule="exact"/>
        <w:rPr>
          <w:rFonts w:ascii="Times New Roman" w:cs="Times New Roman" w:eastAsia="Times New Roman" w:hAnsi="Times New Roman"/>
          <w:sz w:val="25"/>
          <w:szCs w:val="25"/>
          <w:color w:val="auto"/>
          <w:vertAlign w:val="superscript"/>
        </w:rPr>
      </w:pPr>
    </w:p>
    <w:p>
      <w:pPr>
        <w:ind w:left="269" w:hanging="269"/>
        <w:spacing w:after="0"/>
        <w:tabs>
          <w:tab w:leader="none" w:pos="269" w:val="left"/>
        </w:tabs>
        <w:numPr>
          <w:ilvl w:val="0"/>
          <w:numId w:val="8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Includes the following related party transactions </w:t>
      </w:r>
      <w:r>
        <w:rPr>
          <w:rFonts w:ascii="Times New Roman" w:cs="Times New Roman" w:eastAsia="Times New Roman" w:hAnsi="Times New Roman"/>
          <w:sz w:val="15"/>
          <w:szCs w:val="15"/>
          <w:i w:val="1"/>
          <w:iCs w:val="1"/>
          <w:color w:val="auto"/>
        </w:rPr>
        <w:t>(in millions)</w:t>
      </w:r>
      <w:r>
        <w:rPr>
          <w:rFonts w:ascii="Times New Roman" w:cs="Times New Roman" w:eastAsia="Times New Roman" w:hAnsi="Times New Roman"/>
          <w:sz w:val="15"/>
          <w:szCs w:val="15"/>
          <w:color w:val="auto"/>
        </w:rPr>
        <w:t>:</w:t>
      </w:r>
    </w:p>
    <w:p>
      <w:pPr>
        <w:spacing w:after="0" w:line="115"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5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5"/>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80" w:type="dxa"/>
            <w:vAlign w:val="bottom"/>
          </w:tcPr>
          <w:p>
            <w:pPr>
              <w:spacing w:after="0"/>
              <w:rPr>
                <w:sz w:val="15"/>
                <w:szCs w:val="15"/>
                <w:color w:val="auto"/>
              </w:rPr>
            </w:pPr>
          </w:p>
        </w:tc>
        <w:tc>
          <w:tcPr>
            <w:tcW w:w="2480" w:type="dxa"/>
            <w:vAlign w:val="bottom"/>
            <w:gridSpan w:val="5"/>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r>
      <w:tr>
        <w:trPr>
          <w:trHeight w:val="163"/>
        </w:trPr>
        <w:tc>
          <w:tcPr>
            <w:tcW w:w="59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jc w:val="right"/>
              <w:ind w:right="386"/>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104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jc w:val="right"/>
              <w:ind w:right="3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4"/>
                <w:szCs w:val="14"/>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issuance of derivative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(3.0)</w:t>
            </w:r>
          </w:p>
        </w:tc>
      </w:tr>
      <w:tr>
        <w:trPr>
          <w:trHeight w:val="167"/>
        </w:trPr>
        <w:tc>
          <w:tcPr>
            <w:tcW w:w="596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(Loss) gain on remeasurement of derivative liabilities (Note 9 – Borrowings and Derivative</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7"/>
        </w:trPr>
        <w:tc>
          <w:tcPr>
            <w:tcW w:w="59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Liabilities)</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(22.8)</w:t>
            </w:r>
          </w:p>
        </w:tc>
        <w:tc>
          <w:tcPr>
            <w:tcW w:w="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(22.8)</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(loss) due to change in fair value of Forward Purchase Agreements</w:t>
            </w:r>
          </w:p>
        </w:tc>
        <w:tc>
          <w:tcPr>
            <w:tcW w:w="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w:t>
            </w: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Loss on conversion of SAFE Agreements to common stock</w:t>
            </w:r>
          </w:p>
        </w:tc>
        <w:tc>
          <w:tcPr>
            <w:tcW w:w="80" w:type="dxa"/>
            <w:vAlign w:val="bottom"/>
          </w:tcPr>
          <w:p>
            <w:pPr>
              <w:spacing w:after="0"/>
              <w:rPr>
                <w:sz w:val="15"/>
                <w:szCs w:val="15"/>
                <w:color w:val="auto"/>
              </w:rPr>
            </w:pPr>
          </w:p>
        </w:tc>
        <w:tc>
          <w:tcPr>
            <w:tcW w:w="1380" w:type="dxa"/>
            <w:vAlign w:val="bottom"/>
            <w:gridSpan w:val="3"/>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340" w:type="dxa"/>
            <w:vAlign w:val="bottom"/>
            <w:gridSpan w:val="3"/>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of SAFE Agreement</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(0.9)</w:t>
            </w:r>
          </w:p>
        </w:tc>
      </w:tr>
      <w:tr>
        <w:trPr>
          <w:trHeight w:val="197"/>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(Loss) gain due to change in fair value of Carlyle warrants</w:t>
            </w:r>
          </w:p>
        </w:tc>
        <w:tc>
          <w:tcPr>
            <w:tcW w:w="80" w:type="dxa"/>
            <w:vAlign w:val="bottom"/>
          </w:tcPr>
          <w:p>
            <w:pPr>
              <w:spacing w:after="0"/>
              <w:rPr>
                <w:sz w:val="17"/>
                <w:szCs w:val="17"/>
                <w:color w:val="auto"/>
              </w:rPr>
            </w:pPr>
          </w:p>
        </w:tc>
        <w:tc>
          <w:tcPr>
            <w:tcW w:w="1380" w:type="dxa"/>
            <w:vAlign w:val="bottom"/>
            <w:gridSpan w:val="3"/>
          </w:tcPr>
          <w:p>
            <w:pPr>
              <w:jc w:val="right"/>
              <w:ind w:right="266"/>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40" w:type="dxa"/>
            <w:vAlign w:val="bottom"/>
            <w:gridSpan w:val="3"/>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w:t>
            </w:r>
          </w:p>
        </w:tc>
      </w:tr>
    </w:tbl>
    <w:p>
      <w:pPr>
        <w:spacing w:after="0" w:line="8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19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690" w:right="319" w:bottom="1440" w:gutter="0" w:footer="0" w:header="0"/>
        </w:sectPr>
      </w:pPr>
    </w:p>
    <w:bookmarkStart w:id="138" w:name="page139"/>
    <w:bookmarkEnd w:id="13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SUNPOWER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Stockholders’ Deficit</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in thousands except number of shares</w:t>
      </w:r>
      <w:r>
        <w:rPr>
          <w:rFonts w:ascii="Times New Roman" w:cs="Times New Roman" w:eastAsia="Times New Roman" w:hAnsi="Times New Roman"/>
          <w:sz w:val="15"/>
          <w:szCs w:val="15"/>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5"/>
                <w:szCs w:val="15"/>
                <w:b w:val="1"/>
                <w:bCs w:val="1"/>
                <w:color w:val="auto"/>
              </w:rPr>
              <w:t>Thirteen Weeks Ended September 28, 2025</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180"/>
              <w:spacing w:after="0" w:line="164"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15"/>
        </w:trPr>
        <w:tc>
          <w:tcPr>
            <w:tcW w:w="4620" w:type="dxa"/>
            <w:vAlign w:val="bottom"/>
          </w:tcPr>
          <w:p>
            <w:pPr>
              <w:spacing w:after="0"/>
              <w:rPr>
                <w:sz w:val="18"/>
                <w:szCs w:val="18"/>
                <w:color w:val="auto"/>
              </w:rPr>
            </w:pPr>
          </w:p>
        </w:tc>
        <w:tc>
          <w:tcPr>
            <w:tcW w:w="1860" w:type="dxa"/>
            <w:vAlign w:val="bottom"/>
            <w:tcBorders>
              <w:bottom w:val="single" w:sz="8" w:color="auto"/>
            </w:tcBorders>
            <w:gridSpan w:val="3"/>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0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40" w:type="dxa"/>
            <w:vAlign w:val="bottom"/>
          </w:tcPr>
          <w:p>
            <w:pPr>
              <w:spacing w:after="0"/>
              <w:rPr>
                <w:sz w:val="17"/>
                <w:szCs w:val="17"/>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June 29,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82,325,722</w:t>
            </w: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318,311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(425,674)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(107,184)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Exercise of common stock 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198,096</w:t>
            </w:r>
          </w:p>
        </w:tc>
        <w:tc>
          <w:tcPr>
            <w:tcW w:w="7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4,174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2,310,811</w:t>
            </w:r>
          </w:p>
        </w:tc>
        <w:tc>
          <w:tcPr>
            <w:tcW w:w="7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4,333,334</w:t>
            </w:r>
          </w:p>
        </w:tc>
        <w:tc>
          <w:tcPr>
            <w:tcW w:w="7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7"/>
                <w:szCs w:val="17"/>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5"/>
                <w:szCs w:val="15"/>
                <w:color w:val="auto"/>
              </w:rPr>
              <w:t>(16,904)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(16,904)</w:t>
            </w:r>
          </w:p>
        </w:tc>
        <w:tc>
          <w:tcPr>
            <w:tcW w:w="0" w:type="dxa"/>
            <w:vAlign w:val="bottom"/>
          </w:tcPr>
          <w:p>
            <w:pPr>
              <w:spacing w:after="0"/>
              <w:rPr>
                <w:sz w:val="1"/>
                <w:szCs w:val="1"/>
                <w:color w:val="auto"/>
              </w:rPr>
            </w:pPr>
          </w:p>
        </w:tc>
      </w:tr>
      <w:tr>
        <w:trPr>
          <w:trHeight w:val="185"/>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September 28,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89,167,963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330,083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(442,578</w:t>
            </w:r>
          </w:p>
        </w:tc>
        <w:tc>
          <w:tcPr>
            <w:tcW w:w="12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(112,316</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5"/>
                <w:szCs w:val="15"/>
                <w:b w:val="1"/>
                <w:bCs w:val="1"/>
                <w:color w:val="auto"/>
              </w:rPr>
              <w:t>Thirteen Weeks Ended September 29, 2024</w:t>
            </w: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180"/>
              <w:spacing w:after="0" w:line="164"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1860" w:type="dxa"/>
            <w:vAlign w:val="bottom"/>
            <w:gridSpan w:val="3"/>
            <w:vMerge w:val="restart"/>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0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40" w:type="dxa"/>
            <w:vAlign w:val="bottom"/>
          </w:tcPr>
          <w:p>
            <w:pPr>
              <w:spacing w:after="0"/>
              <w:rPr>
                <w:sz w:val="16"/>
                <w:szCs w:val="16"/>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63,044,287</w:t>
            </w: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288,259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(380,410)</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(91,973)</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Exercise of common stock 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282,966</w:t>
            </w:r>
          </w:p>
        </w:tc>
        <w:tc>
          <w:tcPr>
            <w:tcW w:w="7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88,215</w:t>
            </w:r>
          </w:p>
        </w:tc>
        <w:tc>
          <w:tcPr>
            <w:tcW w:w="7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warrants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warrant for services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7,759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 of common stock warrants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5,343,616</w:t>
            </w:r>
          </w:p>
        </w:tc>
        <w:tc>
          <w:tcPr>
            <w:tcW w:w="7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for exchange of debt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1,500,000</w:t>
            </w:r>
          </w:p>
        </w:tc>
        <w:tc>
          <w:tcPr>
            <w:tcW w:w="7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2,718,837</w:t>
            </w:r>
          </w:p>
        </w:tc>
        <w:tc>
          <w:tcPr>
            <w:tcW w:w="7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6,143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Modification of warrant agreement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7,306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5"/>
                <w:szCs w:val="15"/>
                <w:color w:val="auto"/>
              </w:rPr>
              <w:t>(77,958)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(77,958)</w:t>
            </w:r>
          </w:p>
        </w:tc>
        <w:tc>
          <w:tcPr>
            <w:tcW w:w="0" w:type="dxa"/>
            <w:vAlign w:val="bottom"/>
          </w:tcPr>
          <w:p>
            <w:pPr>
              <w:spacing w:after="0"/>
              <w:rPr>
                <w:sz w:val="1"/>
                <w:szCs w:val="1"/>
                <w:color w:val="auto"/>
              </w:rPr>
            </w:pPr>
          </w:p>
        </w:tc>
      </w:tr>
      <w:tr>
        <w:trPr>
          <w:trHeight w:val="168"/>
        </w:trPr>
        <w:tc>
          <w:tcPr>
            <w:tcW w:w="462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Balance as of September 29, 2024</w:t>
            </w:r>
          </w:p>
        </w:tc>
        <w:tc>
          <w:tcPr>
            <w:tcW w:w="9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72,977,921</w:t>
            </w:r>
          </w:p>
        </w:tc>
        <w:tc>
          <w:tcPr>
            <w:tcW w:w="2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jc w:val="right"/>
              <w:ind w:right="564"/>
              <w:spacing w:after="0" w:line="165"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2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14</w:t>
            </w: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315,485</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(458,368</w:t>
            </w:r>
          </w:p>
        </w:tc>
        <w:tc>
          <w:tcPr>
            <w:tcW w:w="120" w:type="dxa"/>
            <w:vAlign w:val="bottom"/>
            <w:tcBorders>
              <w:top w:val="single" w:sz="8" w:color="CCEEFF"/>
            </w:tcBorders>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165</w:t>
            </w: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(142,704</w:t>
            </w:r>
          </w:p>
        </w:tc>
        <w:tc>
          <w:tcPr>
            <w:tcW w:w="1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12"/>
          </w:tcPr>
          <w:p>
            <w:pPr>
              <w:ind w:left="620"/>
              <w:spacing w:after="0"/>
              <w:rPr>
                <w:sz w:val="20"/>
                <w:szCs w:val="20"/>
                <w:color w:val="auto"/>
              </w:rPr>
            </w:pPr>
            <w:r>
              <w:rPr>
                <w:rFonts w:ascii="Times New Roman" w:cs="Times New Roman" w:eastAsia="Times New Roman" w:hAnsi="Times New Roman"/>
                <w:sz w:val="15"/>
                <w:szCs w:val="15"/>
                <w:b w:val="1"/>
                <w:bCs w:val="1"/>
                <w:color w:val="auto"/>
              </w:rPr>
              <w:t>Thirty-Nine Weeks Ended September 28, 2025</w:t>
            </w: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3"/>
        </w:trPr>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180"/>
              <w:spacing w:after="0" w:line="164"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215"/>
        </w:trPr>
        <w:tc>
          <w:tcPr>
            <w:tcW w:w="462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0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Stockholders’</w:t>
            </w:r>
          </w:p>
        </w:tc>
      </w:tr>
      <w:tr>
        <w:trPr>
          <w:trHeight w:val="196"/>
        </w:trPr>
        <w:tc>
          <w:tcPr>
            <w:tcW w:w="4620" w:type="dxa"/>
            <w:vAlign w:val="bottom"/>
          </w:tcPr>
          <w:p>
            <w:pPr>
              <w:spacing w:after="0"/>
              <w:rPr>
                <w:sz w:val="17"/>
                <w:szCs w:val="17"/>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Pr>
          <w:p>
            <w:pPr>
              <w:spacing w:after="0"/>
              <w:rPr>
                <w:sz w:val="17"/>
                <w:szCs w:val="17"/>
                <w:color w:val="auto"/>
              </w:rPr>
            </w:pPr>
          </w:p>
        </w:tc>
        <w:tc>
          <w:tcPr>
            <w:tcW w:w="760" w:type="dxa"/>
            <w:vAlign w:val="bottom"/>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(Deficit)</w:t>
            </w:r>
          </w:p>
        </w:tc>
      </w:tr>
      <w:tr>
        <w:trPr>
          <w:trHeight w:val="182"/>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29,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73,784,645</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313,661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(411,379)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165</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(97,539)</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Exercise of common stock 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731,671</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775</w:t>
            </w:r>
          </w:p>
        </w:tc>
        <w:tc>
          <w:tcPr>
            <w:tcW w:w="80" w:type="dxa"/>
            <w:vAlign w:val="bottom"/>
          </w:tcPr>
          <w:p>
            <w:pPr>
              <w:spacing w:after="0"/>
              <w:rPr>
                <w:sz w:val="15"/>
                <w:szCs w:val="15"/>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8,205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8,205</w:t>
            </w:r>
          </w:p>
        </w:tc>
        <w:tc>
          <w:tcPr>
            <w:tcW w:w="80" w:type="dxa"/>
            <w:vAlign w:val="bottom"/>
            <w:shd w:val="clear" w:color="auto" w:fill="CCEEFF"/>
          </w:tcPr>
          <w:p>
            <w:pPr>
              <w:spacing w:after="0"/>
              <w:rPr>
                <w:sz w:val="15"/>
                <w:szCs w:val="15"/>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4,318,313</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 of common stock warrants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6,000,000</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shd w:val="clear" w:color="auto" w:fill="CCEEFF"/>
          </w:tcPr>
          <w:p>
            <w:pPr>
              <w:spacing w:after="0"/>
              <w:rPr>
                <w:sz w:val="15"/>
                <w:szCs w:val="15"/>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4,333,334</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7,382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7,382</w:t>
            </w:r>
          </w:p>
        </w:tc>
        <w:tc>
          <w:tcPr>
            <w:tcW w:w="80" w:type="dxa"/>
            <w:vAlign w:val="bottom"/>
          </w:tcPr>
          <w:p>
            <w:pPr>
              <w:spacing w:after="0"/>
              <w:rPr>
                <w:sz w:val="15"/>
                <w:szCs w:val="15"/>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5"/>
                <w:szCs w:val="15"/>
                <w:color w:val="auto"/>
              </w:rPr>
              <w:t>(31,199)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(31,199)</w:t>
            </w:r>
          </w:p>
        </w:tc>
      </w:tr>
      <w:tr>
        <w:trPr>
          <w:trHeight w:val="168"/>
        </w:trPr>
        <w:tc>
          <w:tcPr>
            <w:tcW w:w="462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Balance as of September 28, 2025</w:t>
            </w: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89,167,963</w:t>
            </w:r>
          </w:p>
        </w:tc>
        <w:tc>
          <w:tcPr>
            <w:tcW w:w="220" w:type="dxa"/>
            <w:vAlign w:val="bottom"/>
            <w:tcBorders>
              <w:top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584"/>
              <w:spacing w:after="0" w:line="165"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14</w:t>
            </w: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330,083</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(442,578</w:t>
            </w:r>
          </w:p>
        </w:tc>
        <w:tc>
          <w:tcPr>
            <w:tcW w:w="120" w:type="dxa"/>
            <w:vAlign w:val="bottom"/>
            <w:tcBorders>
              <w:top w:val="single" w:sz="8" w:color="CCEEFF"/>
            </w:tcBorders>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w w:val="97"/>
              </w:rPr>
              <w:t>165</w:t>
            </w: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(112,316</w:t>
            </w:r>
          </w:p>
        </w:tc>
        <w:tc>
          <w:tcPr>
            <w:tcW w:w="1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4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2"/>
          </w:tcPr>
          <w:p>
            <w:pPr>
              <w:ind w:left="620"/>
              <w:spacing w:after="0"/>
              <w:rPr>
                <w:sz w:val="20"/>
                <w:szCs w:val="20"/>
                <w:color w:val="auto"/>
              </w:rPr>
            </w:pPr>
            <w:r>
              <w:rPr>
                <w:rFonts w:ascii="Times New Roman" w:cs="Times New Roman" w:eastAsia="Times New Roman" w:hAnsi="Times New Roman"/>
                <w:sz w:val="15"/>
                <w:szCs w:val="15"/>
                <w:b w:val="1"/>
                <w:bCs w:val="1"/>
                <w:color w:val="auto"/>
              </w:rPr>
              <w:t>Thirty-Nine Weeks Ended September 29, 2024</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180"/>
              <w:spacing w:after="0" w:line="164"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215"/>
        </w:trPr>
        <w:tc>
          <w:tcPr>
            <w:tcW w:w="462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0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Stockholders’</w:t>
            </w:r>
          </w:p>
        </w:tc>
      </w:tr>
      <w:tr>
        <w:trPr>
          <w:trHeight w:val="196"/>
        </w:trPr>
        <w:tc>
          <w:tcPr>
            <w:tcW w:w="4620" w:type="dxa"/>
            <w:vAlign w:val="bottom"/>
          </w:tcPr>
          <w:p>
            <w:pPr>
              <w:spacing w:after="0"/>
              <w:rPr>
                <w:sz w:val="17"/>
                <w:szCs w:val="17"/>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Pr>
          <w:p>
            <w:pPr>
              <w:spacing w:after="0"/>
              <w:rPr>
                <w:sz w:val="17"/>
                <w:szCs w:val="17"/>
                <w:color w:val="auto"/>
              </w:rPr>
            </w:pPr>
          </w:p>
        </w:tc>
        <w:tc>
          <w:tcPr>
            <w:tcW w:w="760" w:type="dxa"/>
            <w:vAlign w:val="bottom"/>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(Deficit)</w:t>
            </w:r>
          </w:p>
        </w:tc>
      </w:tr>
      <w:tr>
        <w:trPr>
          <w:trHeight w:val="182"/>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49,065,361</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277,965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(354,928)</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143</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(76,813)</w:t>
            </w:r>
          </w:p>
        </w:tc>
        <w:tc>
          <w:tcPr>
            <w:tcW w:w="100" w:type="dxa"/>
            <w:vAlign w:val="bottom"/>
            <w:tcBorders>
              <w:top w:val="single" w:sz="8" w:color="CCEEFF"/>
            </w:tcBorders>
            <w:gridSpan w:val="2"/>
            <w:shd w:val="clear" w:color="auto" w:fill="CCEEFF"/>
          </w:tcPr>
          <w:p>
            <w:pPr>
              <w:spacing w:after="0"/>
              <w:rPr>
                <w:sz w:val="15"/>
                <w:szCs w:val="15"/>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Exercise of common stock 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373,003</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80" w:type="dxa"/>
            <w:vAlign w:val="bottom"/>
          </w:tcPr>
          <w:p>
            <w:pPr>
              <w:spacing w:after="0"/>
              <w:rPr>
                <w:sz w:val="15"/>
                <w:szCs w:val="15"/>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88,215</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4,086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4,086</w:t>
            </w:r>
          </w:p>
        </w:tc>
        <w:tc>
          <w:tcPr>
            <w:tcW w:w="80" w:type="dxa"/>
            <w:vAlign w:val="bottom"/>
          </w:tcPr>
          <w:p>
            <w:pPr>
              <w:spacing w:after="0"/>
              <w:rPr>
                <w:sz w:val="15"/>
                <w:szCs w:val="15"/>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warrants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80" w:type="dxa"/>
            <w:vAlign w:val="bottom"/>
            <w:shd w:val="clear" w:color="auto" w:fill="CCEEFF"/>
          </w:tcPr>
          <w:p>
            <w:pPr>
              <w:spacing w:after="0"/>
              <w:rPr>
                <w:sz w:val="15"/>
                <w:szCs w:val="15"/>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warrant for services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9,179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9,179</w:t>
            </w:r>
          </w:p>
        </w:tc>
        <w:tc>
          <w:tcPr>
            <w:tcW w:w="80" w:type="dxa"/>
            <w:vAlign w:val="bottom"/>
          </w:tcPr>
          <w:p>
            <w:pPr>
              <w:spacing w:after="0"/>
              <w:rPr>
                <w:sz w:val="15"/>
                <w:szCs w:val="15"/>
                <w:color w:val="auto"/>
              </w:rPr>
            </w:pPr>
          </w:p>
        </w:tc>
      </w:tr>
      <w:tr>
        <w:trPr>
          <w:trHeight w:val="167"/>
        </w:trPr>
        <w:tc>
          <w:tcPr>
            <w:tcW w:w="4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Issuance of common stock upon conversion of SAFE Agreements with</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7"/>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related party</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13,888,889</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6,250</w:t>
            </w:r>
          </w:p>
        </w:tc>
        <w:tc>
          <w:tcPr>
            <w:tcW w:w="80" w:type="dxa"/>
            <w:vAlign w:val="bottom"/>
            <w:shd w:val="clear" w:color="auto" w:fill="CCEEFF"/>
          </w:tcPr>
          <w:p>
            <w:pPr>
              <w:spacing w:after="0"/>
              <w:rPr>
                <w:sz w:val="17"/>
                <w:szCs w:val="17"/>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Exercise of common stock warrants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5,343,616</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5"/>
                <w:szCs w:val="15"/>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for exchange of debt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1,500,000</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2,670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2,670</w:t>
            </w:r>
          </w:p>
        </w:tc>
        <w:tc>
          <w:tcPr>
            <w:tcW w:w="80" w:type="dxa"/>
            <w:vAlign w:val="bottom"/>
            <w:shd w:val="clear" w:color="auto" w:fill="CCEEFF"/>
          </w:tcPr>
          <w:p>
            <w:pPr>
              <w:spacing w:after="0"/>
              <w:rPr>
                <w:sz w:val="15"/>
                <w:szCs w:val="15"/>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2,718,837</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6,143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6,143</w:t>
            </w:r>
          </w:p>
        </w:tc>
        <w:tc>
          <w:tcPr>
            <w:tcW w:w="80" w:type="dxa"/>
            <w:vAlign w:val="bottom"/>
          </w:tcPr>
          <w:p>
            <w:pPr>
              <w:spacing w:after="0"/>
              <w:rPr>
                <w:sz w:val="15"/>
                <w:szCs w:val="15"/>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Modification of warrant agreement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7,306</w:t>
            </w:r>
          </w:p>
        </w:tc>
        <w:tc>
          <w:tcPr>
            <w:tcW w:w="80" w:type="dxa"/>
            <w:vAlign w:val="bottom"/>
            <w:shd w:val="clear" w:color="auto" w:fill="CCEEFF"/>
          </w:tcPr>
          <w:p>
            <w:pPr>
              <w:spacing w:after="0"/>
              <w:rPr>
                <w:sz w:val="15"/>
                <w:szCs w:val="15"/>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5"/>
                <w:szCs w:val="15"/>
                <w:color w:val="auto"/>
              </w:rPr>
              <w:t>(103,440)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(103,440)</w:t>
            </w: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shd w:val="clear" w:color="auto" w:fill="CCEEFF"/>
          </w:tcPr>
          <w:p>
            <w:pPr>
              <w:spacing w:after="0"/>
              <w:rPr>
                <w:sz w:val="18"/>
                <w:szCs w:val="18"/>
                <w:color w:val="auto"/>
              </w:rPr>
            </w:pPr>
          </w:p>
        </w:tc>
      </w:tr>
      <w:tr>
        <w:trPr>
          <w:trHeight w:val="168"/>
        </w:trPr>
        <w:tc>
          <w:tcPr>
            <w:tcW w:w="462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Balance as of September 29, 2024</w:t>
            </w:r>
          </w:p>
        </w:tc>
        <w:tc>
          <w:tcPr>
            <w:tcW w:w="9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72,977,921</w:t>
            </w:r>
          </w:p>
        </w:tc>
        <w:tc>
          <w:tcPr>
            <w:tcW w:w="22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jc w:val="right"/>
              <w:ind w:right="584"/>
              <w:spacing w:after="0" w:line="165"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14</w:t>
            </w: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315,485</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(458,368</w:t>
            </w:r>
          </w:p>
        </w:tc>
        <w:tc>
          <w:tcPr>
            <w:tcW w:w="120" w:type="dxa"/>
            <w:vAlign w:val="bottom"/>
            <w:tcBorders>
              <w:top w:val="single" w:sz="8" w:color="CCEEFF"/>
            </w:tcBorders>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w w:val="97"/>
              </w:rPr>
              <w:t>165</w:t>
            </w: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b w:val="1"/>
                <w:bCs w:val="1"/>
                <w:color w:val="auto"/>
              </w:rPr>
              <w:t>(142,704</w:t>
            </w:r>
          </w:p>
        </w:tc>
        <w:tc>
          <w:tcPr>
            <w:tcW w:w="1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4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70" w:right="319" w:bottom="1440" w:gutter="0" w:footer="0" w:header="0"/>
        </w:sectPr>
      </w:pPr>
    </w:p>
    <w:bookmarkStart w:id="140" w:name="page141"/>
    <w:bookmarkEnd w:id="140"/>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SUNPOWER INC. AND SUBSIDIARIES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Cash Flows</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in thousands except number of shares</w:t>
      </w:r>
      <w:r>
        <w:rPr>
          <w:rFonts w:ascii="Times New Roman" w:cs="Times New Roman" w:eastAsia="Times New Roman" w:hAnsi="Times New Roman"/>
          <w:sz w:val="15"/>
          <w:szCs w:val="15"/>
          <w:b w:val="1"/>
          <w:bCs w:val="1"/>
          <w:color w:val="auto"/>
        </w:rPr>
        <w:t>)</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5"/>
          </w:tcPr>
          <w:p>
            <w:pPr>
              <w:jc w:val="right"/>
              <w:ind w:right="462"/>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22"/>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 from continuing operations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(31,199)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(103,440)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Net loss from discontinued operations, net of income taxes</w:t>
            </w:r>
          </w:p>
        </w:tc>
        <w:tc>
          <w:tcPr>
            <w:tcW w:w="80" w:type="dxa"/>
            <w:vAlign w:val="bottom"/>
          </w:tcPr>
          <w:p>
            <w:pPr>
              <w:spacing w:after="0"/>
              <w:rPr>
                <w:sz w:val="17"/>
                <w:szCs w:val="17"/>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(1,100)</w:t>
            </w:r>
          </w:p>
        </w:tc>
        <w:tc>
          <w:tcPr>
            <w:tcW w:w="80" w:type="dxa"/>
            <w:vAlign w:val="bottom"/>
          </w:tcPr>
          <w:p>
            <w:pPr>
              <w:spacing w:after="0"/>
              <w:rPr>
                <w:sz w:val="17"/>
                <w:szCs w:val="17"/>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from continuing operations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(30,099</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(101,433</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8,205</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4,086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Non-cash interest expense</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1,938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Non-cash lease expense</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826</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4,293</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991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4,159</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3,065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Change in reserve for excess and obsolete inventory</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Change in fair value of SAFE Agreement – related party</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113</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00"/>
              <w:spacing w:after="0" w:line="216" w:lineRule="exact"/>
              <w:rPr>
                <w:sz w:val="20"/>
                <w:szCs w:val="20"/>
                <w:color w:val="auto"/>
              </w:rPr>
            </w:pPr>
            <w:r>
              <w:rPr>
                <w:rFonts w:ascii="Times New Roman" w:cs="Times New Roman" w:eastAsia="Times New Roman" w:hAnsi="Times New Roman"/>
                <w:sz w:val="15"/>
                <w:szCs w:val="15"/>
                <w:color w:val="auto"/>
              </w:rPr>
              <w:t xml:space="preserve">Change in fair value of forward purchase agreement liabilities </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18"/>
                <w:szCs w:val="18"/>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807</w:t>
            </w:r>
          </w:p>
        </w:tc>
        <w:tc>
          <w:tcPr>
            <w:tcW w:w="80" w:type="dxa"/>
            <w:vAlign w:val="bottom"/>
          </w:tcPr>
          <w:p>
            <w:pPr>
              <w:spacing w:after="0"/>
              <w:rPr>
                <w:sz w:val="18"/>
                <w:szCs w:val="18"/>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5"/>
                <w:szCs w:val="15"/>
                <w:color w:val="auto"/>
              </w:rPr>
              <w:t xml:space="preserve">Change in fair value of derivative liabilities </w:t>
            </w:r>
            <w:r>
              <w:rPr>
                <w:rFonts w:ascii="Times New Roman" w:cs="Times New Roman" w:eastAsia="Times New Roman" w:hAnsi="Times New Roman"/>
                <w:sz w:val="25"/>
                <w:szCs w:val="25"/>
                <w:color w:val="auto"/>
                <w:vertAlign w:val="superscript"/>
              </w:rPr>
              <w:t>(2)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(1,639)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37,875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Change in fair value of warrant liabilities</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3,122</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5"/>
                <w:szCs w:val="15"/>
                <w:color w:val="auto"/>
              </w:rPr>
              <w:t xml:space="preserve">Amortization of debt issuance costs </w:t>
            </w:r>
            <w:r>
              <w:rPr>
                <w:rFonts w:ascii="Times New Roman" w:cs="Times New Roman" w:eastAsia="Times New Roman" w:hAnsi="Times New Roman"/>
                <w:sz w:val="25"/>
                <w:szCs w:val="25"/>
                <w:color w:val="auto"/>
                <w:vertAlign w:val="superscript"/>
              </w:rPr>
              <w:t>(3)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14,259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00"/>
              <w:spacing w:after="0" w:line="216" w:lineRule="exact"/>
              <w:rPr>
                <w:sz w:val="20"/>
                <w:szCs w:val="20"/>
                <w:color w:val="auto"/>
              </w:rPr>
            </w:pPr>
            <w:r>
              <w:rPr>
                <w:rFonts w:ascii="Times New Roman" w:cs="Times New Roman" w:eastAsia="Times New Roman" w:hAnsi="Times New Roman"/>
                <w:sz w:val="15"/>
                <w:szCs w:val="15"/>
                <w:color w:val="auto"/>
              </w:rPr>
              <w:t xml:space="preserve">Non-cash income </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18"/>
                <w:szCs w:val="18"/>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(474)</w:t>
            </w:r>
          </w:p>
        </w:tc>
        <w:tc>
          <w:tcPr>
            <w:tcW w:w="8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Loss on impairments and disposals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3,721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Accretion of debt in CS Solis – related party</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3,872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Loss on conversion of SAFE Agreements to shares of common stock</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1,250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Non-cash expense in connection with warrant issued for vendor services</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5,410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Loss on issuance of derivative liability</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24,688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Gain on debt extinguishment</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(19,948)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financing costs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3,812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 net of business acquisitions: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Accounts receivable, net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(32,747)</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14,735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34,098</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2,378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(12,462)</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(3,185)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noncurrent assets</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Accounts payable</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11,692</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(8,496)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80" w:type="dxa"/>
            <w:vAlign w:val="bottom"/>
          </w:tcPr>
          <w:p>
            <w:pPr>
              <w:spacing w:after="0"/>
              <w:rPr>
                <w:sz w:val="15"/>
                <w:szCs w:val="15"/>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(6,360)</w:t>
            </w:r>
          </w:p>
        </w:tc>
        <w:tc>
          <w:tcPr>
            <w:tcW w:w="80" w:type="dxa"/>
            <w:vAlign w:val="bottom"/>
          </w:tcPr>
          <w:p>
            <w:pPr>
              <w:spacing w:after="0"/>
              <w:rPr>
                <w:sz w:val="15"/>
                <w:szCs w:val="15"/>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(1,646)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(866)</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(875)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Contract liabilities</w:t>
            </w:r>
          </w:p>
        </w:tc>
        <w:tc>
          <w:tcPr>
            <w:tcW w:w="80" w:type="dxa"/>
            <w:vAlign w:val="bottom"/>
          </w:tcPr>
          <w:p>
            <w:pPr>
              <w:spacing w:after="0"/>
              <w:rPr>
                <w:sz w:val="17"/>
                <w:szCs w:val="17"/>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(10,568)</w:t>
            </w:r>
          </w:p>
        </w:tc>
        <w:tc>
          <w:tcPr>
            <w:tcW w:w="80" w:type="dxa"/>
            <w:vAlign w:val="bottom"/>
          </w:tcPr>
          <w:p>
            <w:pPr>
              <w:spacing w:after="0"/>
              <w:rPr>
                <w:sz w:val="17"/>
                <w:szCs w:val="17"/>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(1,434)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(13,406</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(29,111</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Cash flows from investing activities from continuing operations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acquisition, net of cash acquired</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(20,689)</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Capitalization of internal-use software costs</w:t>
            </w:r>
          </w:p>
        </w:tc>
        <w:tc>
          <w:tcPr>
            <w:tcW w:w="80" w:type="dxa"/>
            <w:vAlign w:val="bottom"/>
          </w:tcPr>
          <w:p>
            <w:pPr>
              <w:spacing w:after="0"/>
              <w:rPr>
                <w:sz w:val="17"/>
                <w:szCs w:val="17"/>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investing activities from continuing operations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(20,689</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Cash flows from financing activities from continuing operations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convertible notes, net of debt discount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20,000</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68,725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issuance of convertible notes due to related parties</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26,000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of debt issuance costs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payments</w:t>
            </w:r>
          </w:p>
        </w:tc>
        <w:tc>
          <w:tcPr>
            <w:tcW w:w="80" w:type="dxa"/>
            <w:vAlign w:val="bottom"/>
          </w:tcPr>
          <w:p>
            <w:pPr>
              <w:spacing w:after="0"/>
              <w:rPr>
                <w:sz w:val="15"/>
                <w:szCs w:val="15"/>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(1,528)</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Principal repayment of note payable</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issuance of common stock</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1,682</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6,143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exercise of common stock options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775</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exercise of warrant for common stock</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SAFE Agreements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cash provided by financing activities from continuing operations</w:t>
            </w: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25,789</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107,060</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exchange rate changes</w:t>
            </w: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(decrease) increase in cash, cash equivalents and restricted cash</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(8,306</w:t>
            </w:r>
          </w:p>
        </w:tc>
        <w:tc>
          <w:tcPr>
            <w:tcW w:w="220" w:type="dxa"/>
            <w:vAlign w:val="bottom"/>
            <w:tcBorders>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76,927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17,219</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8,913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83,343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during the period for interest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9,811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noncash financing and investing activities: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Seller Note as partial purchase consideration in Sunder acquisition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Issuance of shares of common stock and deferred consideration as partial purchase consideration in Sunder acquisition </w:t>
            </w:r>
            <w:r>
              <w:rPr>
                <w:rFonts w:ascii="Times New Roman" w:cs="Times New Roman" w:eastAsia="Times New Roman" w:hAnsi="Times New Roman"/>
                <w:sz w:val="25"/>
                <w:szCs w:val="25"/>
                <w:color w:val="auto"/>
                <w:vertAlign w:val="superscript"/>
              </w:rPr>
              <w:t>(5)</w:t>
            </w:r>
          </w:p>
        </w:tc>
        <w:tc>
          <w:tcPr>
            <w:tcW w:w="80" w:type="dxa"/>
            <w:vAlign w:val="bottom"/>
          </w:tcPr>
          <w:p>
            <w:pPr>
              <w:spacing w:after="0"/>
              <w:rPr>
                <w:sz w:val="18"/>
                <w:szCs w:val="18"/>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17,100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Cancellation of existing indebtedness in Exchange Agreement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65,872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convertible notes in Exchange Agreement</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31,452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in Exchange Agreement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2,220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Conversion of SAFE Agreements to shares of common stock with related party</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Carlyle warrant modification</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 obtained in exchange for lease obligations</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warrants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1,400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Measurement period adjustments related to the SunPower acquisition – (Refer to Note 3)</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69" w:hanging="269"/>
        <w:spacing w:after="0"/>
        <w:tabs>
          <w:tab w:leader="none" w:pos="269" w:val="left"/>
        </w:tabs>
        <w:numPr>
          <w:ilvl w:val="0"/>
          <w:numId w:val="8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related party income of $0.1 million and $1.8 million in the thirty-nine week periods ended September 28, 2025, and September 29, 2024, respectively.</w:t>
      </w:r>
    </w:p>
    <w:p>
      <w:pPr>
        <w:spacing w:after="0" w:line="166" w:lineRule="exact"/>
        <w:rPr>
          <w:rFonts w:ascii="Times New Roman" w:cs="Times New Roman" w:eastAsia="Times New Roman" w:hAnsi="Times New Roman"/>
          <w:sz w:val="25"/>
          <w:szCs w:val="25"/>
          <w:color w:val="auto"/>
          <w:vertAlign w:val="superscript"/>
        </w:rPr>
      </w:pPr>
    </w:p>
    <w:p>
      <w:pPr>
        <w:ind w:left="269" w:hanging="269"/>
        <w:spacing w:after="0" w:line="197" w:lineRule="auto"/>
        <w:tabs>
          <w:tab w:leader="none" w:pos="269" w:val="left"/>
        </w:tabs>
        <w:numPr>
          <w:ilvl w:val="0"/>
          <w:numId w:val="8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related party remeasurement of gain of $1.8 million and loss of $22.8 million in the thirty-nine week periods ended September 28, 2025 and September 29, 2024, respectively.</w:t>
      </w:r>
    </w:p>
    <w:p>
      <w:pPr>
        <w:spacing w:after="0" w:line="78" w:lineRule="exact"/>
        <w:rPr>
          <w:rFonts w:ascii="Times New Roman" w:cs="Times New Roman" w:eastAsia="Times New Roman" w:hAnsi="Times New Roman"/>
          <w:sz w:val="25"/>
          <w:szCs w:val="25"/>
          <w:color w:val="auto"/>
          <w:vertAlign w:val="superscript"/>
        </w:rPr>
      </w:pPr>
    </w:p>
    <w:p>
      <w:pPr>
        <w:ind w:left="269" w:hanging="269"/>
        <w:spacing w:after="0"/>
        <w:tabs>
          <w:tab w:leader="none" w:pos="269" w:val="left"/>
        </w:tabs>
        <w:numPr>
          <w:ilvl w:val="0"/>
          <w:numId w:val="8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related party amortization expense of $2.7 million and $0.6 million in the thirty-nine week periods ended September 28, 2025 and September 29, 2024, respectively.</w:t>
      </w:r>
    </w:p>
    <w:p>
      <w:pPr>
        <w:sectPr>
          <w:pgSz w:w="11900" w:h="16838" w:orient="portrait"/>
          <w:cols w:equalWidth="0" w:num="1">
            <w:col w:w="11269"/>
          </w:cols>
          <w:pgMar w:left="311" w:top="758" w:right="319" w:bottom="0" w:gutter="0" w:footer="0" w:header="0"/>
        </w:sectPr>
      </w:pPr>
    </w:p>
    <w:bookmarkStart w:id="141" w:name="page142"/>
    <w:bookmarkEnd w:id="141"/>
    <w:p>
      <w:pPr>
        <w:ind w:left="269" w:hanging="269"/>
        <w:spacing w:after="0"/>
        <w:tabs>
          <w:tab w:leader="none" w:pos="269" w:val="left"/>
        </w:tabs>
        <w:numPr>
          <w:ilvl w:val="0"/>
          <w:numId w:val="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related party non-cash income of $0.1 million in the thirty-nine week period ended September 28, 2025.</w:t>
      </w:r>
    </w:p>
    <w:p>
      <w:pPr>
        <w:spacing w:after="0" w:line="166" w:lineRule="exact"/>
        <w:rPr>
          <w:rFonts w:ascii="Times New Roman" w:cs="Times New Roman" w:eastAsia="Times New Roman" w:hAnsi="Times New Roman"/>
          <w:sz w:val="25"/>
          <w:szCs w:val="25"/>
          <w:color w:val="auto"/>
          <w:vertAlign w:val="superscript"/>
        </w:rPr>
      </w:pPr>
    </w:p>
    <w:p>
      <w:pPr>
        <w:ind w:left="269" w:hanging="269"/>
        <w:spacing w:after="0" w:line="197" w:lineRule="auto"/>
        <w:tabs>
          <w:tab w:leader="none" w:pos="269" w:val="left"/>
        </w:tabs>
        <w:numPr>
          <w:ilvl w:val="0"/>
          <w:numId w:val="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deferred consideration paid and payable in connection with the Sunder acquisition was accounted for on the Company’s balance sheet as of September 28, 2025, as (i) $5.7 million within Additional paid-in capital, (ii) $5.7 million within Accrued expenses and other current liabilities, and (iii) $5.7 million within Other long-term liabilities.</w:t>
      </w:r>
    </w:p>
    <w:p>
      <w:pPr>
        <w:spacing w:after="0" w:line="16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37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49"/>
          </w:cols>
          <w:pgMar w:left="311" w:top="35"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5"/>
          <w:szCs w:val="15"/>
          <w:b w:val="1"/>
          <w:bCs w:val="1"/>
          <w:color w:val="auto"/>
        </w:rPr>
        <w:t>SUNPOWER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 Organization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Description of business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SunPower Inc. and Subsidiaries (“SunPower” or the “Company”) is the rebranded name of Complete Solaria, Inc.. The rebranding was effective April 22, 2025. References to the Company and SunPower include the same entity under its previous name of “Complete Solaria”.</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 The Company is headquartered in Orem, Utah.</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Complete Solar, Inc. (“Complete Solar”) was incorporated in Delaware on February 22, 2010. Through February 2022, the Company operated as Complete Solar, Inc., a single legal entity.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Subsequently, Complete Solar Holdings changed its name to “Complete Solaria, Inc.”</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July 18, 2023, the Company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Company issued stock for the net assets of FACT. The net assets of FACT were stated at historical cost, with no goodwill or other intangible assets recorded.</w:t>
      </w:r>
    </w:p>
    <w:p>
      <w:pPr>
        <w:spacing w:after="0" w:line="1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On August 5, 2024, the Company entered into an Asset Purchase Agreement (the “</w:t>
      </w:r>
      <w:r>
        <w:rPr>
          <w:rFonts w:ascii="Times New Roman" w:cs="Times New Roman" w:eastAsia="Times New Roman" w:hAnsi="Times New Roman"/>
          <w:sz w:val="15"/>
          <w:szCs w:val="15"/>
          <w:b w:val="1"/>
          <w:bCs w:val="1"/>
          <w:color w:val="auto"/>
        </w:rPr>
        <w:t>APA</w:t>
      </w:r>
      <w:r>
        <w:rPr>
          <w:rFonts w:ascii="Times New Roman" w:cs="Times New Roman" w:eastAsia="Times New Roman" w:hAnsi="Times New Roman"/>
          <w:sz w:val="15"/>
          <w:szCs w:val="15"/>
          <w:color w:val="auto"/>
        </w:rPr>
        <w:t>”) with SunPower Corporation and SunPower Corporation’s direct and indirect subsidiaries (collectively, the “</w:t>
      </w:r>
      <w:r>
        <w:rPr>
          <w:rFonts w:ascii="Times New Roman" w:cs="Times New Roman" w:eastAsia="Times New Roman" w:hAnsi="Times New Roman"/>
          <w:sz w:val="15"/>
          <w:szCs w:val="15"/>
          <w:b w:val="1"/>
          <w:bCs w:val="1"/>
          <w:color w:val="auto"/>
        </w:rPr>
        <w:t>SunPower Debtors</w:t>
      </w:r>
      <w:r>
        <w:rPr>
          <w:rFonts w:ascii="Times New Roman" w:cs="Times New Roman" w:eastAsia="Times New Roman" w:hAnsi="Times New Roman"/>
          <w:sz w:val="15"/>
          <w:szCs w:val="15"/>
          <w:color w:val="auto"/>
        </w:rPr>
        <w:t>”) providing for the Company’s purchase of certain assets relating to the Blue Raven Solar business, New Homes Business and Non-Installing Dealer network previously operated by the SunPower Debtors (“</w:t>
      </w:r>
      <w:r>
        <w:rPr>
          <w:rFonts w:ascii="Times New Roman" w:cs="Times New Roman" w:eastAsia="Times New Roman" w:hAnsi="Times New Roman"/>
          <w:sz w:val="15"/>
          <w:szCs w:val="15"/>
          <w:b w:val="1"/>
          <w:bCs w:val="1"/>
          <w:color w:val="auto"/>
        </w:rPr>
        <w:t>SunPower Acquisition</w:t>
      </w:r>
      <w:r>
        <w:rPr>
          <w:rFonts w:ascii="Times New Roman" w:cs="Times New Roman" w:eastAsia="Times New Roman" w:hAnsi="Times New Roman"/>
          <w:sz w:val="15"/>
          <w:szCs w:val="15"/>
          <w:color w:val="auto"/>
        </w:rPr>
        <w:t>”). The APA was entered into in connection with a voluntary petition filed by SunPower Corporation under Chapter 11 of the United States Code, 11 U.S.C.§§ 101-1532. The SunPower Acquisition was approved on September 23, 2024, by the United States Bankruptcy Court for the District of Delaware. The Company completed the acquisition in the Company’s fiscal fourth quarter on September 30, 2024.</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On September 21, 2025, the Company and Complete Solar, Inc, a subsidiary of the Company, entered into a Membership Interest Purchase Agreement (“</w:t>
      </w:r>
      <w:r>
        <w:rPr>
          <w:rFonts w:ascii="Times New Roman" w:cs="Times New Roman" w:eastAsia="Times New Roman" w:hAnsi="Times New Roman"/>
          <w:sz w:val="15"/>
          <w:szCs w:val="15"/>
          <w:b w:val="1"/>
          <w:bCs w:val="1"/>
          <w:color w:val="auto"/>
        </w:rPr>
        <w:t>MIPA</w:t>
      </w:r>
      <w:r>
        <w:rPr>
          <w:rFonts w:ascii="Times New Roman" w:cs="Times New Roman" w:eastAsia="Times New Roman" w:hAnsi="Times New Roman"/>
          <w:sz w:val="15"/>
          <w:szCs w:val="15"/>
          <w:color w:val="auto"/>
        </w:rPr>
        <w:t>”) with Sunder Energy LLC (“Sunder”) and the seller, Chicken Parm Pizza LLC (“</w:t>
      </w:r>
      <w:r>
        <w:rPr>
          <w:rFonts w:ascii="Times New Roman" w:cs="Times New Roman" w:eastAsia="Times New Roman" w:hAnsi="Times New Roman"/>
          <w:sz w:val="15"/>
          <w:szCs w:val="15"/>
          <w:b w:val="1"/>
          <w:bCs w:val="1"/>
          <w:color w:val="auto"/>
        </w:rPr>
        <w:t>Seller/Member”</w:t>
      </w:r>
      <w:r>
        <w:rPr>
          <w:rFonts w:ascii="Times New Roman" w:cs="Times New Roman" w:eastAsia="Times New Roman" w:hAnsi="Times New Roman"/>
          <w:sz w:val="15"/>
          <w:szCs w:val="15"/>
          <w:color w:val="auto"/>
        </w:rPr>
        <w:t>), the sole member of Sunder. The acquisition of Sunder was completed on September 24, 2025, and the financial results of Sunder have been included in the Company’s unaudited condensed consolidated financial statements since the date of acquisition. Refer to Note 3 – Business Combinations for a description of Sunder.</w:t>
      </w:r>
    </w:p>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 xml:space="preserve">The aforementioned acquisitions were accounted for as business combinations in accordance with ASC 805,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xml:space="preserve"> as more fully described in Note 3 – Business Combinations.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completed its legal renaming to SunPower Inc. in the period ended September 28, 2025.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5"/>
          <w:szCs w:val="15"/>
          <w:b w:val="1"/>
          <w:bCs w:val="1"/>
          <w:i w:val="1"/>
          <w:iCs w:val="1"/>
          <w:color w:val="auto"/>
        </w:rPr>
        <w:t>(b) Liquidity and going concern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Since inception through September 28, 2025, the Company has incurred recurring losses and negative cash flows from operations. The Company’s loss from continuing operations was $30.1 million for the thirty-nine-week period ended September 28, 2025. As of that date, the Company had an accumulated deficit of $442.6 million, total debt of $204.3 million, and cash and cash equivalents, excluding restricted cash, of $5.1 million. The Company anticipates that operating losses and negative operating cash flows may continue in the near term, which raises substantial doubt about its ability to continue as a going concern.</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Management is actively pursuing plans to mitigate these conditions, including obtaining additional capital resources through equity or debt financing and leveraging support from significant shareholders when necessary. Historically, the Company has raised funds through private placements of equity securities, issuance of convertible notes and debt, and proceeds from mergers. During the year, funding from significant shareholders, has supported working capital requirements, and similar measures may be considered in the upcoming periods.</w:t>
      </w:r>
    </w:p>
    <w:p>
      <w:pPr>
        <w:spacing w:after="0" w:line="14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Management plans to proactively position the Company to access capital markets once eligible and pursue strategic opportunities to strengthen liquidity. Given the one-year eligibility requirement for Form S-3 after regaining current filer status, the Company will focus on alternative financing options to maintain flexibility and efficiency in capital raising.</w:t>
      </w:r>
    </w:p>
    <w:p>
      <w:pPr>
        <w:spacing w:after="0" w:line="13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However, there can be no assurance that these plans will be successful or that financing will be available on favorable terms. If adequate funding cannot be secured, the Company may need to reevaluate its operating plan, which could include reducing expenditure, extending payment terms with suppliers, liquidating assets, or suspending certain programs.</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Basis of presentation</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interim unaudited condensed consolidated financial statements include the accounts of the Company and its wholly-owned subsidiaries. All material intercompany balances and transactions have been eliminated in consolidation.</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accompanying interim condensed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condensed consolidated financial statements do not include all the information and disclosures required by U.S. GAAP for complete financial statements. In the opinion of management, these interim unaudited condensed consolidated financial statements reflect all adjustments, consisting of normal recurring adjustments, necessary to present fairly the Company’s financial position as of September 28, 2025, and the results of operations for the thirteen and thirty-nine week periods ended September 28, 2025 and September 29, 2024. The results of operations for interim periods are not necessarily indicative of the results to be expected for the full year or any other future period. These interim unaudited condensed consolidated financial statements and related notes should be read in conjunction with the audited consolidated financial statements and related notes for the fiscal year ended December 29, 2024, included in the Company’s Annual Report on Form 10-K filed with the SEC on April 30, 2025.</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Company’s operates on a 52-to-53-week fiscal year that ends on the Sunday closest to December 31. The Company’s fiscal year for 2024 ended December 29, 2024. The Company’s third fiscal quarters for 2025 and 2024 in this report on Form 10-Q ended on September 28, 2025 (“Third Quarter 2025”) and September 29, 2024 (“Third Quarter 2024”),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5"/>
          <w:szCs w:val="15"/>
          <w:b w:val="1"/>
          <w:bCs w:val="1"/>
          <w:i w:val="1"/>
          <w:iCs w:val="1"/>
          <w:color w:val="auto"/>
        </w:rPr>
        <w:t>(b) Cash and cash equivalents and restricted cash</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 xml:space="preserve">The Company reconciles cash, cash equivalents, and restricted cash reported in its unaudited condensed consolidated balance sheets that aggregate to the beginning and ending balances shown in the Company’s unaudited condensed consolidated statements of cash flows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3"/>
        </w:trPr>
        <w:tc>
          <w:tcPr>
            <w:tcW w:w="8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Pr>
          <w:p>
            <w:pPr>
              <w:spacing w:after="0"/>
              <w:rPr>
                <w:sz w:val="14"/>
                <w:szCs w:val="14"/>
                <w:color w:val="auto"/>
              </w:rPr>
            </w:pPr>
          </w:p>
        </w:tc>
        <w:tc>
          <w:tcPr>
            <w:tcW w:w="1020" w:type="dxa"/>
            <w:vAlign w:val="bottom"/>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4"/>
                <w:szCs w:val="14"/>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13,378</w:t>
            </w:r>
          </w:p>
        </w:tc>
        <w:tc>
          <w:tcPr>
            <w:tcW w:w="100" w:type="dxa"/>
            <w:vAlign w:val="bottom"/>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3,841</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3,841</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8,913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 Estimated credit losses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recognizes an allowance for credit losses at the time a receivable is recorded based on the Company’s estimate of expected credit losses, historical write-off experience, and current account knowledge, and adjusts this estimate over the life of the receivable as needed. The Company evaluates the aggregation and risk characteristics of a receivable pool and develops loss rates that reflect historical collections over the time horizon that the Company is exposed to credit risk, and payment terms or conditions that may materially affect future forecasts.</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The following table summarizes the allowance for credit loss activity as of and for the periods ended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78"/>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6"/>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r>
      <w:tr>
        <w:trPr>
          <w:trHeight w:val="175"/>
        </w:trPr>
        <w:tc>
          <w:tcPr>
            <w:tcW w:w="86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302"/>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gridSpan w:val="2"/>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(9,846)</w:t>
            </w:r>
          </w:p>
        </w:tc>
        <w:tc>
          <w:tcPr>
            <w:tcW w:w="100" w:type="dxa"/>
            <w:vAlign w:val="bottom"/>
            <w:gridSpan w:val="2"/>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Provision charged to earnings</w:t>
            </w:r>
          </w:p>
        </w:tc>
        <w:tc>
          <w:tcPr>
            <w:tcW w:w="80" w:type="dxa"/>
            <w:vAlign w:val="bottom"/>
          </w:tcPr>
          <w:p>
            <w:pPr>
              <w:spacing w:after="0"/>
              <w:rPr>
                <w:sz w:val="15"/>
                <w:szCs w:val="15"/>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(4,159)</w:t>
            </w:r>
          </w:p>
        </w:tc>
        <w:tc>
          <w:tcPr>
            <w:tcW w:w="8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(4,204)</w:t>
            </w: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Amounts written off, net of recoveries and other adjustments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1,048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80" w:type="dxa"/>
            <w:vAlign w:val="bottom"/>
            <w:shd w:val="clear" w:color="auto" w:fill="CCEEFF"/>
          </w:tcPr>
          <w:p>
            <w:pPr>
              <w:spacing w:after="0"/>
              <w:rPr>
                <w:sz w:val="18"/>
                <w:szCs w:val="18"/>
                <w:color w:val="auto"/>
              </w:rPr>
            </w:pPr>
          </w:p>
        </w:tc>
      </w:tr>
      <w:tr>
        <w:trPr>
          <w:trHeight w:val="168"/>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Balance at end of period</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(4,812</w:t>
            </w:r>
          </w:p>
        </w:tc>
        <w:tc>
          <w:tcPr>
            <w:tcW w:w="220" w:type="dxa"/>
            <w:vAlign w:val="bottom"/>
            <w:tcBorders>
              <w:top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(13,009</w:t>
            </w:r>
          </w:p>
        </w:tc>
        <w:tc>
          <w:tcPr>
            <w:tcW w:w="1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 Contract liabilities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 xml:space="preserve">Contract liabilities consist of deferred revenue and customer advances, which represent consideration received from a customer prior to transferring control of goods or services to the customer under the terms of a sales contract. Total contract liabilities balances as of the respective dates are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4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40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4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r>
      <w:tr>
        <w:trPr>
          <w:trHeight w:val="203"/>
        </w:trPr>
        <w:tc>
          <w:tcPr>
            <w:tcW w:w="4000" w:type="dxa"/>
            <w:vAlign w:val="bottom"/>
          </w:tcPr>
          <w:p>
            <w:pPr>
              <w:spacing w:after="0"/>
              <w:rPr>
                <w:sz w:val="17"/>
                <w:szCs w:val="17"/>
                <w:color w:val="auto"/>
              </w:rPr>
            </w:pPr>
          </w:p>
        </w:tc>
        <w:tc>
          <w:tcPr>
            <w:tcW w:w="5820" w:type="dxa"/>
            <w:vAlign w:val="bottom"/>
            <w:gridSpan w:val="2"/>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r>
      <w:tr>
        <w:trPr>
          <w:trHeight w:val="182"/>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 liabilities current and noncurrent</w:t>
            </w:r>
          </w:p>
        </w:tc>
        <w:tc>
          <w:tcPr>
            <w:tcW w:w="46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(11,426)</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(10,921)</w:t>
            </w:r>
          </w:p>
        </w:tc>
        <w:tc>
          <w:tcPr>
            <w:tcW w:w="100" w:type="dxa"/>
            <w:vAlign w:val="bottom"/>
            <w:tcBorders>
              <w:top w:val="single" w:sz="8" w:color="CCEEFF"/>
            </w:tcBorders>
            <w:shd w:val="clear" w:color="auto" w:fill="CCEEFF"/>
          </w:tcPr>
          <w:p>
            <w:pPr>
              <w:spacing w:after="0"/>
              <w:rPr>
                <w:sz w:val="15"/>
                <w:szCs w:val="15"/>
                <w:color w:val="auto"/>
              </w:rPr>
            </w:pPr>
          </w:p>
        </w:tc>
      </w:tr>
      <w:tr>
        <w:trPr>
          <w:trHeight w:val="549"/>
        </w:trPr>
        <w:tc>
          <w:tcPr>
            <w:tcW w:w="400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4"/>
          </w:tcPr>
          <w:p>
            <w:pPr>
              <w:ind w:left="1480"/>
              <w:spacing w:after="0"/>
              <w:rPr>
                <w:sz w:val="20"/>
                <w:szCs w:val="20"/>
                <w:color w:val="auto"/>
              </w:rPr>
            </w:pPr>
            <w:r>
              <w:rPr>
                <w:rFonts w:ascii="Times New Roman" w:cs="Times New Roman" w:eastAsia="Times New Roman" w:hAnsi="Times New Roman"/>
                <w:sz w:val="15"/>
                <w:szCs w:val="15"/>
                <w:color w:val="auto"/>
              </w:rPr>
              <w:t>F-10</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58" w:right="319" w:bottom="1440" w:gutter="0" w:footer="0" w:header="0"/>
        </w:sectPr>
      </w:pPr>
    </w:p>
    <w:bookmarkStart w:id="145" w:name="page146"/>
    <w:bookmarkEnd w:id="145"/>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Most installation projects are completed within 12-months. As such, a significant portion of the Company’s contract liabilities is reflected within current liabilities in the accompanying condensed consolidated balance sheets. Contract liabilities for installation projects expected to be completed beyond 12 months are classified as noncurrent obligations in the accompanying condensed consolidated balance sheets.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 Revenue recognition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Revenue is recognized for Residential Solar Installation and New Homes Business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amount of revenue recognized reflects the consideration which the Company expects to be entitled to receive in exchange for the products and services. To achieve this core principle, the Company applies the following five steps: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1. Identification of the contract(s) with a customer;</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2. Identification of the performance obligations in the contracts(s);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3. Determination of the transaction price;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4. Allocation of the transaction price to the performance obligations;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5. Recognition of the revenue when, or as, the Company satisfies a performance obligation.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Residential Solar Installation revenues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Company’s Residential Solar Installation segment sells products through a network of installing and non-installing dealers and resellers, as well as its internal sales team. The Company’s contracts with customers include three primary contract types:</w:t>
      </w:r>
    </w:p>
    <w:p>
      <w:pPr>
        <w:spacing w:after="0" w:line="130" w:lineRule="exact"/>
        <w:rPr>
          <w:sz w:val="20"/>
          <w:szCs w:val="20"/>
          <w:color w:val="auto"/>
        </w:rPr>
      </w:pPr>
    </w:p>
    <w:p>
      <w:pPr>
        <w:jc w:val="both"/>
        <w:ind w:left="540" w:hanging="276"/>
        <w:spacing w:after="0" w:line="273" w:lineRule="auto"/>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Cash agreements </w:t>
      </w:r>
      <w:r>
        <w:rPr>
          <w:rFonts w:ascii="Times New Roman" w:cs="Times New Roman" w:eastAsia="Times New Roman" w:hAnsi="Times New Roman"/>
          <w:sz w:val="15"/>
          <w:szCs w:val="15"/>
          <w:color w:val="auto"/>
        </w:rPr>
        <w:t>– The Company contracts directly with homeowners who purchase the solar energy system and related services from the Company. Customers are invoiced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billing schedule, where the majority of the transaction price is due upon installation with an additional payment due when the system passes inspection by the authority having jurisdiction.</w:t>
      </w:r>
    </w:p>
    <w:p>
      <w:pPr>
        <w:spacing w:after="0" w:line="139" w:lineRule="exact"/>
        <w:rPr>
          <w:rFonts w:ascii="Times New Roman" w:cs="Times New Roman" w:eastAsia="Times New Roman" w:hAnsi="Times New Roman"/>
          <w:sz w:val="15"/>
          <w:szCs w:val="15"/>
          <w:color w:val="auto"/>
        </w:rPr>
      </w:pPr>
    </w:p>
    <w:p>
      <w:pPr>
        <w:jc w:val="both"/>
        <w:ind w:left="540" w:hanging="276"/>
        <w:spacing w:after="0" w:line="266" w:lineRule="auto"/>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Financing partner agreements </w:t>
      </w:r>
      <w:r>
        <w:rPr>
          <w:rFonts w:ascii="Times New Roman" w:cs="Times New Roman" w:eastAsia="Times New Roman" w:hAnsi="Times New Roman"/>
          <w:sz w:val="15"/>
          <w:szCs w:val="15"/>
          <w:color w:val="auto"/>
        </w:rPr>
        <w:t>– In its financing partner agreements, the Company contracts directly with homeowners for the purchase of the solar energy system and related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p>
      <w:pPr>
        <w:spacing w:after="0" w:line="145" w:lineRule="exact"/>
        <w:rPr>
          <w:rFonts w:ascii="Times New Roman" w:cs="Times New Roman" w:eastAsia="Times New Roman" w:hAnsi="Times New Roman"/>
          <w:sz w:val="15"/>
          <w:szCs w:val="15"/>
          <w:color w:val="auto"/>
        </w:rPr>
      </w:pPr>
    </w:p>
    <w:p>
      <w:pPr>
        <w:jc w:val="both"/>
        <w:ind w:left="540" w:hanging="276"/>
        <w:spacing w:after="0" w:line="263" w:lineRule="auto"/>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Power purchase agreements and lease agreements </w:t>
      </w:r>
      <w:r>
        <w:rPr>
          <w:rFonts w:ascii="Times New Roman" w:cs="Times New Roman" w:eastAsia="Times New Roman" w:hAnsi="Times New Roman"/>
          <w:sz w:val="15"/>
          <w:szCs w:val="15"/>
          <w:color w:val="auto"/>
        </w:rPr>
        <w:t>– The Company contracts directly with a leasing partner to perform the solar energy system installation, and the homeowner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5"/>
          <w:szCs w:val="15"/>
          <w:i w:val="1"/>
          <w:iCs w:val="1"/>
          <w:color w:val="auto"/>
        </w:rPr>
        <w:t>New Homes Business revenues</w:t>
      </w:r>
    </w:p>
    <w:p>
      <w:pPr>
        <w:spacing w:after="0" w:line="1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5"/>
          <w:szCs w:val="15"/>
          <w:color w:val="auto"/>
        </w:rPr>
        <w:t>The Company’s New Homes Business segment sells through a network of home builders as well as its internal sales team. The Company’s contracts with customers include two primary contract types:</w:t>
      </w:r>
    </w:p>
    <w:p>
      <w:pPr>
        <w:spacing w:after="0" w:line="130" w:lineRule="exact"/>
        <w:rPr>
          <w:sz w:val="20"/>
          <w:szCs w:val="20"/>
          <w:color w:val="auto"/>
        </w:rPr>
      </w:pPr>
    </w:p>
    <w:p>
      <w:pPr>
        <w:ind w:left="540" w:hanging="276"/>
        <w:spacing w:after="0" w:line="293" w:lineRule="auto"/>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Cash agreements </w:t>
      </w:r>
      <w:r>
        <w:rPr>
          <w:rFonts w:ascii="Times New Roman" w:cs="Times New Roman" w:eastAsia="Times New Roman" w:hAnsi="Times New Roman"/>
          <w:sz w:val="15"/>
          <w:szCs w:val="15"/>
          <w:color w:val="auto"/>
        </w:rPr>
        <w:t>– The Company contracts directly with homebuilders who purchase the solar energy system from the Company and are the customers in the transaction.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Company’s customers are invoiced upon the completion of installation.</w:t>
      </w:r>
    </w:p>
    <w:p>
      <w:pPr>
        <w:spacing w:after="0" w:line="125" w:lineRule="exact"/>
        <w:rPr>
          <w:rFonts w:ascii="Times New Roman" w:cs="Times New Roman" w:eastAsia="Times New Roman" w:hAnsi="Times New Roman"/>
          <w:sz w:val="15"/>
          <w:szCs w:val="15"/>
          <w:color w:val="auto"/>
        </w:rPr>
      </w:pPr>
    </w:p>
    <w:p>
      <w:pPr>
        <w:jc w:val="both"/>
        <w:ind w:left="540" w:hanging="276"/>
        <w:spacing w:after="0" w:line="261" w:lineRule="auto"/>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Lease agreements </w:t>
      </w:r>
      <w:r>
        <w:rPr>
          <w:rFonts w:ascii="Times New Roman" w:cs="Times New Roman" w:eastAsia="Times New Roman" w:hAnsi="Times New Roman"/>
          <w:sz w:val="15"/>
          <w:szCs w:val="15"/>
          <w:color w:val="auto"/>
        </w:rPr>
        <w:t>– Prior to SunPower Debtor’s declaration of bankruptcy, certain homeowners had intended to lease a system from SunPower Debtors but were unable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consummate the transaction (as a result of SunPower Debtor’s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Revenue is generally recognized at the transaction price contained within the agreement, net of the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Sunder</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earns revenue from contracts sold to customers for solar installations performed by third-party installation companies. The Company recognizes revenue at a point in time when Permission to Operate (“PTO”) is complete. The Company acts as an agent in these arrangements and records revenue on a net basis. The Company does not have significant financing components in its contracts. The Company does not provide warranty services and does not record a warranty reserve.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Costs to obtain and fulfill contracts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Company’s costs to obtain and fulfill contracts, when recognized, associated with systems sales are expensed as sales commission and cost of revenue, respectively. In addition, incentives the Company provides to its customers, such as discounts and rebates, are recorded net to the revenue the Company has recognized on the solar power system.</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1"/>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Disaggregation of revenue</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Refer to the table below for the Company’s revenue recognized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5"/>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80" w:type="dxa"/>
            <w:vAlign w:val="bottom"/>
          </w:tcPr>
          <w:p>
            <w:pPr>
              <w:spacing w:after="0"/>
              <w:rPr>
                <w:sz w:val="24"/>
                <w:szCs w:val="24"/>
                <w:color w:val="auto"/>
              </w:rPr>
            </w:pPr>
          </w:p>
        </w:tc>
        <w:tc>
          <w:tcPr>
            <w:tcW w:w="248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36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Revenue recognized over time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38,579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5,536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114,097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20,068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4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Residential Solar Installation</w:t>
            </w: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38,579</w:t>
            </w: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5,536</w:t>
            </w: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114,097</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20,068</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Revenue recognized over time</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9,443</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40,075</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Revenue recognized at a point in time</w:t>
            </w: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17,673</w:t>
            </w: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61,787</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New Homes Business</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27,116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101,862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Sunder</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Revenue recognized at a point in time</w:t>
            </w: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4,310</w:t>
            </w: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4,310</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Sunder</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revenue</w:t>
            </w:r>
          </w:p>
        </w:tc>
        <w:tc>
          <w:tcPr>
            <w:tcW w:w="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70,005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5,536</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220,269</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20,068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Total revenue recognized over time</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48,022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5,536</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154,172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20,068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 recognized at a point in time</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21,983</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66,097</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All revenue was generated in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Remaining performance obligations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elected the practical expedient not to disclose the remaining performance obligations for contracts that are less than one year in length.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Incremental costs of obtaining customer contracts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expenses in accordance with the timing of the related revenue recognition. Amortization of deferred commissions is recorded as sales commissions in the accompanying unaudited condensed consolidated statements of operations and comprehensive loss. As of September 28, 2025 and December 29, 2024, deferred commissions were not material.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(f) Prepaid expenses and other current assets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summarizes the components of prepaid expenses and other current assets: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86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3"/>
        </w:trPr>
        <w:tc>
          <w:tcPr>
            <w:tcW w:w="8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Pr>
          <w:p>
            <w:pPr>
              <w:spacing w:after="0"/>
              <w:rPr>
                <w:sz w:val="14"/>
                <w:szCs w:val="14"/>
                <w:color w:val="auto"/>
              </w:rPr>
            </w:pPr>
          </w:p>
        </w:tc>
        <w:tc>
          <w:tcPr>
            <w:tcW w:w="1020" w:type="dxa"/>
            <w:vAlign w:val="bottom"/>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4"/>
                <w:szCs w:val="14"/>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costs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20,737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3,759</w:t>
            </w:r>
          </w:p>
        </w:tc>
        <w:tc>
          <w:tcPr>
            <w:tcW w:w="100" w:type="dxa"/>
            <w:vAlign w:val="bottom"/>
            <w:shd w:val="clear" w:color="auto" w:fill="CCEEFF"/>
          </w:tcPr>
          <w:p>
            <w:pPr>
              <w:spacing w:after="0"/>
              <w:rPr>
                <w:sz w:val="15"/>
                <w:szCs w:val="15"/>
                <w:color w:val="auto"/>
              </w:rPr>
            </w:pPr>
          </w:p>
        </w:tc>
      </w:tr>
      <w:tr>
        <w:trPr>
          <w:trHeight w:val="185"/>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4,447</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prepaid expenses and other current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20,830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 Recent accounting pronouncements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Accounting pronouncements adopted</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In July 2025, the FASB issued ASU 2025-05 “Measurement of Credit Losses for Accounts Receivable and Contract Assets” which provides an update to all entities with a practical expedient when estimating expected credit losses. 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in the thirteen week period ended September 28, 2025. The impact of the adoption was not material to the condensed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5"/>
          <w:szCs w:val="15"/>
          <w:i w:val="1"/>
          <w:iCs w:val="1"/>
          <w:color w:val="auto"/>
        </w:rPr>
        <w:t>Accounting pronouncements not yet adopted</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December 2023, the Financial Accounting Standards Board (“FASB”) issued Accounting Standards Update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will adopt this ASU in its annual report for the fiscal year ending December 28, 2025. The Company is assessing the impact of adopting this guidance on its consolidated financial statements.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November 2024, the FASB issued ASU 2024-03, Income Statement-Reporting Comprehensive Income-Expense Disaggregation Disclosures (Subtopic 220-40): Disaggregation of Income Statement Expenses, which requires the disaggregation of certain expenses in the notes of the financial statements to provide enhanced transparency into the expense captions presented on the face of the income statement. The FASB subsequently issued ASU 2025-01 “Income Statement-Reporting Comprehensive Income-Expense Disaggregation Disclosures (Subtopic 220-40): Clarifying the Effective Date”,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November 2024, the FASB issued ASU No. 2024-04, Debt-Debt with Conversion and Other Options (Subtopic 470-20) (“ASU 2024-04”).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consolidated financial statements.</w:t>
      </w:r>
    </w:p>
    <w:p>
      <w:pPr>
        <w:spacing w:after="0" w:line="15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In March 2024, the FASB issued ASU 2024-02 “Codification Improvements-Amendments to Remove References to the Concepts Statements”,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September 2025, the FASB issued ASU 2025-06 “Targeted improvements to the Accounting for Internal-Use Software”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 Changes in related parties</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Transactions with CRSEF Solis Holdings, LLC and its affiliates (“Carlyle”), have been disclosed as related party transactions until it ceased being a significant shareholder in the Company. Beginning in the thirteen week period ended June 29, 2025, transactions with Carlyle are no longer deemed related party transactions. The Company continues to engage in transactions Carlyle as it is a creditor of the Company’s 12.0% senior unsecured convertible notes. Refer to Note 9 – Borrowings and Derivative Liabilities for additional information.</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Polar Multi-Strategy Master Fund (“Polar”) ceased to be a related party, and as a result, beginning in the thirteen week period ended June 29, 2025, transactions with Polar are no longer deemed related party transactions. Transactions previously reported with Polar have been disclosed as related party transactions. The Company continues to have a forward purchase agreement obligation with Polar.</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5"/>
          <w:szCs w:val="15"/>
          <w:b w:val="1"/>
          <w:bCs w:val="1"/>
          <w:color w:val="auto"/>
        </w:rPr>
        <w:t>(3) Business Combinations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SunPower Acquisition</w:t>
      </w:r>
    </w:p>
    <w:p>
      <w:pPr>
        <w:spacing w:after="0" w:line="19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 xml:space="preserve">On September 30, 2024, commencing the Company’s fourth quarter of fiscal 2024, the Company completed the acquisition of certain assets and assumption of certain liabilities from SunPower Debtors for an aggregate cash consideration paid of $54.5 million, net of $1.0 million of cash acquired. Prior to its declaration of bankruptcy SunPower Debtors was a solar technology and energy services provider that offered fully integrated solar, storage, and home energy solutions to customers in the United States through an array of hardware, software, and “Smart Energy” solutions. The financial results of the SunPower Acquisition have been included in the Company’s unaudited condensed consolidated financial statements since the date of the SunPower Acquisition. This transaction was accounted for as a business combination in accordance with ASC 805, </w:t>
      </w:r>
      <w:r>
        <w:rPr>
          <w:rFonts w:ascii="Times New Roman" w:cs="Times New Roman" w:eastAsia="Times New Roman" w:hAnsi="Times New Roman"/>
          <w:sz w:val="15"/>
          <w:szCs w:val="15"/>
          <w:i w:val="1"/>
          <w:iCs w:val="1"/>
          <w:color w:val="auto"/>
        </w:rPr>
        <w:t>Business Combinations.</w:t>
      </w:r>
    </w:p>
    <w:p>
      <w:pPr>
        <w:spacing w:after="0" w:line="15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Transaction costs incurred in connection with the close of the SunPower Acquisition totaled $7.2 million and were expensed by the Company and included in general and administrative expenses within the fourth quarter of the Company’s fiscal year ended December 29, 2024.</w:t>
      </w:r>
    </w:p>
    <w:p>
      <w:pPr>
        <w:spacing w:after="0" w:line="1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fair values of assets acquired and liabilities assumed were based upon a preliminary valuation. Consistent with previous disclosures, the Company disclosed that further adjustments to the Company’s inventory were expected in the thirty-nine week period ended September 28, 2025. As of September 28, 2025, the Company finalized the fair value of the assets acquired and liabilities assumed. The inventory acquired related to 1) work-in-progress at various stages of completion as of the acquisition date for which further analysis was required in order to determine which systems could be sold to a financing partner (for which the remaining units determined to be sellable to that partner were resolved during the thirteen-weeks ended September 28, 2025) and 2) completed systems that were acquired as of the acquisition date for which uncertainty existed due to unsettled matters with the SunPower Bankruptcy Estate (which were resolved in connection with the Company’s settlement with the SunPower Bankruptcy Estate). The final determination of the fair values of the inventory and intangibles upon settlement of these matters resulted in a revision to the inventory and intangibles with the offsetting adjustment to goodwill during the measurement period. The Company concluded that the finalization of the measurement period adjustment resulted in the recognition of $2.2 million of costs of goods in the thirteen week period ended September 28, 2025 that would have been recognized in the thirteen week period ended June 29, 2025 (which the Company concluded was not material to the financial statements for the thirteen-and thirty-nine week periods ended September 28,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following table summarizes the provisional and final fair values of identifiable assets acquired and liabilities assumed and measurement period adjustments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Final</w:t>
            </w:r>
          </w:p>
        </w:tc>
      </w:tr>
      <w:tr>
        <w:trPr>
          <w:trHeight w:val="182"/>
        </w:trPr>
        <w:tc>
          <w:tcPr>
            <w:tcW w:w="4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fair values</w:t>
            </w:r>
          </w:p>
        </w:tc>
      </w:tr>
      <w:tr>
        <w:trPr>
          <w:trHeight w:val="182"/>
        </w:trPr>
        <w:tc>
          <w:tcPr>
            <w:tcW w:w="4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w w:val="99"/>
              </w:rPr>
              <w:t>Measurement</w:t>
            </w:r>
          </w:p>
        </w:tc>
        <w:tc>
          <w:tcPr>
            <w:tcW w:w="80" w:type="dxa"/>
            <w:vAlign w:val="bottom"/>
          </w:tcPr>
          <w:p>
            <w:pPr>
              <w:spacing w:after="0"/>
              <w:rPr>
                <w:sz w:val="15"/>
                <w:szCs w:val="15"/>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as of</w:t>
            </w:r>
          </w:p>
        </w:tc>
      </w:tr>
      <w:tr>
        <w:trPr>
          <w:trHeight w:val="182"/>
        </w:trPr>
        <w:tc>
          <w:tcPr>
            <w:tcW w:w="4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Provisional</w:t>
            </w:r>
          </w:p>
        </w:tc>
        <w:tc>
          <w:tcPr>
            <w:tcW w:w="100" w:type="dxa"/>
            <w:vAlign w:val="bottom"/>
          </w:tcPr>
          <w:p>
            <w:pPr>
              <w:spacing w:after="0"/>
              <w:rPr>
                <w:sz w:val="15"/>
                <w:szCs w:val="15"/>
                <w:color w:val="auto"/>
              </w:rPr>
            </w:pPr>
          </w:p>
        </w:tc>
        <w:tc>
          <w:tcPr>
            <w:tcW w:w="1260" w:type="dxa"/>
            <w:vAlign w:val="bottom"/>
            <w:gridSpan w:val="2"/>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w w:val="98"/>
              </w:rPr>
              <w:t>September 28,</w:t>
            </w:r>
          </w:p>
        </w:tc>
      </w:tr>
      <w:tr>
        <w:trPr>
          <w:trHeight w:val="203"/>
        </w:trPr>
        <w:tc>
          <w:tcPr>
            <w:tcW w:w="42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fair values</w:t>
            </w:r>
          </w:p>
        </w:tc>
        <w:tc>
          <w:tcPr>
            <w:tcW w:w="100" w:type="dxa"/>
            <w:vAlign w:val="bottom"/>
          </w:tcPr>
          <w:p>
            <w:pPr>
              <w:spacing w:after="0"/>
              <w:rPr>
                <w:sz w:val="17"/>
                <w:szCs w:val="17"/>
                <w:color w:val="auto"/>
              </w:rPr>
            </w:pPr>
          </w:p>
        </w:tc>
        <w:tc>
          <w:tcPr>
            <w:tcW w:w="1260" w:type="dxa"/>
            <w:vAlign w:val="bottom"/>
            <w:gridSpan w:val="2"/>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adjustment</w:t>
            </w:r>
          </w:p>
        </w:tc>
        <w:tc>
          <w:tcPr>
            <w:tcW w:w="8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r>
      <w:tr>
        <w:trPr>
          <w:trHeight w:val="182"/>
        </w:trPr>
        <w:tc>
          <w:tcPr>
            <w:tcW w:w="4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assets acquired:</w:t>
            </w:r>
          </w:p>
        </w:tc>
        <w:tc>
          <w:tcPr>
            <w:tcW w:w="3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1,000</w:t>
            </w:r>
          </w:p>
        </w:tc>
      </w:tr>
      <w:tr>
        <w:trPr>
          <w:trHeight w:val="182"/>
        </w:trPr>
        <w:tc>
          <w:tcPr>
            <w:tcW w:w="4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receivable</w:t>
            </w: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16,614</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16,614</w:t>
            </w:r>
          </w:p>
        </w:tc>
      </w:tr>
      <w:tr>
        <w:trPr>
          <w:trHeight w:val="182"/>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Inventories</w:t>
            </w:r>
          </w:p>
        </w:tc>
        <w:tc>
          <w:tcPr>
            <w:tcW w:w="3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27,706</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20,682</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48,388</w:t>
            </w:r>
          </w:p>
        </w:tc>
      </w:tr>
      <w:tr>
        <w:trPr>
          <w:trHeight w:val="182"/>
        </w:trPr>
        <w:tc>
          <w:tcPr>
            <w:tcW w:w="4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2,219</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2,219</w:t>
            </w:r>
          </w:p>
        </w:tc>
      </w:tr>
      <w:tr>
        <w:trPr>
          <w:trHeight w:val="182"/>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Property and equipment</w:t>
            </w:r>
          </w:p>
        </w:tc>
        <w:tc>
          <w:tcPr>
            <w:tcW w:w="3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5,867</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5,867</w:t>
            </w:r>
          </w:p>
        </w:tc>
      </w:tr>
      <w:tr>
        <w:trPr>
          <w:trHeight w:val="182"/>
        </w:trPr>
        <w:tc>
          <w:tcPr>
            <w:tcW w:w="4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2,506</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2,506</w:t>
            </w:r>
          </w:p>
        </w:tc>
      </w:tr>
      <w:tr>
        <w:trPr>
          <w:trHeight w:val="182"/>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3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541</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541</w:t>
            </w:r>
          </w:p>
        </w:tc>
      </w:tr>
      <w:tr>
        <w:trPr>
          <w:trHeight w:val="182"/>
        </w:trPr>
        <w:tc>
          <w:tcPr>
            <w:tcW w:w="4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Intangibles</w:t>
            </w: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18,100</w:t>
            </w:r>
          </w:p>
        </w:tc>
        <w:tc>
          <w:tcPr>
            <w:tcW w:w="100" w:type="dxa"/>
            <w:vAlign w:val="bottom"/>
          </w:tcPr>
          <w:p>
            <w:pPr>
              <w:spacing w:after="0"/>
              <w:rPr>
                <w:sz w:val="15"/>
                <w:szCs w:val="15"/>
                <w:color w:val="auto"/>
              </w:rPr>
            </w:pPr>
          </w:p>
        </w:tc>
        <w:tc>
          <w:tcPr>
            <w:tcW w:w="126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(2,206)</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15,894</w:t>
            </w:r>
          </w:p>
        </w:tc>
      </w:tr>
      <w:tr>
        <w:trPr>
          <w:trHeight w:val="182"/>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revenue</w:t>
            </w:r>
          </w:p>
        </w:tc>
        <w:tc>
          <w:tcPr>
            <w:tcW w:w="3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(7,361)</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(7,361)</w:t>
            </w:r>
          </w:p>
        </w:tc>
      </w:tr>
      <w:tr>
        <w:trPr>
          <w:trHeight w:val="182"/>
        </w:trPr>
        <w:tc>
          <w:tcPr>
            <w:tcW w:w="4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(5,270)</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(5,270)</w:t>
            </w:r>
          </w:p>
        </w:tc>
      </w:tr>
      <w:tr>
        <w:trPr>
          <w:trHeight w:val="182"/>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(13,955)</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(13,955)</w:t>
            </w:r>
          </w:p>
        </w:tc>
      </w:tr>
      <w:tr>
        <w:trPr>
          <w:trHeight w:val="182"/>
        </w:trPr>
        <w:tc>
          <w:tcPr>
            <w:tcW w:w="4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(2,963)</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(2,963)</w:t>
            </w:r>
          </w:p>
        </w:tc>
      </w:tr>
      <w:tr>
        <w:trPr>
          <w:trHeight w:val="213"/>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(8,980)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(8,980)</w:t>
            </w:r>
          </w:p>
        </w:tc>
      </w:tr>
      <w:tr>
        <w:trPr>
          <w:trHeight w:val="168"/>
        </w:trPr>
        <w:tc>
          <w:tcPr>
            <w:tcW w:w="4200" w:type="dxa"/>
            <w:vAlign w:val="bottom"/>
            <w:tcBorders>
              <w:top w:val="single" w:sz="8" w:color="CCEEFF"/>
              <w:bottom w:val="single" w:sz="8" w:color="CCEEFF"/>
            </w:tcBorders>
          </w:tcPr>
          <w:p>
            <w:pPr>
              <w:ind w:left="120"/>
              <w:spacing w:after="0" w:line="165" w:lineRule="exact"/>
              <w:rPr>
                <w:sz w:val="20"/>
                <w:szCs w:val="20"/>
                <w:color w:val="auto"/>
              </w:rPr>
            </w:pPr>
            <w:r>
              <w:rPr>
                <w:rFonts w:ascii="Times New Roman" w:cs="Times New Roman" w:eastAsia="Times New Roman" w:hAnsi="Times New Roman"/>
                <w:sz w:val="15"/>
                <w:szCs w:val="15"/>
                <w:color w:val="auto"/>
              </w:rPr>
              <w:t>Fair value of net tangible assets acquired</w:t>
            </w:r>
          </w:p>
        </w:tc>
        <w:tc>
          <w:tcPr>
            <w:tcW w:w="312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36,024</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18,476</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54,500</w:t>
            </w:r>
          </w:p>
        </w:tc>
        <w:tc>
          <w:tcPr>
            <w:tcW w:w="100" w:type="dxa"/>
            <w:vAlign w:val="bottom"/>
            <w:tcBorders>
              <w:top w:val="single" w:sz="8" w:color="CCEEFF"/>
              <w:bottom w:val="single" w:sz="8" w:color="CCEEFF"/>
            </w:tcBorders>
          </w:tcPr>
          <w:p>
            <w:pPr>
              <w:spacing w:after="0"/>
              <w:rPr>
                <w:sz w:val="14"/>
                <w:szCs w:val="14"/>
                <w:color w:val="auto"/>
              </w:rPr>
            </w:pPr>
          </w:p>
        </w:tc>
      </w:tr>
      <w:tr>
        <w:trPr>
          <w:trHeight w:val="202"/>
        </w:trPr>
        <w:tc>
          <w:tcPr>
            <w:tcW w:w="4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Goodwill recognized</w:t>
            </w:r>
          </w:p>
        </w:tc>
        <w:tc>
          <w:tcPr>
            <w:tcW w:w="3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18,476</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(18,476</w:t>
            </w:r>
          </w:p>
        </w:tc>
        <w:tc>
          <w:tcPr>
            <w:tcW w:w="2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68"/>
        </w:trPr>
        <w:tc>
          <w:tcPr>
            <w:tcW w:w="4200" w:type="dxa"/>
            <w:vAlign w:val="bottom"/>
          </w:tcPr>
          <w:p>
            <w:pPr>
              <w:ind w:left="120"/>
              <w:spacing w:after="0" w:line="165" w:lineRule="exact"/>
              <w:rPr>
                <w:sz w:val="20"/>
                <w:szCs w:val="20"/>
                <w:color w:val="auto"/>
              </w:rPr>
            </w:pPr>
            <w:r>
              <w:rPr>
                <w:rFonts w:ascii="Times New Roman" w:cs="Times New Roman" w:eastAsia="Times New Roman" w:hAnsi="Times New Roman"/>
                <w:sz w:val="15"/>
                <w:szCs w:val="15"/>
                <w:color w:val="auto"/>
              </w:rPr>
              <w:t>Consideration transferred</w:t>
            </w:r>
          </w:p>
        </w:tc>
        <w:tc>
          <w:tcPr>
            <w:tcW w:w="31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54,500</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54,500</w:t>
            </w:r>
          </w:p>
        </w:tc>
        <w:tc>
          <w:tcPr>
            <w:tcW w:w="100" w:type="dxa"/>
            <w:vAlign w:val="bottom"/>
          </w:tcPr>
          <w:p>
            <w:pPr>
              <w:spacing w:after="0"/>
              <w:rPr>
                <w:sz w:val="14"/>
                <w:szCs w:val="14"/>
                <w:color w:val="auto"/>
              </w:rPr>
            </w:pPr>
          </w:p>
        </w:tc>
      </w:tr>
      <w:tr>
        <w:trPr>
          <w:trHeight w:val="20"/>
        </w:trPr>
        <w:tc>
          <w:tcPr>
            <w:tcW w:w="4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3"/>
        </w:trPr>
        <w:tc>
          <w:tcPr>
            <w:tcW w:w="4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jc w:val="right"/>
              <w:ind w:right="1604"/>
              <w:spacing w:after="0"/>
              <w:rPr>
                <w:sz w:val="20"/>
                <w:szCs w:val="20"/>
                <w:color w:val="auto"/>
              </w:rPr>
            </w:pPr>
            <w:r>
              <w:rPr>
                <w:rFonts w:ascii="Times New Roman" w:cs="Times New Roman" w:eastAsia="Times New Roman" w:hAnsi="Times New Roman"/>
                <w:sz w:val="15"/>
                <w:szCs w:val="15"/>
                <w:color w:val="auto"/>
              </w:rPr>
              <w:t>F-15</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58"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5"/>
          <w:szCs w:val="15"/>
          <w:b w:val="1"/>
          <w:bCs w:val="1"/>
          <w:i w:val="1"/>
          <w:iCs w:val="1"/>
          <w:color w:val="auto"/>
        </w:rPr>
        <w:t>Sunder Energy LLC Acquisition</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On September 24, 2025 (“Closing”), the Company completed the acquisition of all assets and assumption of all liabilities of the Membership Interests of Sunder for aggregate consideration of $57.8 million. Sunder is a solar sales company. The Company acquired Sunder as a strategic acquisition to expand its overall market share and its penetration into more U.S. states. Per the terms of the MIPA, the Company acquired all of the outstanding membership interest of Sunder for (1) $20.7 million in cash, subject to certain working capital and other adjustments; (2) a promissory note to the Member in the principal amount of $20.0 million (“Seller Note”); (3) and 10.0 million shares of the Company’s common stock (valued at the closing share price on September 24, 2025, of $1.71 per share), consisting of (i) 3,333,334 shares of the Company’s common stock and (ii) subject to approval of such issuances by the Company’s stockholders, (x) an additional 3,333,333 shares of the Company’s common stock to be issued on the 12-month anniversary of the Closing and (y) a further 3,333,333 shares of the Company’s common stock to be issued on the 18-month anniversary of the Closing (“Deferred Consideration Shares”). In lieu of issuing the Deferred Consideration Shares, the Company, in its sole discretion, may elect to pay the Member a cash payment equal to the number of Deferred Consideration Shares otherwise issuable by the Company multiplied by the volume-weighted average price of the Company’s common stock as quoted on Nasdaq for the 30-trading day period ending two business days prior to the date on which the applicable Deferred Consideration Shares were otherwise issuable (“Cash in Lieu Amount”). If the Company elects to pay the Cash in Lieu Amount, 50% of the Cash in Lieu Amount will be paid on the three-month anniversary of the date on which the applicable Deferred Consideration Shares were otherwise issuable, with the remaining 50% of the Cash in Lieu Amount payable on the 6 month anniversary of the date on which the applicable Deferred Consideration Shares were otherwise issuable. The shares of the Company’s common stock were valued at $17.1 million at the date of acquisition. The deferred consideration paid and payable in connection with the Sunder acquisition was accounted for on the Company’s balance sheet as of September 28, 2025, as (i) $5.7 million within Additional paid-in capital, (ii) $5.7 million within Accrued expenses and other current liabilities, and (iii) $5.7 million within Other long-term liabilities.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The total consideration is summarized as follows </w:t>
            </w:r>
            <w:r>
              <w:rPr>
                <w:rFonts w:ascii="Times New Roman" w:cs="Times New Roman" w:eastAsia="Times New Roman" w:hAnsi="Times New Roman"/>
                <w:sz w:val="15"/>
                <w:szCs w:val="15"/>
                <w:i w:val="1"/>
                <w:iCs w:val="1"/>
                <w:color w:val="auto"/>
              </w:rPr>
              <w:t>(in thousands):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5"/>
        </w:trPr>
        <w:tc>
          <w:tcPr>
            <w:tcW w:w="10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20,689</w:t>
            </w: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Seller note</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20,000</w:t>
            </w: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3.3 million shares of the Company’s common stock</w:t>
            </w:r>
          </w:p>
        </w:tc>
        <w:tc>
          <w:tcPr>
            <w:tcW w:w="4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5,700</w:t>
            </w:r>
          </w:p>
        </w:tc>
      </w:tr>
      <w:tr>
        <w:trPr>
          <w:trHeight w:val="196"/>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Contingent consideration arrangement – up to 6.6 million shares of the Company’s common stock</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11,400</w:t>
            </w:r>
          </w:p>
        </w:tc>
      </w:tr>
      <w:tr>
        <w:trPr>
          <w:trHeight w:val="185"/>
        </w:trPr>
        <w:tc>
          <w:tcPr>
            <w:tcW w:w="10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Fair value of total consideration transferred</w:t>
            </w: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The fair values of assets acquired and liabilities assumed were based upon a preliminary valuation, and the Company’s estimates and assumptions are subject to change within the measurement period. Due to the timing of the acquisition at the end of the September 28, 2025 quarterly period, the purchase price accounting remains open for the components of working capital, identification and valuation of intangibles and allocation of goodwill to reportable segments. The Company has elected the practical expedient within ASC 805-20-30-27 through 805-20-30-30 to recognize and measure contract liabilities in accordance with ASC 606 –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xml:space="preserve"> as if it had originated the acquired contract. Thus, the amount of any contract liabilities immediately prior to the acquisition will be the comparable amounts recognized in the determination of assets acquired and liabilities assumed by the Company.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The following table summarizes the provisional fair value of identifiable assets acquired and liabilities assumed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assets acquired: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receivable</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Property and equipment</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Intangibles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25,922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Contract liabilities</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(11,073)</w:t>
            </w:r>
          </w:p>
        </w:tc>
        <w:tc>
          <w:tcPr>
            <w:tcW w:w="0" w:type="dxa"/>
            <w:vAlign w:val="bottom"/>
          </w:tcPr>
          <w:p>
            <w:pPr>
              <w:spacing w:after="0"/>
              <w:rPr>
                <w:sz w:val="1"/>
                <w:szCs w:val="1"/>
                <w:color w:val="auto"/>
              </w:rPr>
            </w:pP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(184)</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(1,322)</w:t>
            </w:r>
          </w:p>
        </w:tc>
        <w:tc>
          <w:tcPr>
            <w:tcW w:w="0" w:type="dxa"/>
            <w:vAlign w:val="bottom"/>
          </w:tcPr>
          <w:p>
            <w:pPr>
              <w:spacing w:after="0"/>
              <w:rPr>
                <w:sz w:val="1"/>
                <w:szCs w:val="1"/>
                <w:color w:val="auto"/>
              </w:rPr>
            </w:pPr>
          </w:p>
        </w:tc>
      </w:tr>
      <w:tr>
        <w:trPr>
          <w:trHeight w:val="196"/>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(215)</w:t>
            </w:r>
          </w:p>
        </w:tc>
        <w:tc>
          <w:tcPr>
            <w:tcW w:w="0" w:type="dxa"/>
            <w:vAlign w:val="bottom"/>
          </w:tcPr>
          <w:p>
            <w:pPr>
              <w:spacing w:after="0"/>
              <w:rPr>
                <w:sz w:val="1"/>
                <w:szCs w:val="1"/>
                <w:color w:val="auto"/>
              </w:rPr>
            </w:pPr>
          </w:p>
        </w:tc>
      </w:tr>
      <w:tr>
        <w:trPr>
          <w:trHeight w:val="202"/>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Fair value of net tangible assets acquired</w:t>
            </w: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14,878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680" w:type="dxa"/>
            <w:vAlign w:val="bottom"/>
            <w:tcBorders>
              <w:bottom w:val="single" w:sz="8" w:color="CCEEFF"/>
            </w:tcBorders>
          </w:tcPr>
          <w:p>
            <w:pPr>
              <w:ind w:left="120"/>
              <w:spacing w:after="0" w:line="165" w:lineRule="exact"/>
              <w:rPr>
                <w:sz w:val="20"/>
                <w:szCs w:val="20"/>
                <w:color w:val="auto"/>
              </w:rPr>
            </w:pPr>
            <w:r>
              <w:rPr>
                <w:rFonts w:ascii="Times New Roman" w:cs="Times New Roman" w:eastAsia="Times New Roman" w:hAnsi="Times New Roman"/>
                <w:sz w:val="15"/>
                <w:szCs w:val="15"/>
                <w:color w:val="auto"/>
              </w:rPr>
              <w:t>Goodwill recognized</w:t>
            </w:r>
          </w:p>
        </w:tc>
        <w:tc>
          <w:tcPr>
            <w:tcW w:w="1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42,911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Consideration transferred</w:t>
            </w: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57,789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As of the date of acquisition the intangible assets acquired and estimated useful lives were as follows:</w:t>
            </w: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6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68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Estimated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useful life</w:t>
            </w:r>
          </w:p>
        </w:tc>
        <w:tc>
          <w:tcPr>
            <w:tcW w:w="200" w:type="dxa"/>
            <w:vAlign w:val="bottom"/>
          </w:tcPr>
          <w:p>
            <w:pPr>
              <w:spacing w:after="0"/>
              <w:rPr>
                <w:sz w:val="17"/>
                <w:szCs w:val="17"/>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0" w:type="dxa"/>
            <w:vAlign w:val="bottom"/>
          </w:tcPr>
          <w:p>
            <w:pPr>
              <w:spacing w:after="0"/>
              <w:rPr>
                <w:sz w:val="1"/>
                <w:szCs w:val="1"/>
                <w:color w:val="auto"/>
              </w:rPr>
            </w:pPr>
          </w:p>
        </w:tc>
      </w:tr>
      <w:tr>
        <w:trPr>
          <w:trHeight w:val="182"/>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related intangible</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 year</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9,279</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Trademark - Sunder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5 years</w:t>
            </w:r>
          </w:p>
        </w:tc>
        <w:tc>
          <w:tcPr>
            <w:tcW w:w="20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Developed technology - Sunder</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5 years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14,216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Balance at end of period</w:t>
            </w:r>
          </w:p>
        </w:tc>
        <w:tc>
          <w:tcPr>
            <w:tcW w:w="12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25,922</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51" w:name="page152"/>
    <w:bookmarkEnd w:id="151"/>
    <w:p>
      <w:pPr>
        <w:ind w:left="9" w:right="880"/>
        <w:spacing w:after="0" w:line="427" w:lineRule="auto"/>
        <w:rPr>
          <w:sz w:val="20"/>
          <w:szCs w:val="20"/>
          <w:color w:val="auto"/>
        </w:rPr>
      </w:pPr>
      <w:r>
        <w:rPr>
          <w:rFonts w:ascii="Times New Roman" w:cs="Times New Roman" w:eastAsia="Times New Roman" w:hAnsi="Times New Roman"/>
          <w:sz w:val="15"/>
          <w:szCs w:val="15"/>
          <w:color w:val="auto"/>
        </w:rPr>
        <w:t xml:space="preserve">The Sunder acquisition contributed $4.3 million in revenue and $0.3 million of income before income taxes for the period from the acquisition date to September 28, 2025. </w:t>
      </w:r>
      <w:r>
        <w:rPr>
          <w:rFonts w:ascii="Times New Roman" w:cs="Times New Roman" w:eastAsia="Times New Roman" w:hAnsi="Times New Roman"/>
          <w:sz w:val="15"/>
          <w:szCs w:val="15"/>
          <w:b w:val="1"/>
          <w:bCs w:val="1"/>
          <w:i w:val="1"/>
          <w:iCs w:val="1"/>
          <w:color w:val="auto"/>
        </w:rPr>
        <w:t>Unaudited pro forma financial information</w:t>
      </w:r>
    </w:p>
    <w:p>
      <w:pPr>
        <w:spacing w:after="0" w:line="1" w:lineRule="exact"/>
        <w:rPr>
          <w:sz w:val="20"/>
          <w:szCs w:val="20"/>
          <w:color w:val="auto"/>
        </w:rPr>
      </w:pPr>
    </w:p>
    <w:p>
      <w:pPr>
        <w:ind w:left="9"/>
        <w:spacing w:after="0" w:line="287" w:lineRule="auto"/>
        <w:rPr>
          <w:sz w:val="20"/>
          <w:szCs w:val="20"/>
          <w:color w:val="auto"/>
        </w:rPr>
      </w:pPr>
      <w:r>
        <w:rPr>
          <w:rFonts w:ascii="Times New Roman" w:cs="Times New Roman" w:eastAsia="Times New Roman" w:hAnsi="Times New Roman"/>
          <w:sz w:val="15"/>
          <w:szCs w:val="15"/>
          <w:color w:val="auto"/>
        </w:rPr>
        <w:t>The following presents the unaudited pro forma consolidated financial information of the Company for the periods presented, as if the SunPower Acquisition and Sunder had been acquired as of January 1, 2024.</w:t>
      </w:r>
    </w:p>
    <w:p>
      <w:pPr>
        <w:spacing w:after="0" w:line="77" w:lineRule="exact"/>
        <w:rPr>
          <w:sz w:val="20"/>
          <w:szCs w:val="20"/>
          <w:color w:val="auto"/>
        </w:rPr>
      </w:pPr>
    </w:p>
    <w:p>
      <w:pPr>
        <w:ind w:left="9"/>
        <w:spacing w:after="0" w:line="287" w:lineRule="auto"/>
        <w:rPr>
          <w:sz w:val="20"/>
          <w:szCs w:val="20"/>
          <w:color w:val="auto"/>
        </w:rPr>
      </w:pPr>
      <w:r>
        <w:rPr>
          <w:rFonts w:ascii="Times New Roman" w:cs="Times New Roman" w:eastAsia="Times New Roman" w:hAnsi="Times New Roman"/>
          <w:sz w:val="15"/>
          <w:szCs w:val="15"/>
          <w:color w:val="auto"/>
        </w:rPr>
        <w:t xml:space="preserve">The unaudited pro forma combined financial information does not give effect to any cost savings, operating synergies or revenue synergies that may result from the acquisition of SunPower Acquisition or Sunder. The pro forma results do not necessarily reflect the actual results of operations of the combined business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84"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5"/>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r>
      <w:tr>
        <w:trPr>
          <w:trHeight w:val="175"/>
        </w:trPr>
        <w:tc>
          <w:tcPr>
            <w:tcW w:w="86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276,353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319,639</w:t>
            </w:r>
          </w:p>
        </w:tc>
        <w:tc>
          <w:tcPr>
            <w:tcW w:w="100" w:type="dxa"/>
            <w:vAlign w:val="bottom"/>
            <w:shd w:val="clear" w:color="auto" w:fill="CCEEFF"/>
          </w:tcPr>
          <w:p>
            <w:pPr>
              <w:spacing w:after="0"/>
              <w:rPr>
                <w:sz w:val="15"/>
                <w:szCs w:val="15"/>
                <w:color w:val="auto"/>
              </w:rPr>
            </w:pP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Pro forma net loss from continuing operations</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(45,402)</w:t>
            </w:r>
          </w:p>
        </w:tc>
        <w:tc>
          <w:tcPr>
            <w:tcW w:w="8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(364,510)</w:t>
            </w:r>
          </w:p>
        </w:tc>
      </w:tr>
    </w:tbl>
    <w:p>
      <w:pPr>
        <w:spacing w:after="0" w:line="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(4) Fair Value Measurements</w:t>
      </w:r>
    </w:p>
    <w:p>
      <w:pPr>
        <w:spacing w:after="0" w:line="13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 xml:space="preserve">The following table sets forth the Company’s financial assets and liabilities that are measured at fair value, on a recurring basis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146"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5"/>
                <w:szCs w:val="15"/>
                <w:b w:val="1"/>
                <w:bCs w:val="1"/>
                <w:color w:val="auto"/>
              </w:rPr>
              <w:t>As of September 28, 2025</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0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40" w:type="dxa"/>
            <w:vAlign w:val="bottom"/>
          </w:tcPr>
          <w:p>
            <w:pPr>
              <w:spacing w:after="0"/>
              <w:rPr>
                <w:sz w:val="17"/>
                <w:szCs w:val="17"/>
                <w:color w:val="auto"/>
              </w:rPr>
            </w:pPr>
          </w:p>
        </w:tc>
        <w:tc>
          <w:tcPr>
            <w:tcW w:w="88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7"/>
                <w:szCs w:val="17"/>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3,841</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3,841</w:t>
            </w:r>
          </w:p>
        </w:tc>
      </w:tr>
      <w:tr>
        <w:trPr>
          <w:trHeight w:val="208"/>
        </w:trPr>
        <w:tc>
          <w:tcPr>
            <w:tcW w:w="59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auto"/>
              <w:bottom w:val="single" w:sz="8" w:color="auto"/>
            </w:tcBorders>
          </w:tcPr>
          <w:p>
            <w:pPr>
              <w:jc w:val="right"/>
              <w:ind w:right="6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3,841</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ind w:left="780"/>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3,841</w:t>
            </w:r>
          </w:p>
        </w:tc>
        <w:tc>
          <w:tcPr>
            <w:tcW w:w="100" w:type="dxa"/>
            <w:vAlign w:val="bottom"/>
            <w:tcBorders>
              <w:top w:val="single" w:sz="8" w:color="CCEEFF"/>
              <w:bottom w:val="single" w:sz="8" w:color="CCEEFF"/>
            </w:tcBorders>
          </w:tcPr>
          <w:p>
            <w:pPr>
              <w:spacing w:after="0"/>
              <w:rPr>
                <w:sz w:val="18"/>
                <w:szCs w:val="18"/>
                <w:color w:val="auto"/>
              </w:rPr>
            </w:pPr>
          </w:p>
        </w:tc>
      </w:tr>
      <w:tr>
        <w:trPr>
          <w:trHeight w:val="17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July 2024 Notes derivative liability</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21,664</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21,664</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2024 Notes derivative liability – related parties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13,940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13,940</w:t>
            </w: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September 2024 derivative liability</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53,301</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53,301</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2024 derivative liability – related parties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5,922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5,922</w:t>
            </w: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July 2025 Note derivative liability– related party</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3,468</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3,468</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2025 Notes derivative liability</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16,274</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16,274</w:t>
            </w: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Forward purchase agreement liabilities</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4,301</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4,301</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warrants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2,588</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2,588</w:t>
            </w: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Private placement warrants</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1,880</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1,880</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Working capital warrants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215</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215</w:t>
            </w: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SAFE Agreement with related party</w:t>
            </w:r>
          </w:p>
        </w:tc>
        <w:tc>
          <w:tcPr>
            <w:tcW w:w="2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497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497</w:t>
            </w: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124,050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As of December 29, 2024</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0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40" w:type="dxa"/>
            <w:vAlign w:val="bottom"/>
          </w:tcPr>
          <w:p>
            <w:pPr>
              <w:spacing w:after="0"/>
              <w:rPr>
                <w:sz w:val="17"/>
                <w:szCs w:val="17"/>
                <w:color w:val="auto"/>
              </w:rPr>
            </w:pPr>
          </w:p>
        </w:tc>
        <w:tc>
          <w:tcPr>
            <w:tcW w:w="88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3,841</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3,841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3,841</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3,841</w:t>
            </w:r>
          </w:p>
        </w:tc>
        <w:tc>
          <w:tcPr>
            <w:tcW w:w="0" w:type="dxa"/>
            <w:vAlign w:val="bottom"/>
          </w:tcPr>
          <w:p>
            <w:pPr>
              <w:spacing w:after="0"/>
              <w:rPr>
                <w:sz w:val="1"/>
                <w:szCs w:val="1"/>
                <w:color w:val="auto"/>
              </w:rPr>
            </w:pPr>
          </w:p>
        </w:tc>
      </w:tr>
      <w:tr>
        <w:trPr>
          <w:trHeight w:val="176"/>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July 2024 Notes derivative liability</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13,563</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13,563</w:t>
            </w: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2024 Notes derivative liability – related parties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21,127</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21,127</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September 2024 Notes derivative liability</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55,474</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55,474</w:t>
            </w: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2024 Notes derivative liability – related parties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6,958</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6,958</w:t>
            </w:r>
          </w:p>
        </w:tc>
        <w:tc>
          <w:tcPr>
            <w:tcW w:w="0" w:type="dxa"/>
            <w:vAlign w:val="bottom"/>
          </w:tcPr>
          <w:p>
            <w:pPr>
              <w:spacing w:after="0"/>
              <w:rPr>
                <w:sz w:val="1"/>
                <w:szCs w:val="1"/>
                <w:color w:val="auto"/>
              </w:rPr>
            </w:pPr>
          </w:p>
        </w:tc>
      </w:tr>
      <w:tr>
        <w:trPr>
          <w:trHeight w:val="216"/>
        </w:trPr>
        <w:tc>
          <w:tcPr>
            <w:tcW w:w="596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Forward purchase agreement liabilities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3,494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3,494</w:t>
            </w: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warrants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862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862</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Private placement warrants</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627</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627</w:t>
            </w: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Working capital warrants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193"/>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SAFE Agreement with related party</w:t>
            </w: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384</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384</w:t>
            </w:r>
          </w:p>
        </w:tc>
        <w:tc>
          <w:tcPr>
            <w:tcW w:w="0" w:type="dxa"/>
            <w:vAlign w:val="bottom"/>
          </w:tcPr>
          <w:p>
            <w:pPr>
              <w:spacing w:after="0"/>
              <w:rPr>
                <w:sz w:val="1"/>
                <w:szCs w:val="1"/>
                <w:color w:val="auto"/>
              </w:rPr>
            </w:pPr>
          </w:p>
        </w:tc>
      </w:tr>
      <w:tr>
        <w:trPr>
          <w:trHeight w:val="23"/>
        </w:trPr>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102,561</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102,561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269" w:hanging="269"/>
        <w:spacing w:after="0"/>
        <w:tabs>
          <w:tab w:leader="none" w:pos="269" w:val="left"/>
        </w:tabs>
        <w:numPr>
          <w:ilvl w:val="0"/>
          <w:numId w:val="8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$1.3 million due to related parties as of and December 29, 2024.</w:t>
      </w:r>
    </w:p>
    <w:p>
      <w:pPr>
        <w:spacing w:after="0" w:line="126" w:lineRule="exact"/>
        <w:rPr>
          <w:sz w:val="20"/>
          <w:szCs w:val="20"/>
          <w:color w:val="auto"/>
        </w:rPr>
      </w:pPr>
    </w:p>
    <w:p>
      <w:pPr>
        <w:ind w:left="9"/>
        <w:spacing w:after="0" w:line="265" w:lineRule="auto"/>
        <w:rPr>
          <w:sz w:val="20"/>
          <w:szCs w:val="20"/>
          <w:color w:val="auto"/>
        </w:rPr>
      </w:pPr>
      <w:r>
        <w:rPr>
          <w:rFonts w:ascii="Times New Roman" w:cs="Times New Roman" w:eastAsia="Times New Roman" w:hAnsi="Times New Roman"/>
          <w:sz w:val="15"/>
          <w:szCs w:val="15"/>
          <w:color w:val="auto"/>
        </w:rPr>
        <w:t>Subsequent to issuance, changes in the fair value of the derivative liabilities, liability classified warrants, forward purchase agreements and SAFEs are recorded within Other expense, net in the Company’s unaudited condensed consolidated statements of operations and comprehensive loss.</w:t>
      </w:r>
    </w:p>
    <w:p>
      <w:pPr>
        <w:spacing w:after="0" w:line="2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62"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5"/>
          <w:szCs w:val="15"/>
          <w:i w:val="1"/>
          <w:iCs w:val="1"/>
          <w:color w:val="auto"/>
        </w:rPr>
        <w:t>Derivative liabilities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issued derivative liabilities in conjunction with the issuance of certain convertible notes in July 2024 September 2024 and July 2025 (as defined in Note 9 – Borrowings and Derivative Liabilities). The Company valued the derivative liabilities as of September 28, 2025, and December 29, 2024 using a binomial lattice model, which includes Level 3 unobservable inputs. The key inputs used were dividend yield, the Company’s common stock price, volatility, and risk-free rate of the derivative liabilities.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The July 2024 Notes derivative liability valuation included the following inputs:</w:t>
            </w:r>
          </w:p>
        </w:tc>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78"/>
        </w:trPr>
        <w:tc>
          <w:tcPr>
            <w:tcW w:w="5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3"/>
        </w:trPr>
        <w:tc>
          <w:tcPr>
            <w:tcW w:w="5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Pr>
          <w:p>
            <w:pPr>
              <w:spacing w:after="0"/>
              <w:rPr>
                <w:sz w:val="14"/>
                <w:szCs w:val="14"/>
                <w:color w:val="auto"/>
              </w:rPr>
            </w:pPr>
          </w:p>
        </w:tc>
        <w:tc>
          <w:tcPr>
            <w:tcW w:w="1020" w:type="dxa"/>
            <w:vAlign w:val="bottom"/>
          </w:tcPr>
          <w:p>
            <w:pPr>
              <w:jc w:val="center"/>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December 29,</w:t>
            </w:r>
          </w:p>
        </w:tc>
        <w:tc>
          <w:tcPr>
            <w:tcW w:w="140" w:type="dxa"/>
            <w:vAlign w:val="bottom"/>
          </w:tcPr>
          <w:p>
            <w:pPr>
              <w:spacing w:after="0"/>
              <w:rPr>
                <w:sz w:val="14"/>
                <w:szCs w:val="14"/>
                <w:color w:val="auto"/>
              </w:rPr>
            </w:pPr>
          </w:p>
        </w:tc>
      </w:tr>
      <w:tr>
        <w:trPr>
          <w:trHeight w:val="203"/>
        </w:trPr>
        <w:tc>
          <w:tcPr>
            <w:tcW w:w="5380" w:type="dxa"/>
            <w:vAlign w:val="bottom"/>
            <w:tcBorders>
              <w:bottom w:val="single" w:sz="8" w:color="CCEEFF"/>
            </w:tcBorders>
          </w:tcPr>
          <w:p>
            <w:pPr>
              <w:spacing w:after="0"/>
              <w:rPr>
                <w:sz w:val="17"/>
                <w:szCs w:val="17"/>
                <w:color w:val="auto"/>
              </w:rPr>
            </w:pPr>
          </w:p>
        </w:tc>
        <w:tc>
          <w:tcPr>
            <w:tcW w:w="3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40" w:type="dxa"/>
            <w:vAlign w:val="bottom"/>
            <w:tcBorders>
              <w:bottom w:val="single" w:sz="8" w:color="CCEEFF"/>
            </w:tcBorders>
          </w:tcPr>
          <w:p>
            <w:pPr>
              <w:spacing w:after="0"/>
              <w:rPr>
                <w:sz w:val="17"/>
                <w:szCs w:val="17"/>
                <w:color w:val="auto"/>
              </w:rPr>
            </w:pP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Coupon rate</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12.0%</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Conversion rate</w:t>
            </w: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595.24</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595.24</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price</w:t>
            </w:r>
          </w:p>
        </w:tc>
        <w:tc>
          <w:tcPr>
            <w:tcW w:w="3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1.68</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price</w:t>
            </w:r>
          </w:p>
        </w:tc>
        <w:tc>
          <w:tcPr>
            <w:tcW w:w="3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1.81</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4.43%</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73.9%</w:t>
            </w: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62.0%</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r>
      <w:tr>
        <w:trPr>
          <w:trHeight w:val="365"/>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The September 2024 Notes derivative liability valuation included the following inputs:</w:t>
            </w:r>
          </w:p>
        </w:tc>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5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3"/>
        </w:trPr>
        <w:tc>
          <w:tcPr>
            <w:tcW w:w="5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Pr>
          <w:p>
            <w:pPr>
              <w:spacing w:after="0"/>
              <w:rPr>
                <w:sz w:val="14"/>
                <w:szCs w:val="14"/>
                <w:color w:val="auto"/>
              </w:rPr>
            </w:pPr>
          </w:p>
        </w:tc>
        <w:tc>
          <w:tcPr>
            <w:tcW w:w="1020" w:type="dxa"/>
            <w:vAlign w:val="bottom"/>
          </w:tcPr>
          <w:p>
            <w:pPr>
              <w:jc w:val="center"/>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December 29,</w:t>
            </w:r>
          </w:p>
        </w:tc>
        <w:tc>
          <w:tcPr>
            <w:tcW w:w="140" w:type="dxa"/>
            <w:vAlign w:val="bottom"/>
          </w:tcPr>
          <w:p>
            <w:pPr>
              <w:spacing w:after="0"/>
              <w:rPr>
                <w:sz w:val="14"/>
                <w:szCs w:val="14"/>
                <w:color w:val="auto"/>
              </w:rPr>
            </w:pPr>
          </w:p>
        </w:tc>
      </w:tr>
      <w:tr>
        <w:trPr>
          <w:trHeight w:val="203"/>
        </w:trPr>
        <w:tc>
          <w:tcPr>
            <w:tcW w:w="5380" w:type="dxa"/>
            <w:vAlign w:val="bottom"/>
            <w:tcBorders>
              <w:bottom w:val="single" w:sz="8" w:color="CCEEFF"/>
            </w:tcBorders>
          </w:tcPr>
          <w:p>
            <w:pPr>
              <w:spacing w:after="0"/>
              <w:rPr>
                <w:sz w:val="17"/>
                <w:szCs w:val="17"/>
                <w:color w:val="auto"/>
              </w:rPr>
            </w:pPr>
          </w:p>
        </w:tc>
        <w:tc>
          <w:tcPr>
            <w:tcW w:w="3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40" w:type="dxa"/>
            <w:vAlign w:val="bottom"/>
            <w:tcBorders>
              <w:bottom w:val="single" w:sz="8" w:color="CCEEFF"/>
            </w:tcBorders>
          </w:tcPr>
          <w:p>
            <w:pPr>
              <w:spacing w:after="0"/>
              <w:rPr>
                <w:sz w:val="17"/>
                <w:szCs w:val="17"/>
                <w:color w:val="auto"/>
              </w:rPr>
            </w:pP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Coupon rate</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7.0%</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Conversion rate</w:t>
            </w: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467.84</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467.84</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price</w:t>
            </w:r>
          </w:p>
        </w:tc>
        <w:tc>
          <w:tcPr>
            <w:tcW w:w="3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2.14</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price</w:t>
            </w:r>
          </w:p>
        </w:tc>
        <w:tc>
          <w:tcPr>
            <w:tcW w:w="3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1.81</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4.43%</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77.8%</w:t>
            </w: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66.6%</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r>
      <w:tr>
        <w:trPr>
          <w:trHeight w:val="365"/>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The July 2025 Note derivative liability valuation included the following inputs:</w:t>
            </w:r>
          </w:p>
        </w:tc>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5"/>
        </w:trPr>
        <w:tc>
          <w:tcPr>
            <w:tcW w:w="5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82"/>
        </w:trPr>
        <w:tc>
          <w:tcPr>
            <w:tcW w:w="53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September 28,</w:t>
            </w:r>
          </w:p>
        </w:tc>
      </w:tr>
      <w:tr>
        <w:trPr>
          <w:trHeight w:val="203"/>
        </w:trPr>
        <w:tc>
          <w:tcPr>
            <w:tcW w:w="5380" w:type="dxa"/>
            <w:vAlign w:val="bottom"/>
            <w:tcBorders>
              <w:bottom w:val="single" w:sz="8" w:color="CCEEFF"/>
            </w:tcBorders>
          </w:tcPr>
          <w:p>
            <w:pPr>
              <w:spacing w:after="0"/>
              <w:rPr>
                <w:sz w:val="17"/>
                <w:szCs w:val="17"/>
                <w:color w:val="auto"/>
              </w:rPr>
            </w:pPr>
          </w:p>
        </w:tc>
        <w:tc>
          <w:tcPr>
            <w:tcW w:w="32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40" w:type="dxa"/>
            <w:vAlign w:val="bottom"/>
            <w:tcBorders>
              <w:bottom w:val="single" w:sz="8" w:color="CCEEFF"/>
            </w:tcBorders>
          </w:tcPr>
          <w:p>
            <w:pPr>
              <w:spacing w:after="0"/>
              <w:rPr>
                <w:sz w:val="17"/>
                <w:szCs w:val="17"/>
                <w:color w:val="auto"/>
              </w:rPr>
            </w:pP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Coupon rate</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12.0%</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Conversion rate</w:t>
            </w: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558.66</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price</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1.79</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price</w:t>
            </w: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1.77</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3.7%</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75.1%</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r>
      <w:tr>
        <w:trPr>
          <w:trHeight w:val="365"/>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The September 2025 Notes derivative liability valuation included the following inputs:</w:t>
            </w:r>
          </w:p>
        </w:tc>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5"/>
        </w:trPr>
        <w:tc>
          <w:tcPr>
            <w:tcW w:w="5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82"/>
        </w:trPr>
        <w:tc>
          <w:tcPr>
            <w:tcW w:w="53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September 28,</w:t>
            </w:r>
          </w:p>
        </w:tc>
      </w:tr>
      <w:tr>
        <w:trPr>
          <w:trHeight w:val="203"/>
        </w:trPr>
        <w:tc>
          <w:tcPr>
            <w:tcW w:w="5380" w:type="dxa"/>
            <w:vAlign w:val="bottom"/>
            <w:tcBorders>
              <w:bottom w:val="single" w:sz="8" w:color="CCEEFF"/>
            </w:tcBorders>
          </w:tcPr>
          <w:p>
            <w:pPr>
              <w:spacing w:after="0"/>
              <w:rPr>
                <w:sz w:val="17"/>
                <w:szCs w:val="17"/>
                <w:color w:val="auto"/>
              </w:rPr>
            </w:pPr>
          </w:p>
        </w:tc>
        <w:tc>
          <w:tcPr>
            <w:tcW w:w="32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40" w:type="dxa"/>
            <w:vAlign w:val="bottom"/>
            <w:tcBorders>
              <w:bottom w:val="single" w:sz="8" w:color="CCEEFF"/>
            </w:tcBorders>
          </w:tcPr>
          <w:p>
            <w:pPr>
              <w:spacing w:after="0"/>
              <w:rPr>
                <w:sz w:val="17"/>
                <w:szCs w:val="17"/>
                <w:color w:val="auto"/>
              </w:rPr>
            </w:pP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Coupon rate</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7.0%</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Conversion rate</w:t>
            </w: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467.84</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price</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2.14</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price</w:t>
            </w: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1.77</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3.7%</w:t>
            </w:r>
          </w:p>
        </w:tc>
      </w:tr>
      <w:tr>
        <w:trPr>
          <w:trHeight w:val="182"/>
        </w:trPr>
        <w:tc>
          <w:tcPr>
            <w:tcW w:w="538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77.8%</w:t>
            </w:r>
          </w:p>
        </w:tc>
      </w:tr>
      <w:tr>
        <w:trPr>
          <w:trHeight w:val="182"/>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3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r>
      <w:tr>
        <w:trPr>
          <w:trHeight w:val="549"/>
        </w:trPr>
        <w:tc>
          <w:tcPr>
            <w:tcW w:w="5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jc w:val="right"/>
              <w:ind w:right="2980"/>
              <w:spacing w:after="0"/>
              <w:rPr>
                <w:sz w:val="20"/>
                <w:szCs w:val="20"/>
                <w:color w:val="auto"/>
              </w:rPr>
            </w:pPr>
            <w:r>
              <w:rPr>
                <w:rFonts w:ascii="Times New Roman" w:cs="Times New Roman" w:eastAsia="Times New Roman" w:hAnsi="Times New Roman"/>
                <w:sz w:val="15"/>
                <w:szCs w:val="15"/>
                <w:color w:val="auto"/>
              </w:rPr>
              <w:t>F-18</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58"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5"/>
          <w:szCs w:val="15"/>
          <w:i w:val="1"/>
          <w:iCs w:val="1"/>
          <w:color w:val="auto"/>
        </w:rPr>
        <w:t>Public warrants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public warrants are measured at fair value on a recurring basis. The public warrants were valued based on the closing price of the publicly traded instrument.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Private placement and working capital warrants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private placement and working capital warrants are measured at fair value. The Company valued the private placement and working capital warrants, based on a Black-Scholes Option Pricing Method, which included the following inputs: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14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75"/>
        </w:trPr>
        <w:tc>
          <w:tcPr>
            <w:tcW w:w="8660" w:type="dxa"/>
            <w:vAlign w:val="bottom"/>
          </w:tcPr>
          <w:p>
            <w:pPr>
              <w:spacing w:after="0"/>
              <w:rPr>
                <w:sz w:val="15"/>
                <w:szCs w:val="15"/>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4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40" w:type="dxa"/>
            <w:vAlign w:val="bottom"/>
          </w:tcPr>
          <w:p>
            <w:pPr>
              <w:spacing w:after="0"/>
              <w:rPr>
                <w:sz w:val="15"/>
                <w:szCs w:val="15"/>
                <w:color w:val="auto"/>
              </w:rPr>
            </w:pPr>
          </w:p>
        </w:tc>
      </w:tr>
      <w:tr>
        <w:trPr>
          <w:trHeight w:val="203"/>
        </w:trPr>
        <w:tc>
          <w:tcPr>
            <w:tcW w:w="86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1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97"/>
              </w:rPr>
              <w:t>2.81 years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w w:val="97"/>
              </w:rPr>
              <w:t>3.56 years</w:t>
            </w:r>
          </w:p>
        </w:tc>
        <w:tc>
          <w:tcPr>
            <w:tcW w:w="140" w:type="dxa"/>
            <w:vAlign w:val="bottom"/>
            <w:shd w:val="clear" w:color="auto" w:fill="CCEEFF"/>
          </w:tcPr>
          <w:p>
            <w:pPr>
              <w:spacing w:after="0"/>
              <w:rPr>
                <w:sz w:val="15"/>
                <w:szCs w:val="15"/>
                <w:color w:val="auto"/>
              </w:rPr>
            </w:pPr>
          </w:p>
        </w:tc>
      </w:tr>
      <w:tr>
        <w:trPr>
          <w:trHeight w:val="182"/>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169.0%</w:t>
            </w:r>
          </w:p>
        </w:tc>
        <w:tc>
          <w:tcPr>
            <w:tcW w:w="8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68.1%</w:t>
            </w: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3.65%</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4.39%</w:t>
            </w:r>
          </w:p>
        </w:tc>
      </w:tr>
      <w:tr>
        <w:trPr>
          <w:trHeight w:val="197"/>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0.00%</w:t>
            </w:r>
          </w:p>
        </w:tc>
        <w:tc>
          <w:tcPr>
            <w:tcW w:w="8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0.00%</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Forward purchase agreement liabilities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the Third Quarter 2025, the Company entered into individual amendments with Meteora Special Opportunity Fund I, LP (“MSOF”), Meteora Capital Partners, LP (“MCP”), and Meteora Select Trading Opportunities Master, LP (“MSTO”) (with MSOF, MCP, and MSTO collectively as “Meteora”), Sandia Investment Management LP (“Sandia”) and Polar (collectively, the “FPA Amendments”) which among other things, extended the valuation date applicable to each of the FPAs.</w:t>
      </w:r>
    </w:p>
    <w:p>
      <w:pPr>
        <w:spacing w:after="0" w:line="14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FPAs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75"/>
        </w:trPr>
        <w:tc>
          <w:tcPr>
            <w:tcW w:w="8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40" w:type="dxa"/>
            <w:vAlign w:val="bottom"/>
          </w:tcPr>
          <w:p>
            <w:pPr>
              <w:spacing w:after="0"/>
              <w:rPr>
                <w:sz w:val="15"/>
                <w:szCs w:val="15"/>
                <w:color w:val="auto"/>
              </w:rPr>
            </w:pPr>
          </w:p>
        </w:tc>
      </w:tr>
      <w:tr>
        <w:trPr>
          <w:trHeight w:val="203"/>
        </w:trPr>
        <w:tc>
          <w:tcPr>
            <w:tcW w:w="86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VWAP</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w w:val="91"/>
              </w:rPr>
              <w:t>1.86</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40" w:type="dxa"/>
            <w:vAlign w:val="bottom"/>
            <w:shd w:val="clear" w:color="auto" w:fill="CCEEFF"/>
          </w:tcPr>
          <w:p>
            <w:pPr>
              <w:spacing w:after="0"/>
              <w:rPr>
                <w:sz w:val="15"/>
                <w:szCs w:val="15"/>
                <w:color w:val="auto"/>
              </w:rPr>
            </w:pPr>
          </w:p>
        </w:tc>
      </w:tr>
      <w:tr>
        <w:trPr>
          <w:trHeight w:val="182"/>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Simulation period</w:t>
            </w:r>
          </w:p>
        </w:tc>
        <w:tc>
          <w:tcPr>
            <w:tcW w:w="80" w:type="dxa"/>
            <w:vAlign w:val="bottom"/>
          </w:tcPr>
          <w:p>
            <w:pPr>
              <w:spacing w:after="0"/>
              <w:rPr>
                <w:sz w:val="15"/>
                <w:szCs w:val="15"/>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0.80 years</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0.55 years</w:t>
            </w: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3.73%</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4.28%</w:t>
            </w:r>
          </w:p>
        </w:tc>
      </w:tr>
      <w:tr>
        <w:trPr>
          <w:trHeight w:val="197"/>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80" w:type="dxa"/>
            <w:vAlign w:val="bottom"/>
          </w:tcPr>
          <w:p>
            <w:pPr>
              <w:spacing w:after="0"/>
              <w:rPr>
                <w:sz w:val="17"/>
                <w:szCs w:val="17"/>
                <w:color w:val="auto"/>
              </w:rPr>
            </w:pPr>
          </w:p>
        </w:tc>
        <w:tc>
          <w:tcPr>
            <w:tcW w:w="126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84.8%</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117%</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SAFE agreement with related party</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SAFE Agreement was valued based on a conversion probability of 50% based on historical SAFE agreements and a 50% discount rate at the time of conversion as of September 28, 2025, and December 29, 2024.</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54" w:name="page155"/>
    <w:bookmarkEnd w:id="154"/>
    <w:p>
      <w:pPr>
        <w:ind w:left="9"/>
        <w:spacing w:after="0"/>
        <w:rPr>
          <w:sz w:val="20"/>
          <w:szCs w:val="20"/>
          <w:color w:val="auto"/>
        </w:rPr>
      </w:pPr>
      <w:r>
        <w:rPr>
          <w:rFonts w:ascii="Times New Roman" w:cs="Times New Roman" w:eastAsia="Times New Roman" w:hAnsi="Times New Roman"/>
          <w:sz w:val="15"/>
          <w:szCs w:val="15"/>
          <w:i w:val="1"/>
          <w:iCs w:val="1"/>
          <w:color w:val="auto"/>
        </w:rPr>
        <w:t>Financial liabilities not measured at fair value on a recurring basis:</w:t>
      </w:r>
    </w:p>
    <w:p>
      <w:pPr>
        <w:spacing w:after="0" w:line="139"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 xml:space="preserve">The July 2024 Notes, the September 2024 Notes, the July 2025 Note, and the September 2025 Notes were fair valued using a binomial lattice model, which includes Level 3, unobservable inputs. The key inputs used are consistent with those used to fair value the derivative liabilities as discussed under Derivative Liabilities above. The following table sets forth the Company’s financial liabilities that were not measured at fair value, on a non-recurring basis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97"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5"/>
                <w:szCs w:val="15"/>
                <w:b w:val="1"/>
                <w:bCs w:val="1"/>
                <w:color w:val="auto"/>
              </w:rPr>
              <w:t>As of September 28, 2025</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3"/>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line="164"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140" w:type="dxa"/>
            <w:vAlign w:val="bottom"/>
          </w:tcPr>
          <w:p>
            <w:pPr>
              <w:spacing w:after="0"/>
              <w:rPr>
                <w:sz w:val="14"/>
                <w:szCs w:val="14"/>
                <w:color w:val="auto"/>
              </w:rPr>
            </w:pPr>
          </w:p>
        </w:tc>
        <w:tc>
          <w:tcPr>
            <w:tcW w:w="1220" w:type="dxa"/>
            <w:vAlign w:val="bottom"/>
            <w:gridSpan w:val="2"/>
          </w:tcPr>
          <w:p>
            <w:pPr>
              <w:jc w:val="right"/>
              <w:ind w:right="480"/>
              <w:spacing w:after="0" w:line="164" w:lineRule="exact"/>
              <w:rPr>
                <w:sz w:val="20"/>
                <w:szCs w:val="20"/>
                <w:color w:val="auto"/>
              </w:rPr>
            </w:pPr>
            <w:r>
              <w:rPr>
                <w:rFonts w:ascii="Times New Roman" w:cs="Times New Roman" w:eastAsia="Times New Roman" w:hAnsi="Times New Roman"/>
                <w:sz w:val="15"/>
                <w:szCs w:val="15"/>
                <w:b w:val="1"/>
                <w:bCs w:val="1"/>
                <w:color w:val="auto"/>
              </w:rPr>
              <w:t>Estimated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4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0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0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4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3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2024 Notes</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36,998</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34,187</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34,187</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34,187</w:t>
            </w:r>
          </w:p>
        </w:tc>
      </w:tr>
      <w:tr>
        <w:trPr>
          <w:trHeight w:val="182"/>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July 2024 Notes – related parties</w:t>
            </w:r>
          </w:p>
        </w:tc>
        <w:tc>
          <w:tcPr>
            <w:tcW w:w="1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8,155</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22,042</w:t>
            </w:r>
          </w:p>
        </w:tc>
        <w:tc>
          <w:tcPr>
            <w:tcW w:w="20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22,042</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22,042</w:t>
            </w:r>
          </w:p>
        </w:tc>
      </w:tr>
      <w:tr>
        <w:trPr>
          <w:trHeight w:val="18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2024 Notes</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15,750</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78,563</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78,563</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78,563</w:t>
            </w:r>
          </w:p>
        </w:tc>
      </w:tr>
      <w:tr>
        <w:trPr>
          <w:trHeight w:val="182"/>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September 2024 Notes – related parties</w:t>
            </w:r>
          </w:p>
        </w:tc>
        <w:tc>
          <w:tcPr>
            <w:tcW w:w="1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1,714</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8,729</w:t>
            </w:r>
          </w:p>
        </w:tc>
        <w:tc>
          <w:tcPr>
            <w:tcW w:w="20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8,729</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8,729</w:t>
            </w:r>
          </w:p>
        </w:tc>
      </w:tr>
      <w:tr>
        <w:trPr>
          <w:trHeight w:val="18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2025 Note – related party</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1,373</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6,250</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6,250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6,250</w:t>
            </w:r>
          </w:p>
        </w:tc>
      </w:tr>
      <w:tr>
        <w:trPr>
          <w:trHeight w:val="196"/>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September 2025 Notes</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4,218</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25,090</w:t>
            </w:r>
          </w:p>
        </w:tc>
        <w:tc>
          <w:tcPr>
            <w:tcW w:w="200" w:type="dxa"/>
            <w:vAlign w:val="bottom"/>
          </w:tcPr>
          <w:p>
            <w:pPr>
              <w:spacing w:after="0"/>
              <w:rPr>
                <w:sz w:val="17"/>
                <w:szCs w:val="17"/>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25,090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25,090</w:t>
            </w:r>
          </w:p>
        </w:tc>
      </w:tr>
      <w:tr>
        <w:trPr>
          <w:trHeight w:val="185"/>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68,208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174,861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174,861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174,861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3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As of December 29, 2024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3"/>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line="164"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140" w:type="dxa"/>
            <w:vAlign w:val="bottom"/>
          </w:tcPr>
          <w:p>
            <w:pPr>
              <w:spacing w:after="0"/>
              <w:rPr>
                <w:sz w:val="14"/>
                <w:szCs w:val="14"/>
                <w:color w:val="auto"/>
              </w:rPr>
            </w:pPr>
          </w:p>
        </w:tc>
        <w:tc>
          <w:tcPr>
            <w:tcW w:w="1220" w:type="dxa"/>
            <w:vAlign w:val="bottom"/>
            <w:gridSpan w:val="2"/>
          </w:tcPr>
          <w:p>
            <w:pPr>
              <w:jc w:val="right"/>
              <w:ind w:right="480"/>
              <w:spacing w:after="0" w:line="164" w:lineRule="exact"/>
              <w:rPr>
                <w:sz w:val="20"/>
                <w:szCs w:val="20"/>
                <w:color w:val="auto"/>
              </w:rPr>
            </w:pPr>
            <w:r>
              <w:rPr>
                <w:rFonts w:ascii="Times New Roman" w:cs="Times New Roman" w:eastAsia="Times New Roman" w:hAnsi="Times New Roman"/>
                <w:sz w:val="15"/>
                <w:szCs w:val="15"/>
                <w:b w:val="1"/>
                <w:bCs w:val="1"/>
                <w:color w:val="auto"/>
              </w:rPr>
              <w:t>Estimated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4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0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0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4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3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2024 Notes</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17,965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21,390</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21,390</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21,390</w:t>
            </w:r>
          </w:p>
        </w:tc>
      </w:tr>
      <w:tr>
        <w:trPr>
          <w:trHeight w:val="182"/>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July 2024 Notes - related parties</w:t>
            </w:r>
          </w:p>
        </w:tc>
        <w:tc>
          <w:tcPr>
            <w:tcW w:w="1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24,632</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33,323</w:t>
            </w:r>
          </w:p>
        </w:tc>
        <w:tc>
          <w:tcPr>
            <w:tcW w:w="20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33,323</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33,323</w:t>
            </w:r>
          </w:p>
        </w:tc>
      </w:tr>
      <w:tr>
        <w:trPr>
          <w:trHeight w:val="18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2024 Notes</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5,636</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77,245</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77,245</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77,245</w:t>
            </w:r>
          </w:p>
        </w:tc>
      </w:tr>
      <w:tr>
        <w:trPr>
          <w:trHeight w:val="196"/>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September 2024 Notes - related parties</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476</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8,583</w:t>
            </w:r>
          </w:p>
        </w:tc>
        <w:tc>
          <w:tcPr>
            <w:tcW w:w="200" w:type="dxa"/>
            <w:vAlign w:val="bottom"/>
          </w:tcPr>
          <w:p>
            <w:pPr>
              <w:spacing w:after="0"/>
              <w:rPr>
                <w:sz w:val="17"/>
                <w:szCs w:val="17"/>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8,583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8,583</w:t>
            </w:r>
          </w:p>
        </w:tc>
      </w:tr>
      <w:tr>
        <w:trPr>
          <w:trHeight w:val="185"/>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48,709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140,541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140,541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(5) Other Intangible Assets</w:t>
      </w:r>
    </w:p>
    <w:p>
      <w:pPr>
        <w:spacing w:after="0" w:line="196"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 xml:space="preserve">The Company’s other intangible assets were acquired in connection with the SunPower Acquisition and Sunder acquisition transactions. The following table represents the Company’s other intangible assets with finite useful lives as of September 28, 2025, and December 29, 2024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73"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Gross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20" w:type="dxa"/>
            <w:vAlign w:val="bottom"/>
          </w:tcPr>
          <w:p>
            <w:pPr>
              <w:spacing w:after="0"/>
              <w:rPr>
                <w:sz w:val="15"/>
                <w:szCs w:val="15"/>
                <w:color w:val="auto"/>
              </w:rPr>
            </w:pPr>
          </w:p>
        </w:tc>
        <w:tc>
          <w:tcPr>
            <w:tcW w:w="124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Net Book</w:t>
            </w: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As of September 28, 2025</w:t>
            </w: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24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Value</w:t>
            </w:r>
          </w:p>
        </w:tc>
      </w:tr>
      <w:tr>
        <w:trPr>
          <w:trHeight w:val="182"/>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related intangible</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9,279</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9,279</w:t>
            </w: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73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 xml:space="preserve">Trademark – Blue Raven Solar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7,094</w:t>
            </w:r>
          </w:p>
        </w:tc>
        <w:tc>
          <w:tcPr>
            <w:tcW w:w="120" w:type="dxa"/>
            <w:vAlign w:val="bottom"/>
          </w:tcPr>
          <w:p>
            <w:pPr>
              <w:spacing w:after="0"/>
              <w:rPr>
                <w:sz w:val="18"/>
                <w:szCs w:val="18"/>
                <w:color w:val="auto"/>
              </w:rPr>
            </w:pPr>
          </w:p>
        </w:tc>
        <w:tc>
          <w:tcPr>
            <w:tcW w:w="12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(840)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6,254</w:t>
            </w:r>
          </w:p>
        </w:tc>
      </w:tr>
      <w:tr>
        <w:trPr>
          <w:trHeight w:val="216"/>
        </w:trPr>
        <w:tc>
          <w:tcPr>
            <w:tcW w:w="7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Trademark – SunPower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4,300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3,780</w:t>
            </w:r>
          </w:p>
        </w:tc>
      </w:tr>
      <w:tr>
        <w:trPr>
          <w:trHeight w:val="182"/>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Trademark – Sunder</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2,427</w:t>
            </w:r>
          </w:p>
        </w:tc>
        <w:tc>
          <w:tcPr>
            <w:tcW w:w="12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2,427</w:t>
            </w:r>
          </w:p>
        </w:tc>
      </w:tr>
      <w:tr>
        <w:trPr>
          <w:trHeight w:val="216"/>
        </w:trPr>
        <w:tc>
          <w:tcPr>
            <w:tcW w:w="7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Developed technology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3,000</w:t>
            </w:r>
          </w:p>
        </w:tc>
      </w:tr>
      <w:tr>
        <w:trPr>
          <w:trHeight w:val="196"/>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Developed technology – Sunder</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14,216</w:t>
            </w:r>
          </w:p>
        </w:tc>
        <w:tc>
          <w:tcPr>
            <w:tcW w:w="120" w:type="dxa"/>
            <w:vAlign w:val="bottom"/>
          </w:tcPr>
          <w:p>
            <w:pPr>
              <w:spacing w:after="0"/>
              <w:rPr>
                <w:sz w:val="17"/>
                <w:szCs w:val="17"/>
                <w:color w:val="auto"/>
              </w:rPr>
            </w:pPr>
          </w:p>
        </w:tc>
        <w:tc>
          <w:tcPr>
            <w:tcW w:w="124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14,216</w:t>
            </w:r>
          </w:p>
        </w:tc>
      </w:tr>
      <w:tr>
        <w:trPr>
          <w:trHeight w:val="185"/>
        </w:trPr>
        <w:tc>
          <w:tcPr>
            <w:tcW w:w="73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41,816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(2,860</w:t>
            </w:r>
          </w:p>
        </w:tc>
        <w:tc>
          <w:tcPr>
            <w:tcW w:w="220" w:type="dxa"/>
            <w:vAlign w:val="bottom"/>
            <w:tcBorders>
              <w:top w:val="single" w:sz="8" w:color="CCEEFF"/>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Gross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20" w:type="dxa"/>
            <w:vAlign w:val="bottom"/>
          </w:tcPr>
          <w:p>
            <w:pPr>
              <w:spacing w:after="0"/>
              <w:rPr>
                <w:sz w:val="15"/>
                <w:szCs w:val="15"/>
                <w:color w:val="auto"/>
              </w:rPr>
            </w:pPr>
          </w:p>
        </w:tc>
        <w:tc>
          <w:tcPr>
            <w:tcW w:w="124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5"/>
                <w:szCs w:val="15"/>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Net Book</w:t>
            </w:r>
          </w:p>
        </w:tc>
      </w:tr>
      <w:tr>
        <w:trPr>
          <w:trHeight w:val="203"/>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As of December 29, 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00" w:type="dxa"/>
            <w:vAlign w:val="bottom"/>
            <w:tcBorders>
              <w:bottom w:val="single" w:sz="8" w:color="CCEEFF"/>
            </w:tcBorders>
            <w:gridSpan w:val="2"/>
          </w:tcPr>
          <w:p>
            <w:pPr>
              <w:spacing w:after="0"/>
              <w:rPr>
                <w:sz w:val="17"/>
                <w:szCs w:val="17"/>
                <w:color w:val="auto"/>
              </w:rPr>
            </w:pPr>
          </w:p>
        </w:tc>
      </w:tr>
      <w:tr>
        <w:trPr>
          <w:trHeight w:val="216"/>
        </w:trPr>
        <w:tc>
          <w:tcPr>
            <w:tcW w:w="7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Trademark – Blue Raven Solar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(210)</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8,190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 xml:space="preserve">Trademark – SunPower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5,200</w:t>
            </w:r>
          </w:p>
        </w:tc>
        <w:tc>
          <w:tcPr>
            <w:tcW w:w="120" w:type="dxa"/>
            <w:vAlign w:val="bottom"/>
          </w:tcPr>
          <w:p>
            <w:pPr>
              <w:spacing w:after="0"/>
              <w:rPr>
                <w:sz w:val="18"/>
                <w:szCs w:val="18"/>
                <w:color w:val="auto"/>
              </w:rPr>
            </w:pPr>
          </w:p>
        </w:tc>
        <w:tc>
          <w:tcPr>
            <w:tcW w:w="12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(130)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5,070</w:t>
            </w:r>
          </w:p>
        </w:tc>
        <w:tc>
          <w:tcPr>
            <w:tcW w:w="80" w:type="dxa"/>
            <w:vAlign w:val="bottom"/>
          </w:tcPr>
          <w:p>
            <w:pPr>
              <w:spacing w:after="0"/>
              <w:rPr>
                <w:sz w:val="18"/>
                <w:szCs w:val="18"/>
                <w:color w:val="auto"/>
              </w:rPr>
            </w:pPr>
          </w:p>
        </w:tc>
      </w:tr>
      <w:tr>
        <w:trPr>
          <w:trHeight w:val="248"/>
        </w:trPr>
        <w:tc>
          <w:tcPr>
            <w:tcW w:w="732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 xml:space="preserve">Developed technology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4,500</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(375)</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4,125</w:t>
            </w:r>
          </w:p>
        </w:tc>
        <w:tc>
          <w:tcPr>
            <w:tcW w:w="80" w:type="dxa"/>
            <w:vAlign w:val="bottom"/>
            <w:shd w:val="clear" w:color="auto" w:fill="CCEEFF"/>
          </w:tcPr>
          <w:p>
            <w:pPr>
              <w:spacing w:after="0"/>
              <w:rPr>
                <w:sz w:val="21"/>
                <w:szCs w:val="21"/>
                <w:color w:val="auto"/>
              </w:rPr>
            </w:pPr>
          </w:p>
        </w:tc>
      </w:tr>
      <w:tr>
        <w:trPr>
          <w:trHeight w:val="168"/>
        </w:trPr>
        <w:tc>
          <w:tcPr>
            <w:tcW w:w="7320" w:type="dxa"/>
            <w:vAlign w:val="bottom"/>
            <w:tcBorders>
              <w:top w:val="single" w:sz="8" w:color="CCEEFF"/>
            </w:tcBorders>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tcPr>
          <w:p>
            <w:pPr>
              <w:jc w:val="right"/>
              <w:ind w:right="2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18,100</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(715</w:t>
            </w:r>
          </w:p>
        </w:tc>
        <w:tc>
          <w:tcPr>
            <w:tcW w:w="220" w:type="dxa"/>
            <w:vAlign w:val="bottom"/>
            <w:tcBorders>
              <w:top w:val="single" w:sz="8" w:color="CCEEFF"/>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auto"/>
            </w:tcBorders>
          </w:tcPr>
          <w:p>
            <w:pPr>
              <w:jc w:val="right"/>
              <w:ind w:right="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17,385</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1" w:lineRule="exact"/>
        <w:rPr>
          <w:sz w:val="20"/>
          <w:szCs w:val="20"/>
          <w:color w:val="auto"/>
        </w:rPr>
      </w:pPr>
    </w:p>
    <w:p>
      <w:pPr>
        <w:ind w:left="269" w:hanging="269"/>
        <w:spacing w:after="0" w:line="287" w:lineRule="auto"/>
        <w:tabs>
          <w:tab w:leader="none" w:pos="269"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gross carrying amounts as of September 28, 2025 reflect the final allocation of the purchase consideration in connection with the SunPower Acquisition. The gross carrying amounts as of December 29, 2024 were provisional amounts.</w:t>
      </w:r>
    </w:p>
    <w:p>
      <w:pPr>
        <w:spacing w:after="0" w:line="77"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Aggregate amortization expense of intangible assets was $0.7 million and $2.1 million for the thirteen and thirty-nine week periods ended September 28, 2025, respectively. Amortization expense was zero in each of the thirteen and thirty-nine week periods ended September 29, 2024. Amortization expense is recognized within general and administrative expenses in the accompany unaudited condensed consolidated statements of operations and comprehensive loss.</w:t>
      </w:r>
    </w:p>
    <w:p>
      <w:pPr>
        <w:spacing w:after="0" w:line="27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01" w:right="319" w:bottom="1440" w:gutter="0" w:footer="0" w:header="0"/>
        </w:sectPr>
      </w:pPr>
    </w:p>
    <w:bookmarkStart w:id="155" w:name="page156"/>
    <w:bookmarkEnd w:id="155"/>
    <w:tbl>
      <w:tblPr>
        <w:tblLayout w:type="fixed"/>
        <w:tblInd w:w="9"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(6) Accrued Expenses and Other Current Liabilities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Accrued expenses and other current liabilities consist of the following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6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6,619</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3,819</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8,028</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Installation costs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15,097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6,177</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Accrued legal settlements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9,153</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7,700</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taxes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769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769</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Accrued rebates and credits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5,769</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7,641</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1,689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1,412</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liabilities, current</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1,924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2,053</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warranty, current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1,229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2,531</w:t>
            </w: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Accrued interest </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3,640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4,523</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consideration</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5,700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 accrued liabilities</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4,499</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8,628</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accrued expenses and other current liabilities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59,271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7" w:lineRule="exact"/>
        <w:rPr>
          <w:sz w:val="20"/>
          <w:szCs w:val="20"/>
          <w:color w:val="auto"/>
        </w:rPr>
      </w:pPr>
    </w:p>
    <w:p>
      <w:pPr>
        <w:ind w:left="269" w:hanging="269"/>
        <w:spacing w:after="0"/>
        <w:tabs>
          <w:tab w:leader="none" w:pos="269" w:val="left"/>
        </w:tabs>
        <w:numPr>
          <w:ilvl w:val="0"/>
          <w:numId w:val="8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related party accrued interest of $1.2 million and $2.2 million as of September 28, 2025 and December 29, 2024, respectively.</w:t>
      </w:r>
    </w:p>
    <w:p>
      <w:pPr>
        <w:spacing w:after="0" w:line="163"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(7) Other Expense, Net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Other expense, net consists of the following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5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5"/>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80" w:type="dxa"/>
            <w:vAlign w:val="bottom"/>
          </w:tcPr>
          <w:p>
            <w:pPr>
              <w:spacing w:after="0"/>
              <w:rPr>
                <w:sz w:val="24"/>
                <w:szCs w:val="24"/>
                <w:color w:val="auto"/>
              </w:rPr>
            </w:pPr>
          </w:p>
        </w:tc>
        <w:tc>
          <w:tcPr>
            <w:tcW w:w="2480" w:type="dxa"/>
            <w:vAlign w:val="bottom"/>
            <w:gridSpan w:val="5"/>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r>
      <w:tr>
        <w:trPr>
          <w:trHeight w:val="163"/>
        </w:trPr>
        <w:tc>
          <w:tcPr>
            <w:tcW w:w="59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28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302"/>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100" w:type="dxa"/>
            <w:vAlign w:val="bottom"/>
          </w:tcPr>
          <w:p>
            <w:pPr>
              <w:spacing w:after="0"/>
              <w:rPr>
                <w:sz w:val="14"/>
                <w:szCs w:val="14"/>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205"/>
        </w:trPr>
        <w:tc>
          <w:tcPr>
            <w:tcW w:w="59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4"/>
                <w:szCs w:val="14"/>
                <w:color w:val="auto"/>
              </w:rPr>
              <w:t>Loss on issuance of derivative liabilities</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(24,688)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(24,688)</w:t>
            </w:r>
          </w:p>
        </w:tc>
      </w:tr>
      <w:tr>
        <w:trPr>
          <w:trHeight w:val="216"/>
        </w:trPr>
        <w:tc>
          <w:tcPr>
            <w:tcW w:w="596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Change in fair value of derivative liabilities</w:t>
            </w:r>
            <w:r>
              <w:rPr>
                <w:rFonts w:ascii="Times New Roman" w:cs="Times New Roman" w:eastAsia="Times New Roman" w:hAnsi="Times New Roman"/>
                <w:sz w:val="25"/>
                <w:szCs w:val="25"/>
                <w:color w:val="auto"/>
                <w:vertAlign w:val="superscript"/>
              </w:rPr>
              <w:t>(2)</w:t>
            </w:r>
          </w:p>
        </w:tc>
        <w:tc>
          <w:tcPr>
            <w:tcW w:w="80" w:type="dxa"/>
            <w:vAlign w:val="bottom"/>
          </w:tcPr>
          <w:p>
            <w:pPr>
              <w:spacing w:after="0"/>
              <w:rPr>
                <w:sz w:val="18"/>
                <w:szCs w:val="18"/>
                <w:color w:val="auto"/>
              </w:rPr>
            </w:pPr>
          </w:p>
        </w:tc>
        <w:tc>
          <w:tcPr>
            <w:tcW w:w="130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(2,034)</w:t>
            </w:r>
          </w:p>
        </w:tc>
        <w:tc>
          <w:tcPr>
            <w:tcW w:w="80" w:type="dxa"/>
            <w:vAlign w:val="bottom"/>
          </w:tcPr>
          <w:p>
            <w:pPr>
              <w:spacing w:after="0"/>
              <w:rPr>
                <w:sz w:val="18"/>
                <w:szCs w:val="18"/>
                <w:color w:val="auto"/>
              </w:rPr>
            </w:pPr>
          </w:p>
        </w:tc>
        <w:tc>
          <w:tcPr>
            <w:tcW w:w="128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(37,875)</w:t>
            </w:r>
          </w:p>
        </w:tc>
        <w:tc>
          <w:tcPr>
            <w:tcW w:w="80" w:type="dxa"/>
            <w:vAlign w:val="bottom"/>
          </w:tcPr>
          <w:p>
            <w:pPr>
              <w:spacing w:after="0"/>
              <w:rPr>
                <w:sz w:val="18"/>
                <w:szCs w:val="18"/>
                <w:color w:val="auto"/>
              </w:rPr>
            </w:pPr>
          </w:p>
        </w:tc>
        <w:tc>
          <w:tcPr>
            <w:tcW w:w="126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1,639</w:t>
            </w:r>
          </w:p>
        </w:tc>
        <w:tc>
          <w:tcPr>
            <w:tcW w:w="80" w:type="dxa"/>
            <w:vAlign w:val="bottom"/>
          </w:tcPr>
          <w:p>
            <w:pPr>
              <w:spacing w:after="0"/>
              <w:rPr>
                <w:sz w:val="18"/>
                <w:szCs w:val="18"/>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(37,875)</w:t>
            </w:r>
          </w:p>
        </w:tc>
      </w:tr>
      <w:tr>
        <w:trPr>
          <w:trHeight w:val="216"/>
        </w:trPr>
        <w:tc>
          <w:tcPr>
            <w:tcW w:w="5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Change in fair value of forward purchase agreement liabilities</w:t>
            </w:r>
            <w:r>
              <w:rPr>
                <w:rFonts w:ascii="Times New Roman" w:cs="Times New Roman" w:eastAsia="Times New Roman" w:hAnsi="Times New Roman"/>
                <w:sz w:val="25"/>
                <w:szCs w:val="25"/>
                <w:color w:val="auto"/>
                <w:vertAlign w:val="superscript"/>
              </w:rPr>
              <w:t>(3)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(2,420)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7,728</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(807)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4,906</w:t>
            </w: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 of SAFE Agreement with related party</w:t>
            </w:r>
          </w:p>
        </w:tc>
        <w:tc>
          <w:tcPr>
            <w:tcW w:w="80" w:type="dxa"/>
            <w:vAlign w:val="bottom"/>
          </w:tcPr>
          <w:p>
            <w:pPr>
              <w:spacing w:after="0"/>
              <w:rPr>
                <w:sz w:val="15"/>
                <w:szCs w:val="15"/>
                <w:color w:val="auto"/>
              </w:rPr>
            </w:pPr>
          </w:p>
        </w:tc>
        <w:tc>
          <w:tcPr>
            <w:tcW w:w="130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(900)</w:t>
            </w:r>
          </w:p>
        </w:tc>
        <w:tc>
          <w:tcPr>
            <w:tcW w:w="80" w:type="dxa"/>
            <w:vAlign w:val="bottom"/>
          </w:tcPr>
          <w:p>
            <w:pPr>
              <w:spacing w:after="0"/>
              <w:rPr>
                <w:sz w:val="15"/>
                <w:szCs w:val="15"/>
                <w:color w:val="auto"/>
              </w:rPr>
            </w:pPr>
          </w:p>
        </w:tc>
        <w:tc>
          <w:tcPr>
            <w:tcW w:w="126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(113)</w:t>
            </w:r>
          </w:p>
        </w:tc>
        <w:tc>
          <w:tcPr>
            <w:tcW w:w="80" w:type="dxa"/>
            <w:vAlign w:val="bottom"/>
          </w:tcPr>
          <w:p>
            <w:pPr>
              <w:spacing w:after="0"/>
              <w:rPr>
                <w:sz w:val="15"/>
                <w:szCs w:val="15"/>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(900)</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of FACT public, private placement and working capital warrants</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(78)</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(6,052)</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(3,122)</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(6,295)</w:t>
            </w: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 of Carlyle Warrants with related party</w:t>
            </w:r>
          </w:p>
        </w:tc>
        <w:tc>
          <w:tcPr>
            <w:tcW w:w="80" w:type="dxa"/>
            <w:vAlign w:val="bottom"/>
          </w:tcPr>
          <w:p>
            <w:pPr>
              <w:spacing w:after="0"/>
              <w:rPr>
                <w:sz w:val="15"/>
                <w:szCs w:val="15"/>
                <w:color w:val="auto"/>
              </w:rPr>
            </w:pPr>
          </w:p>
        </w:tc>
        <w:tc>
          <w:tcPr>
            <w:tcW w:w="13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2,869</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of redeemable convertible preferred stock warrant liability</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1,310</w:t>
            </w: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Loss on conversion of SAFE Agreements to common stock with related party</w:t>
            </w:r>
          </w:p>
        </w:tc>
        <w:tc>
          <w:tcPr>
            <w:tcW w:w="80" w:type="dxa"/>
            <w:vAlign w:val="bottom"/>
          </w:tcPr>
          <w:p>
            <w:pPr>
              <w:spacing w:after="0"/>
              <w:rPr>
                <w:sz w:val="15"/>
                <w:szCs w:val="15"/>
                <w:color w:val="auto"/>
              </w:rPr>
            </w:pPr>
          </w:p>
        </w:tc>
        <w:tc>
          <w:tcPr>
            <w:tcW w:w="13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(1,250)</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financing costs</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(3,812)</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(3,812)</w:t>
            </w:r>
          </w:p>
        </w:tc>
      </w:tr>
      <w:tr>
        <w:trPr>
          <w:trHeight w:val="230"/>
        </w:trPr>
        <w:tc>
          <w:tcPr>
            <w:tcW w:w="5960" w:type="dxa"/>
            <w:vAlign w:val="bottom"/>
          </w:tcPr>
          <w:p>
            <w:pPr>
              <w:spacing w:after="0" w:line="228" w:lineRule="exact"/>
              <w:rPr>
                <w:sz w:val="20"/>
                <w:szCs w:val="20"/>
                <w:color w:val="auto"/>
              </w:rPr>
            </w:pPr>
            <w:r>
              <w:rPr>
                <w:rFonts w:ascii="Times New Roman" w:cs="Times New Roman" w:eastAsia="Times New Roman" w:hAnsi="Times New Roman"/>
                <w:sz w:val="15"/>
                <w:szCs w:val="15"/>
                <w:color w:val="auto"/>
              </w:rPr>
              <w:t>Other, net</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20"/>
                <w:szCs w:val="20"/>
                <w:color w:val="auto"/>
              </w:rPr>
            </w:pPr>
          </w:p>
        </w:tc>
        <w:tc>
          <w:tcPr>
            <w:tcW w:w="13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355</w:t>
            </w:r>
          </w:p>
        </w:tc>
        <w:tc>
          <w:tcPr>
            <w:tcW w:w="80" w:type="dxa"/>
            <w:vAlign w:val="bottom"/>
          </w:tcPr>
          <w:p>
            <w:pPr>
              <w:spacing w:after="0"/>
              <w:rPr>
                <w:sz w:val="20"/>
                <w:szCs w:val="20"/>
                <w:color w:val="auto"/>
              </w:rPr>
            </w:pPr>
          </w:p>
        </w:tc>
        <w:tc>
          <w:tcPr>
            <w:tcW w:w="128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(85)</w:t>
            </w:r>
          </w:p>
        </w:tc>
        <w:tc>
          <w:tcPr>
            <w:tcW w:w="80" w:type="dxa"/>
            <w:vAlign w:val="bottom"/>
          </w:tcPr>
          <w:p>
            <w:pPr>
              <w:spacing w:after="0"/>
              <w:rPr>
                <w:sz w:val="20"/>
                <w:szCs w:val="20"/>
                <w:color w:val="auto"/>
              </w:rPr>
            </w:pPr>
          </w:p>
        </w:tc>
        <w:tc>
          <w:tcPr>
            <w:tcW w:w="126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679</w:t>
            </w:r>
          </w:p>
        </w:tc>
        <w:tc>
          <w:tcPr>
            <w:tcW w:w="80" w:type="dxa"/>
            <w:vAlign w:val="bottom"/>
          </w:tcPr>
          <w:p>
            <w:pPr>
              <w:spacing w:after="0"/>
              <w:rPr>
                <w:sz w:val="20"/>
                <w:szCs w:val="20"/>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(499)</w:t>
            </w: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Expense,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(4,256</w:t>
            </w:r>
          </w:p>
        </w:tc>
        <w:tc>
          <w:tcPr>
            <w:tcW w:w="240" w:type="dxa"/>
            <w:vAlign w:val="bottom"/>
            <w:tcBorders>
              <w:top w:val="single" w:sz="8" w:color="CCEEFF"/>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(65,684</w:t>
            </w:r>
          </w:p>
        </w:tc>
        <w:tc>
          <w:tcPr>
            <w:tcW w:w="240" w:type="dxa"/>
            <w:vAlign w:val="bottom"/>
            <w:tcBorders>
              <w:top w:val="single" w:sz="8" w:color="CCEEFF"/>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(1,724</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(66,234</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5489" w:right="3380" w:hanging="5489"/>
        <w:spacing w:after="0" w:line="794" w:lineRule="auto"/>
        <w:tabs>
          <w:tab w:leader="none" w:pos="273"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$3.0 million of related party expense in each of the thirteen and thirty-nine week periods ended September 29, 2024. 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53910"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58" w:right="319" w:bottom="1440" w:gutter="0" w:footer="0" w:header="0"/>
        </w:sectPr>
      </w:pPr>
    </w:p>
    <w:bookmarkStart w:id="156" w:name="page157"/>
    <w:bookmarkEnd w:id="156"/>
    <w:p>
      <w:pPr>
        <w:jc w:val="both"/>
        <w:ind w:left="269" w:hanging="269"/>
        <w:spacing w:after="0" w:line="280" w:lineRule="auto"/>
        <w:tabs>
          <w:tab w:leader="none" w:pos="269"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 loss of $0.3 million and a gain of $1.8 million due to related parties in the thirteen and thirty-nine week periods ended September 28, 2025, respectively. Includes a loss of $22.8 million due to related parties in each of the thirteen and thirty-nine week periods ended September 29, 2024. Refer to Note 9 – Borrowings and Derivative Liabilities for details.</w:t>
      </w:r>
    </w:p>
    <w:p>
      <w:pPr>
        <w:spacing w:after="0" w:line="325" w:lineRule="exact"/>
        <w:rPr>
          <w:rFonts w:ascii="Times New Roman" w:cs="Times New Roman" w:eastAsia="Times New Roman" w:hAnsi="Times New Roman"/>
          <w:sz w:val="15"/>
          <w:szCs w:val="15"/>
          <w:color w:val="auto"/>
        </w:rPr>
      </w:pPr>
    </w:p>
    <w:p>
      <w:pPr>
        <w:ind w:left="269" w:hanging="269"/>
        <w:spacing w:after="0" w:line="287" w:lineRule="auto"/>
        <w:tabs>
          <w:tab w:leader="none" w:pos="269"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 gain of zero and $0.1 million due to related parties for the thirteen and thirty-nine week periods ended September 28, 2025, respectively. Includes a gain from related parties of $2.8 million and $1.8 million due to related parties in the thirteen and thirty-nine week periods ended September 29, 2024, respectively.</w:t>
      </w:r>
    </w:p>
    <w:p>
      <w:pPr>
        <w:spacing w:after="0" w:line="13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zero and $0.1 million of income due to related parties in the thirteen and thirty-nine week periods ended September 28, 2025, respectively.</w:t>
      </w:r>
    </w:p>
    <w:p>
      <w:pPr>
        <w:spacing w:after="0" w:line="1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(8) Capital Stock</w:t>
      </w:r>
    </w:p>
    <w:p>
      <w:pPr>
        <w:spacing w:after="0" w:line="196"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The Company has authorized the issuance of 1,000,000,000 shares of common stock and 10,000,000 shares of preferred stock as of September 28, 2025. No preferred stock has been issued and none are outstanding as of September 28, 2025.</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Common stock purchase agreement</w:t>
      </w:r>
    </w:p>
    <w:p>
      <w:pPr>
        <w:spacing w:after="0" w:line="196"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spacing w:after="0" w:line="155" w:lineRule="exact"/>
        <w:rPr>
          <w:sz w:val="20"/>
          <w:szCs w:val="20"/>
          <w:color w:val="auto"/>
        </w:rPr>
      </w:pPr>
    </w:p>
    <w:p>
      <w:pPr>
        <w:jc w:val="both"/>
        <w:ind w:left="9"/>
        <w:spacing w:after="0" w:line="259" w:lineRule="auto"/>
        <w:rPr>
          <w:sz w:val="20"/>
          <w:szCs w:val="20"/>
          <w:color w:val="auto"/>
        </w:rPr>
      </w:pPr>
      <w:r>
        <w:rPr>
          <w:rFonts w:ascii="Times New Roman" w:cs="Times New Roman" w:eastAsia="Times New Roman" w:hAnsi="Times New Roman"/>
          <w:sz w:val="15"/>
          <w:szCs w:val="15"/>
          <w:color w:val="auto"/>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spacing w:after="0" w:line="154"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Under the White Lion Amended SPA, the Company issued 1.0 million and 2.9 million shares of the Company’s common stock for proceeds of $1.7 million and $6.7 million in the thirty-nine week period ended September 28, 2025 and fiscal year ended December 29, 2024, respectively.</w:t>
      </w:r>
    </w:p>
    <w:p>
      <w:pPr>
        <w:spacing w:after="0" w:line="3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62" w:right="319" w:bottom="1440" w:gutter="0" w:footer="0" w:header="0"/>
        </w:sectPr>
      </w:pPr>
    </w:p>
    <w:bookmarkStart w:id="157" w:name="page158"/>
    <w:bookmarkEnd w:id="157"/>
    <w:tbl>
      <w:tblPr>
        <w:tblLayout w:type="fixed"/>
        <w:tblInd w:w="9" w:type="dxa"/>
        <w:tblCellMar>
          <w:top w:w="0" w:type="dxa"/>
          <w:left w:w="0" w:type="dxa"/>
          <w:bottom w:w="0" w:type="dxa"/>
          <w:right w:w="0" w:type="dxa"/>
        </w:tblCellMar>
      </w:tblP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The Company has reserved shares of common stock for issuance related to the following: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8"/>
        </w:trPr>
        <w:tc>
          <w:tcPr>
            <w:tcW w:w="8680" w:type="dxa"/>
            <w:vAlign w:val="bottom"/>
          </w:tcPr>
          <w:p>
            <w:pPr>
              <w:spacing w:after="0"/>
              <w:rPr>
                <w:sz w:val="24"/>
                <w:szCs w:val="24"/>
                <w:color w:val="auto"/>
              </w:rPr>
            </w:pPr>
          </w:p>
        </w:tc>
        <w:tc>
          <w:tcPr>
            <w:tcW w:w="144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8680" w:type="dxa"/>
            <w:vAlign w:val="bottom"/>
          </w:tcPr>
          <w:p>
            <w:pPr>
              <w:spacing w:after="0"/>
              <w:rPr>
                <w:sz w:val="15"/>
                <w:szCs w:val="15"/>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warrants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25,670,265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31,670,265</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3,174,434</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2,628,996</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 and RSUs, issued and outstanding</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20,553,533</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11,979,368</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Stock options and RSUs, authorized for future issuance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10,528,534</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2,577,895</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SAFE Agreement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2,750,000</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2,750,000</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Forward purchase agreements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6,720,000</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6,720,0000</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77,821,528</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58,579,636</w:t>
            </w: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Deferred consideration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6,666,666</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shares reserved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153,884,960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116,906,160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Warrants</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potential number of shares of the Company’s common stock for outstanding warrants were as follows:</w:t>
      </w:r>
    </w:p>
    <w:p>
      <w:pPr>
        <w:spacing w:after="0" w:line="188"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6080" w:type="dxa"/>
            <w:vAlign w:val="bottom"/>
          </w:tcPr>
          <w:p>
            <w:pPr>
              <w:spacing w:after="0"/>
              <w:rPr>
                <w:sz w:val="15"/>
                <w:szCs w:val="15"/>
                <w:color w:val="auto"/>
              </w:rPr>
            </w:pPr>
          </w:p>
        </w:tc>
        <w:tc>
          <w:tcPr>
            <w:tcW w:w="2740" w:type="dxa"/>
            <w:vAlign w:val="bottom"/>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Potential shares of common</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08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left="744"/>
              <w:spacing w:after="0"/>
              <w:rPr>
                <w:sz w:val="20"/>
                <w:szCs w:val="20"/>
                <w:color w:val="auto"/>
              </w:rPr>
            </w:pPr>
            <w:r>
              <w:rPr>
                <w:rFonts w:ascii="Times New Roman" w:cs="Times New Roman" w:eastAsia="Times New Roman" w:hAnsi="Times New Roman"/>
                <w:sz w:val="15"/>
                <w:szCs w:val="15"/>
                <w:b w:val="1"/>
                <w:bCs w:val="1"/>
                <w:color w:val="auto"/>
                <w:w w:val="98"/>
              </w:rPr>
              <w:t>stock as of</w:t>
            </w:r>
          </w:p>
        </w:tc>
        <w:tc>
          <w:tcPr>
            <w:tcW w:w="8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Exercise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3"/>
        </w:trPr>
        <w:tc>
          <w:tcPr>
            <w:tcW w:w="6080" w:type="dxa"/>
            <w:vAlign w:val="bottom"/>
          </w:tcPr>
          <w:p>
            <w:pPr>
              <w:spacing w:after="0"/>
              <w:rPr>
                <w:sz w:val="14"/>
                <w:szCs w:val="14"/>
                <w:color w:val="auto"/>
              </w:rPr>
            </w:pPr>
          </w:p>
        </w:tc>
        <w:tc>
          <w:tcPr>
            <w:tcW w:w="1360" w:type="dxa"/>
            <w:vAlign w:val="bottom"/>
            <w:gridSpan w:val="2"/>
          </w:tcPr>
          <w:p>
            <w:pPr>
              <w:ind w:left="10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1140" w:type="dxa"/>
            <w:vAlign w:val="bottom"/>
            <w:gridSpan w:val="2"/>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December 29,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80"/>
              <w:spacing w:after="0" w:line="164" w:lineRule="exact"/>
              <w:rPr>
                <w:sz w:val="20"/>
                <w:szCs w:val="20"/>
                <w:color w:val="auto"/>
              </w:rPr>
            </w:pPr>
            <w:r>
              <w:rPr>
                <w:rFonts w:ascii="Times New Roman" w:cs="Times New Roman" w:eastAsia="Times New Roman" w:hAnsi="Times New Roman"/>
                <w:sz w:val="15"/>
                <w:szCs w:val="15"/>
                <w:b w:val="1"/>
                <w:bCs w:val="1"/>
                <w:color w:val="auto"/>
              </w:rPr>
              <w:t>price per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080" w:type="dxa"/>
            <w:vAlign w:val="bottom"/>
          </w:tcPr>
          <w:p>
            <w:pPr>
              <w:spacing w:after="0"/>
              <w:rPr>
                <w:sz w:val="17"/>
                <w:szCs w:val="17"/>
                <w:color w:val="auto"/>
              </w:rPr>
            </w:pPr>
          </w:p>
        </w:tc>
        <w:tc>
          <w:tcPr>
            <w:tcW w:w="11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7"/>
              </w:rPr>
              <w:t>share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Expiration date</w:t>
            </w:r>
          </w:p>
        </w:tc>
      </w:tr>
      <w:tr>
        <w:trPr>
          <w:trHeight w:val="182"/>
        </w:trPr>
        <w:tc>
          <w:tcPr>
            <w:tcW w:w="6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Liability classified warrants</w:t>
            </w: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Public Warrants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6,266,667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6,266,667</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11.50</w:t>
            </w:r>
          </w:p>
        </w:tc>
        <w:tc>
          <w:tcPr>
            <w:tcW w:w="1120" w:type="dxa"/>
            <w:vAlign w:val="bottom"/>
            <w:gridSpan w:val="2"/>
            <w:shd w:val="clear" w:color="auto" w:fill="CCEEFF"/>
          </w:tcPr>
          <w:p>
            <w:pPr>
              <w:jc w:val="center"/>
              <w:ind w:right="120"/>
              <w:spacing w:after="0" w:line="216" w:lineRule="exact"/>
              <w:rPr>
                <w:sz w:val="20"/>
                <w:szCs w:val="20"/>
                <w:color w:val="auto"/>
              </w:rPr>
            </w:pPr>
            <w:r>
              <w:rPr>
                <w:rFonts w:ascii="Times New Roman" w:cs="Times New Roman" w:eastAsia="Times New Roman" w:hAnsi="Times New Roman"/>
                <w:sz w:val="15"/>
                <w:szCs w:val="15"/>
                <w:color w:val="auto"/>
                <w:w w:val="95"/>
              </w:rPr>
              <w:t xml:space="preserve">July 18, 2028 </w:t>
            </w:r>
            <w:r>
              <w:rPr>
                <w:rFonts w:ascii="Times New Roman" w:cs="Times New Roman" w:eastAsia="Times New Roman" w:hAnsi="Times New Roman"/>
                <w:sz w:val="25"/>
                <w:szCs w:val="25"/>
                <w:color w:val="auto"/>
                <w:w w:val="95"/>
                <w:vertAlign w:val="superscript"/>
              </w:rPr>
              <w:t>(1)</w:t>
            </w: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Private Placement Warrants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8,625,000</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8,625,000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11.50</w:t>
            </w:r>
          </w:p>
        </w:tc>
        <w:tc>
          <w:tcPr>
            <w:tcW w:w="112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5"/>
                <w:szCs w:val="15"/>
                <w:color w:val="auto"/>
                <w:w w:val="95"/>
              </w:rPr>
              <w:t xml:space="preserve">July 18, 2028 </w:t>
            </w:r>
            <w:r>
              <w:rPr>
                <w:rFonts w:ascii="Times New Roman" w:cs="Times New Roman" w:eastAsia="Times New Roman" w:hAnsi="Times New Roman"/>
                <w:sz w:val="25"/>
                <w:szCs w:val="25"/>
                <w:color w:val="auto"/>
                <w:w w:val="95"/>
                <w:vertAlign w:val="superscript"/>
              </w:rPr>
              <w:t>(1)</w:t>
            </w:r>
          </w:p>
        </w:tc>
      </w:tr>
      <w:tr>
        <w:trPr>
          <w:trHeight w:val="225"/>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Working Capital Warrants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716,668</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716,668</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11.50</w:t>
            </w:r>
          </w:p>
        </w:tc>
        <w:tc>
          <w:tcPr>
            <w:tcW w:w="1120" w:type="dxa"/>
            <w:vAlign w:val="bottom"/>
            <w:gridSpan w:val="2"/>
            <w:shd w:val="clear" w:color="auto" w:fill="CCEEFF"/>
          </w:tcPr>
          <w:p>
            <w:pPr>
              <w:jc w:val="center"/>
              <w:ind w:right="120"/>
              <w:spacing w:after="0" w:line="204" w:lineRule="exact"/>
              <w:rPr>
                <w:sz w:val="20"/>
                <w:szCs w:val="20"/>
                <w:color w:val="auto"/>
              </w:rPr>
            </w:pPr>
            <w:r>
              <w:rPr>
                <w:rFonts w:ascii="Times New Roman" w:cs="Times New Roman" w:eastAsia="Times New Roman" w:hAnsi="Times New Roman"/>
                <w:sz w:val="14"/>
                <w:szCs w:val="14"/>
                <w:color w:val="auto"/>
              </w:rPr>
              <w:t xml:space="preserve">July 18, 2028 </w:t>
            </w:r>
            <w:r>
              <w:rPr>
                <w:rFonts w:ascii="Times New Roman" w:cs="Times New Roman" w:eastAsia="Times New Roman" w:hAnsi="Times New Roman"/>
                <w:sz w:val="23"/>
                <w:szCs w:val="23"/>
                <w:color w:val="auto"/>
                <w:vertAlign w:val="superscript"/>
              </w:rPr>
              <w:t>(1)</w:t>
            </w:r>
          </w:p>
        </w:tc>
      </w:tr>
      <w:tr>
        <w:trPr>
          <w:trHeight w:val="168"/>
        </w:trPr>
        <w:tc>
          <w:tcPr>
            <w:tcW w:w="60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shares of common stock – liability classified warrants</w:t>
            </w:r>
          </w:p>
        </w:tc>
        <w:tc>
          <w:tcPr>
            <w:tcW w:w="11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15,608,335</w:t>
            </w:r>
          </w:p>
        </w:tc>
        <w:tc>
          <w:tcPr>
            <w:tcW w:w="220" w:type="dxa"/>
            <w:vAlign w:val="bottom"/>
            <w:tcBorders>
              <w:top w:val="single" w:sz="8" w:color="CCEEFF"/>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15,608,335</w:t>
            </w:r>
          </w:p>
        </w:tc>
        <w:tc>
          <w:tcPr>
            <w:tcW w:w="24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94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CCEEFF"/>
              <w:bottom w:val="single" w:sz="8" w:color="CCEEFF"/>
            </w:tcBorders>
          </w:tcPr>
          <w:p>
            <w:pPr>
              <w:spacing w:after="0"/>
              <w:rPr>
                <w:sz w:val="14"/>
                <w:szCs w:val="14"/>
                <w:color w:val="auto"/>
              </w:rPr>
            </w:pPr>
          </w:p>
        </w:tc>
        <w:tc>
          <w:tcPr>
            <w:tcW w:w="10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r>
      <w:tr>
        <w:trPr>
          <w:trHeight w:val="18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Equity classified warrants</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6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Series B Warrants (converted to common stock warrants)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5,054</w:t>
            </w:r>
          </w:p>
        </w:tc>
        <w:tc>
          <w:tcPr>
            <w:tcW w:w="3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5,054</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4.30</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February 2026</w:t>
            </w:r>
          </w:p>
        </w:tc>
      </w:tr>
      <w:tr>
        <w:trPr>
          <w:trHeight w:val="182"/>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Series C Warrants (converted to common stock warrants)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482,969</w:t>
            </w:r>
          </w:p>
        </w:tc>
        <w:tc>
          <w:tcPr>
            <w:tcW w:w="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482,969</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1.00</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July 2026</w:t>
            </w:r>
          </w:p>
        </w:tc>
      </w:tr>
      <w:tr>
        <w:trPr>
          <w:trHeight w:val="182"/>
        </w:trPr>
        <w:tc>
          <w:tcPr>
            <w:tcW w:w="6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Series C-1 Warrants (converted to common stock warrants)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173,067</w:t>
            </w:r>
          </w:p>
        </w:tc>
        <w:tc>
          <w:tcPr>
            <w:tcW w:w="3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173,067</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0.01</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9"/>
              </w:rPr>
              <w:t>January 2030</w:t>
            </w:r>
          </w:p>
        </w:tc>
      </w:tr>
      <w:tr>
        <w:trPr>
          <w:trHeight w:val="182"/>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SVB Common Stock Warrants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2,473</w:t>
            </w:r>
          </w:p>
        </w:tc>
        <w:tc>
          <w:tcPr>
            <w:tcW w:w="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2,473</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0.38</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2033</w:t>
            </w:r>
          </w:p>
        </w:tc>
        <w:tc>
          <w:tcPr>
            <w:tcW w:w="100" w:type="dxa"/>
            <w:vAlign w:val="bottom"/>
            <w:shd w:val="clear" w:color="auto" w:fill="CCEEFF"/>
          </w:tcPr>
          <w:p>
            <w:pPr>
              <w:spacing w:after="0"/>
              <w:rPr>
                <w:sz w:val="15"/>
                <w:szCs w:val="15"/>
                <w:color w:val="auto"/>
              </w:rPr>
            </w:pPr>
          </w:p>
        </w:tc>
      </w:tr>
      <w:tr>
        <w:trPr>
          <w:trHeight w:val="182"/>
        </w:trPr>
        <w:tc>
          <w:tcPr>
            <w:tcW w:w="6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SVB Common Stock Warrants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2,525</w:t>
            </w:r>
          </w:p>
        </w:tc>
        <w:tc>
          <w:tcPr>
            <w:tcW w:w="3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2,525</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0.62</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2033</w:t>
            </w:r>
          </w:p>
        </w:tc>
        <w:tc>
          <w:tcPr>
            <w:tcW w:w="100" w:type="dxa"/>
            <w:vAlign w:val="bottom"/>
          </w:tcPr>
          <w:p>
            <w:pPr>
              <w:spacing w:after="0"/>
              <w:rPr>
                <w:sz w:val="15"/>
                <w:szCs w:val="15"/>
                <w:color w:val="auto"/>
              </w:rPr>
            </w:pPr>
          </w:p>
        </w:tc>
      </w:tr>
      <w:tr>
        <w:trPr>
          <w:trHeight w:val="182"/>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Promissory Note Common Stock Warrants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24,148</w:t>
            </w:r>
          </w:p>
        </w:tc>
        <w:tc>
          <w:tcPr>
            <w:tcW w:w="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24,148</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0.01</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October 2031</w:t>
            </w:r>
          </w:p>
        </w:tc>
      </w:tr>
      <w:tr>
        <w:trPr>
          <w:trHeight w:val="182"/>
        </w:trPr>
        <w:tc>
          <w:tcPr>
            <w:tcW w:w="6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July 2023 Common Stock Warrants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38,981</w:t>
            </w:r>
          </w:p>
        </w:tc>
        <w:tc>
          <w:tcPr>
            <w:tcW w:w="3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38,981</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0.01</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July 2028</w:t>
            </w:r>
          </w:p>
        </w:tc>
      </w:tr>
      <w:tr>
        <w:trPr>
          <w:trHeight w:val="182"/>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Stock Warrants Issued in 2023 (“Merger Warrants”)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6,266,572</w:t>
            </w:r>
          </w:p>
        </w:tc>
        <w:tc>
          <w:tcPr>
            <w:tcW w:w="3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6,266,572</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11.50</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July 18, 2033</w:t>
            </w:r>
          </w:p>
        </w:tc>
      </w:tr>
      <w:tr>
        <w:trPr>
          <w:trHeight w:val="182"/>
        </w:trPr>
        <w:tc>
          <w:tcPr>
            <w:tcW w:w="6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Ayna Warrant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6,000,000</w:t>
            </w:r>
          </w:p>
        </w:tc>
        <w:tc>
          <w:tcPr>
            <w:tcW w:w="1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0.01</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June 2029</w:t>
            </w:r>
          </w:p>
        </w:tc>
      </w:tr>
      <w:tr>
        <w:trPr>
          <w:trHeight w:val="202"/>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Cantor Warrant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3,066,141</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3,066,141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1.68</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June 2029</w:t>
            </w:r>
          </w:p>
        </w:tc>
      </w:tr>
      <w:tr>
        <w:trPr>
          <w:trHeight w:val="168"/>
        </w:trPr>
        <w:tc>
          <w:tcPr>
            <w:tcW w:w="60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shares of common stock – equity classified warrants</w:t>
            </w:r>
          </w:p>
        </w:tc>
        <w:tc>
          <w:tcPr>
            <w:tcW w:w="11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10,061,930</w:t>
            </w:r>
          </w:p>
        </w:tc>
        <w:tc>
          <w:tcPr>
            <w:tcW w:w="220" w:type="dxa"/>
            <w:vAlign w:val="bottom"/>
            <w:tcBorders>
              <w:top w:val="single" w:sz="8" w:color="CCEEFF"/>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16,061,930</w:t>
            </w:r>
          </w:p>
        </w:tc>
        <w:tc>
          <w:tcPr>
            <w:tcW w:w="24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94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CCEEFF"/>
              <w:bottom w:val="single" w:sz="8" w:color="CCEEFF"/>
            </w:tcBorders>
          </w:tcPr>
          <w:p>
            <w:pPr>
              <w:spacing w:after="0"/>
              <w:rPr>
                <w:sz w:val="14"/>
                <w:szCs w:val="14"/>
                <w:color w:val="auto"/>
              </w:rPr>
            </w:pPr>
          </w:p>
        </w:tc>
        <w:tc>
          <w:tcPr>
            <w:tcW w:w="10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r>
      <w:tr>
        <w:trPr>
          <w:trHeight w:val="185"/>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potential shares of common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25,670,265</w:t>
            </w: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31,670,265</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5489" w:right="2420" w:hanging="5489"/>
        <w:spacing w:after="0" w:line="634" w:lineRule="auto"/>
        <w:tabs>
          <w:tab w:leader="none" w:pos="273" w:val="left"/>
        </w:tabs>
        <w:numPr>
          <w:ilvl w:val="0"/>
          <w:numId w:val="9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warrants expire five years after the Closing date of the Mergers, which date was July 18, 2023, or earlier upon redemption or liquidation. 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715391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62"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5"/>
          <w:szCs w:val="15"/>
          <w:u w:val="single" w:color="auto"/>
          <w:color w:val="auto"/>
        </w:rPr>
        <w:t>Ayna warrant</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June 17, 2024, a warrant to purchase 6,000,000 shares of the Company’s common stock (“Ayna Warrant”) was issued to Ayna.AI LLC (“Ayna”)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spacing w:after="0" w:line="14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 xml:space="preserve">The Ayna Warrant was accounted for under ASC 718 </w:t>
      </w:r>
      <w:r>
        <w:rPr>
          <w:rFonts w:ascii="Times New Roman" w:cs="Times New Roman" w:eastAsia="Times New Roman" w:hAnsi="Times New Roman"/>
          <w:sz w:val="15"/>
          <w:szCs w:val="15"/>
          <w:i w:val="1"/>
          <w:iCs w:val="1"/>
          <w:color w:val="auto"/>
        </w:rPr>
        <w:t>Compensation – Stock Compensation</w:t>
      </w:r>
      <w:r>
        <w:rPr>
          <w:rFonts w:ascii="Times New Roman" w:cs="Times New Roman" w:eastAsia="Times New Roman" w:hAnsi="Times New Roman"/>
          <w:sz w:val="15"/>
          <w:szCs w:val="15"/>
          <w:color w:val="auto"/>
        </w:rPr>
        <w:t xml:space="preserve"> as it met the conditions for equity classification and therefore, the Ayna Warrant was not subsequently remeasured in future periods. The Company recognized expense of $3.8 million and $5.4 million in the thirteen and thirty-nine week periods ended September 29, 2024, respectively.</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Ayna Warrant became fully exercisable for the 6,000,000 shares of the Company’s common stock on September 9, 2024. The Ayna Warrant was exercised in full for cash of $0.06 million in January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Cantor warrant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In July 2024, the Company issued a warrant (“Cantor Warrant”) to a third-party service provider to purchase 3,066,141 shares of the Company’s common stock in exchange for services provided in the issuance of the July 2024 Notes (refer to Note 9 – Borrowings and Derivative Liabilities).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Exchange Agreement (as defined in Note 9 – Borrowings and Derivative Liabilities) and reduced the gain on the troubled debt restructuring recognized in the Company’s annual consolidated statement of operations and comprehensive loss for fiscal 2024 as described in Note 9 – Borrowings and Derivative Liabilities. The fair value of the Cantor Warrant was derived using the Black-Scholes model with the following assumptions: expected volatility of 55%; risk-free interest rate of 4.2%; expected term of 5 years; and no dividend yield. The fair value of this warrant was recorded within additional paid-in capital on the Company’s unaudited condensed consolidated balance sheets and has not been subsequently remeasured in future periods as it met the conditions for equity classification.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Carlyle warrant</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February 2022, as part of a debt financing arrangement with Carlyle , the Company issued Carlyle a warrant to purchase 2,886,952 shares of Legacy Complete Solaria Common Stock at a price per share of $0.01. The warrant contained two tranches, the first of which was immediately exercisable for 1,995,879 shares of common stock. The second tranche expired on December 31, 2022, prior to becoming exercisable. In December 2023, Carlyle was issued a warrant to purchase an additional 2,190,604 shares of the Company’s common stock related to an anti-dilution provision under the then-existing debt arrangement with Carlyle.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In July 2023, and in connection with the closing of the Mergers, the Company entered into the Carlyle Warrant Amendment (as defined in Note 9 – Borrowings and Derivative Liabilities), Based on the exchange ratio included in the Mergers, the 1,995,879 outstanding warrants to purchase Legacy Complete Solaria Common Stock prior to modification were exchanged into warrants to purchase 1,995,879 shares of Complete Solaria Common Stock. The Carlyle Warrant Amendment required the Company to issue to Carlyle a warrant to purchase up to 2,745,879 shares of Company Common Stock at a price per share of $0.01, which was inclusive of the outstanding warrant to purchase 1,995,879 shares at the time of modification. The warrant, which expires on July 18, 2030, provided Carlyle with the right to purchase shares of Company Common Stock based on (a) the greater of (i) 1,995,879 shares and (ii) the number of shares equal to 2.795% of the Company’s issued and outstanding shares of common stock, on a fully-diluted basis; plus (b) on and after the date that was ten (10) days after the date of the agreement, an additional 350,000 shares; plus (c) on and after the date that was thirty (30) days after the date of the agreement, if the original investment amount had not been repaid, an additional 150,000 shares; plus (d) on and after the date that was ninety (90) days after the date of the agreement, if the original investment amount had not been repaid, an additional 250,000 shares, in each case, of Company Common Stock at a price of $0.01 per share. The modification of the warrant resulted in the reclassification of previously equity-classified warrants to liability classification, which was accounted for in accordance with ASC 815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 xml:space="preserve"> and ASC 718, </w:t>
      </w:r>
      <w:r>
        <w:rPr>
          <w:rFonts w:ascii="Times New Roman" w:cs="Times New Roman" w:eastAsia="Times New Roman" w:hAnsi="Times New Roman"/>
          <w:sz w:val="15"/>
          <w:szCs w:val="15"/>
          <w:i w:val="1"/>
          <w:iCs w:val="1"/>
          <w:color w:val="auto"/>
        </w:rPr>
        <w:t>Compensation – Stock Compensation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159" w:name="page160"/>
    <w:bookmarkEnd w:id="159"/>
    <w:p>
      <w:pPr>
        <w:jc w:val="both"/>
        <w:spacing w:after="0" w:line="270" w:lineRule="auto"/>
        <w:rPr>
          <w:sz w:val="20"/>
          <w:szCs w:val="20"/>
          <w:color w:val="auto"/>
        </w:rPr>
      </w:pPr>
      <w:r>
        <w:rPr>
          <w:rFonts w:ascii="Times New Roman" w:cs="Times New Roman" w:eastAsia="Times New Roman" w:hAnsi="Times New Roman"/>
          <w:sz w:val="15"/>
          <w:szCs w:val="15"/>
          <w:color w:val="auto"/>
        </w:rPr>
        <w:t>The change in the fair value of the liability classified Carlyle Warrant through June 30, 2024, was recorded within Other expense, net in the accompanying condensed consolidated statements of operations and comprehensive loss. The change in the fair value of the Carlyle Warrant resulted in income of $2.9 million in the twenty-six week period ended June 30, 2024.</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July 1, 2024, in connection with the Exchange Agreement, the Carlyle Warrant was modified, and the modification fixed the number of shares of the Company’s common stock that may be issued upon exercise of the Carlyle Warrant at 4,936,483. At the July 1, 2024, modification date, the Carlyle Warrant had a fair value of $7.3 million compared to its fair value of $6.6 million on June 30, 2024. The Company recognized this $0.7 million of expense related to the remeasurement of the Carlyle Warrant liability to its fair value within “Gain on Extinguishment of Debt” within the Company’s consolidated statement of operations and comprehensive loss in its fiscal 2024 consolidated results. The modification of the Carlyle Warrant also resulted in the reclassification of the Carlyle Warrant from liability to equity classification, resulting in an increase to additional paid-in capital of $7.3 million and a reduction in the warrant liability of $7.3 million.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Carlyle exercised the warrant for shares of the Company’s common stock in the fourth quarter of fiscal 2024.</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(9) Borrowings and Derivative Liabilities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The Company’s borrowings and derivative liabilities consist of the following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12.0% senior unsecured convertible notes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July 2024 Notes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36,998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17,965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July 2024 Notes derivative liability</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21,664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13,563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July 2024 Notes – related parties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8,155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24,632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July 2024 derivative liability – related parties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13,940</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21,127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July 2025 Note – related party</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1,373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July 2025 Note – derivative liability – related party</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3,468</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7.0% senior unsecured convertible notes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September 2024 Notes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15,750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5,636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September 2024 Notes derivative liability</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53,301</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55,474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September 2024 Notes – related party</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1,714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476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September 2024 Notes – derivative liability – related party</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5,922</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6,958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September 2025 Notes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4,218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September 2025 Notes derivative liability</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16,274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762" w:right="319" w:bottom="1440" w:gutter="0" w:footer="0" w:header="0"/>
        </w:sectPr>
      </w:pPr>
    </w:p>
    <w:p>
      <w:pPr>
        <w:spacing w:after="0"/>
        <w:rPr>
          <w:sz w:val="20"/>
          <w:szCs w:val="20"/>
          <w:color w:val="auto"/>
        </w:rPr>
      </w:pPr>
      <w:r>
        <w:rPr>
          <w:rFonts w:ascii="Times New Roman" w:cs="Times New Roman" w:eastAsia="Times New Roman" w:hAnsi="Times New Roman"/>
          <w:sz w:val="15"/>
          <w:szCs w:val="15"/>
          <w:color w:val="auto"/>
        </w:rPr>
        <w:t>Note payable to Seller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5391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391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Loan with related party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notes payable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53910" cy="1447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3910" cy="14478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Notes payable and convertible notes, net of current portion</w:t>
      </w:r>
    </w:p>
    <w:p>
      <w:pPr>
        <w:spacing w:after="0" w:line="20" w:lineRule="exact"/>
        <w:rPr>
          <w:sz w:val="20"/>
          <w:szCs w:val="20"/>
          <w:color w:val="auto"/>
        </w:rPr>
      </w:pPr>
      <w:r>
        <w:rPr>
          <w:sz w:val="20"/>
          <w:szCs w:val="20"/>
          <w:color w:val="auto"/>
        </w:rPr>
        <w:br w:type="column"/>
      </w:r>
    </w:p>
    <w:p>
      <w:pPr>
        <w:ind w:left="720"/>
        <w:spacing w:after="0"/>
        <w:tabs>
          <w:tab w:leader="none" w:pos="2300" w:val="left"/>
        </w:tabs>
        <w:rPr>
          <w:sz w:val="20"/>
          <w:szCs w:val="20"/>
          <w:color w:val="auto"/>
        </w:rPr>
      </w:pPr>
      <w:r>
        <w:rPr>
          <w:rFonts w:ascii="Times New Roman" w:cs="Times New Roman" w:eastAsia="Times New Roman" w:hAnsi="Times New Roman"/>
          <w:sz w:val="15"/>
          <w:szCs w:val="15"/>
          <w:color w:val="auto"/>
        </w:rPr>
        <w:t>20,000</w:t>
      </w:r>
      <w:r>
        <w:rPr>
          <w:sz w:val="20"/>
          <w:szCs w:val="20"/>
          <w:color w:val="auto"/>
        </w:rPr>
        <w:tab/>
      </w:r>
      <w:r>
        <w:rPr>
          <w:rFonts w:ascii="Times New Roman" w:cs="Times New Roman" w:eastAsia="Times New Roman" w:hAnsi="Times New Roman"/>
          <w:sz w:val="15"/>
          <w:szCs w:val="15"/>
          <w:color w:val="auto"/>
        </w:rPr>
        <w:t>—</w:t>
      </w:r>
    </w:p>
    <w:p>
      <w:pPr>
        <w:spacing w:after="0" w:line="10" w:lineRule="exact"/>
        <w:rPr>
          <w:sz w:val="20"/>
          <w:szCs w:val="20"/>
          <w:color w:val="auto"/>
        </w:rPr>
      </w:pPr>
    </w:p>
    <w:p>
      <w:pPr>
        <w:ind w:left="800"/>
        <w:spacing w:after="0"/>
        <w:tabs>
          <w:tab w:leader="none" w:pos="2120" w:val="left"/>
        </w:tabs>
        <w:rPr>
          <w:sz w:val="20"/>
          <w:szCs w:val="20"/>
          <w:color w:val="auto"/>
        </w:rPr>
      </w:pPr>
      <w:r>
        <w:rPr>
          <w:rFonts w:ascii="Times New Roman" w:cs="Times New Roman" w:eastAsia="Times New Roman" w:hAnsi="Times New Roman"/>
          <w:sz w:val="15"/>
          <w:szCs w:val="15"/>
          <w:color w:val="auto"/>
        </w:rPr>
        <w:t>1,500</w:t>
      </w:r>
      <w:r>
        <w:rPr>
          <w:sz w:val="20"/>
          <w:szCs w:val="20"/>
          <w:color w:val="auto"/>
        </w:rPr>
        <w:tab/>
      </w:r>
      <w:r>
        <w:rPr>
          <w:rFonts w:ascii="Times New Roman" w:cs="Times New Roman" w:eastAsia="Times New Roman" w:hAnsi="Times New Roman"/>
          <w:sz w:val="15"/>
          <w:szCs w:val="15"/>
          <w:color w:val="auto"/>
        </w:rPr>
        <w:t>1,500</w:t>
      </w:r>
    </w:p>
    <w:p>
      <w:pPr>
        <w:spacing w:after="0" w:line="29"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5"/>
          <w:szCs w:val="15"/>
          <w:color w:val="auto"/>
        </w:rPr>
        <w:t>204,277</w:t>
      </w:r>
      <w:r>
        <w:rPr>
          <w:sz w:val="20"/>
          <w:szCs w:val="20"/>
          <w:color w:val="auto"/>
        </w:rPr>
        <w:tab/>
      </w:r>
      <w:r>
        <w:rPr>
          <w:rFonts w:ascii="Times New Roman" w:cs="Times New Roman" w:eastAsia="Times New Roman" w:hAnsi="Times New Roman"/>
          <w:sz w:val="15"/>
          <w:szCs w:val="15"/>
          <w:color w:val="auto"/>
        </w:rPr>
        <w:t>147,331</w:t>
      </w:r>
    </w:p>
    <w:p>
      <w:pPr>
        <w:spacing w:after="0" w:line="25" w:lineRule="exact"/>
        <w:rPr>
          <w:sz w:val="20"/>
          <w:szCs w:val="20"/>
          <w:color w:val="auto"/>
        </w:rPr>
      </w:pPr>
    </w:p>
    <w:p>
      <w:pPr>
        <w:jc w:val="right"/>
        <w:ind w:right="60"/>
        <w:spacing w:after="0"/>
        <w:tabs>
          <w:tab w:leader="none" w:pos="420" w:val="left"/>
        </w:tabs>
        <w:rPr>
          <w:sz w:val="20"/>
          <w:szCs w:val="20"/>
          <w:color w:val="auto"/>
        </w:rPr>
      </w:pPr>
      <w:r>
        <w:rPr>
          <w:rFonts w:ascii="Times New Roman" w:cs="Times New Roman" w:eastAsia="Times New Roman" w:hAnsi="Times New Roman"/>
          <w:sz w:val="15"/>
          <w:szCs w:val="15"/>
          <w:color w:val="auto"/>
        </w:rPr>
        <w:t>(21,500)</w:t>
      </w:r>
      <w:r>
        <w:rPr>
          <w:sz w:val="20"/>
          <w:szCs w:val="20"/>
          <w:color w:val="auto"/>
        </w:rPr>
        <w:tab/>
      </w:r>
      <w:r>
        <w:rPr>
          <w:rFonts w:ascii="Times New Roman" w:cs="Times New Roman" w:eastAsia="Times New Roman" w:hAnsi="Times New Roman"/>
          <w:sz w:val="15"/>
          <w:szCs w:val="15"/>
          <w:color w:val="auto"/>
        </w:rPr>
        <w:t>(1,500)</w:t>
      </w:r>
    </w:p>
    <w:p>
      <w:pPr>
        <w:spacing w:after="0" w:line="40" w:lineRule="exact"/>
        <w:rPr>
          <w:sz w:val="20"/>
          <w:szCs w:val="20"/>
          <w:color w:val="auto"/>
        </w:rPr>
      </w:pPr>
    </w:p>
    <w:p>
      <w:pPr>
        <w:spacing w:after="0"/>
        <w:tabs>
          <w:tab w:leader="none" w:pos="620" w:val="left"/>
          <w:tab w:leader="none" w:pos="1340" w:val="left"/>
          <w:tab w:leader="none" w:pos="196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182,777</w:t>
        <w:tab/>
        <w:t>$</w:t>
      </w:r>
      <w:r>
        <w:rPr>
          <w:sz w:val="20"/>
          <w:szCs w:val="20"/>
          <w:color w:val="auto"/>
        </w:rPr>
        <w:tab/>
      </w:r>
      <w:r>
        <w:rPr>
          <w:rFonts w:ascii="Times New Roman" w:cs="Times New Roman" w:eastAsia="Times New Roman" w:hAnsi="Times New Roman"/>
          <w:sz w:val="15"/>
          <w:szCs w:val="15"/>
          <w:color w:val="auto"/>
        </w:rPr>
        <w:t>145,831</w:t>
      </w:r>
    </w:p>
    <w:p>
      <w:pPr>
        <w:spacing w:after="0" w:line="24" w:lineRule="exact"/>
        <w:rPr>
          <w:sz w:val="20"/>
          <w:szCs w:val="20"/>
          <w:color w:val="auto"/>
        </w:rPr>
      </w:pPr>
    </w:p>
    <w:p>
      <w:pPr>
        <w:sectPr>
          <w:pgSz w:w="11900" w:h="16838" w:orient="portrait"/>
          <w:cols w:equalWidth="0" w:num="2">
            <w:col w:w="7960" w:space="720"/>
            <w:col w:w="2580"/>
          </w:cols>
          <w:pgMar w:left="320" w:top="762" w:right="31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528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182"/>
        </w:trPr>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As classified in the unaudited condensed consolidated balance sheets</w:t>
            </w:r>
          </w:p>
        </w:tc>
        <w:tc>
          <w:tcPr>
            <w:tcW w:w="3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Notes payable to related parties</w:t>
            </w:r>
          </w:p>
        </w:tc>
        <w:tc>
          <w:tcPr>
            <w:tcW w:w="3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21,500</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1,500</w:t>
            </w:r>
          </w:p>
        </w:tc>
      </w:tr>
      <w:tr>
        <w:trPr>
          <w:trHeight w:val="182"/>
        </w:trPr>
        <w:tc>
          <w:tcPr>
            <w:tcW w:w="5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Notes payable and derivative liabilities</w:t>
            </w:r>
          </w:p>
        </w:tc>
        <w:tc>
          <w:tcPr>
            <w:tcW w:w="3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148,205</w:t>
            </w:r>
          </w:p>
        </w:tc>
        <w:tc>
          <w:tcPr>
            <w:tcW w:w="3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92,638</w:t>
            </w:r>
          </w:p>
        </w:tc>
      </w:tr>
      <w:tr>
        <w:trPr>
          <w:trHeight w:val="213"/>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Notes payable and derivative liabilities with related parties, net of current portion</w:t>
            </w:r>
          </w:p>
        </w:tc>
        <w:tc>
          <w:tcPr>
            <w:tcW w:w="3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34,572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53,193</w:t>
            </w:r>
          </w:p>
        </w:tc>
      </w:tr>
      <w:tr>
        <w:trPr>
          <w:trHeight w:val="168"/>
        </w:trPr>
        <w:tc>
          <w:tcPr>
            <w:tcW w:w="5280" w:type="dxa"/>
            <w:vAlign w:val="bottom"/>
            <w:tcBorders>
              <w:top w:val="single" w:sz="8" w:color="CCEEFF"/>
            </w:tcBorders>
          </w:tcPr>
          <w:p>
            <w:pPr>
              <w:ind w:left="260"/>
              <w:spacing w:after="0" w:line="165" w:lineRule="exact"/>
              <w:rPr>
                <w:sz w:val="20"/>
                <w:szCs w:val="20"/>
                <w:color w:val="auto"/>
              </w:rPr>
            </w:pPr>
            <w:r>
              <w:rPr>
                <w:rFonts w:ascii="Times New Roman" w:cs="Times New Roman" w:eastAsia="Times New Roman" w:hAnsi="Times New Roman"/>
                <w:sz w:val="15"/>
                <w:szCs w:val="15"/>
                <w:color w:val="auto"/>
              </w:rPr>
              <w:t>Total notes payable</w:t>
            </w:r>
          </w:p>
        </w:tc>
        <w:tc>
          <w:tcPr>
            <w:tcW w:w="3400" w:type="dxa"/>
            <w:vAlign w:val="bottom"/>
            <w:tcBorders>
              <w:top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204,277</w:t>
            </w: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147,331</w:t>
            </w:r>
          </w:p>
        </w:tc>
        <w:tc>
          <w:tcPr>
            <w:tcW w:w="100" w:type="dxa"/>
            <w:vAlign w:val="bottom"/>
            <w:tcBorders>
              <w:top w:val="single" w:sz="8" w:color="CCEEFF"/>
            </w:tcBorders>
          </w:tcPr>
          <w:p>
            <w:pPr>
              <w:spacing w:after="0"/>
              <w:rPr>
                <w:sz w:val="14"/>
                <w:szCs w:val="14"/>
                <w:color w:val="auto"/>
              </w:rPr>
            </w:pPr>
          </w:p>
        </w:tc>
      </w:tr>
      <w:tr>
        <w:trPr>
          <w:trHeight w:val="20"/>
        </w:trPr>
        <w:tc>
          <w:tcPr>
            <w:tcW w:w="52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3"/>
        </w:trPr>
        <w:tc>
          <w:tcPr>
            <w:tcW w:w="5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jc w:val="right"/>
              <w:ind w:right="3226"/>
              <w:spacing w:after="0"/>
              <w:rPr>
                <w:sz w:val="20"/>
                <w:szCs w:val="20"/>
                <w:color w:val="auto"/>
              </w:rPr>
            </w:pPr>
            <w:r>
              <w:rPr>
                <w:rFonts w:ascii="Times New Roman" w:cs="Times New Roman" w:eastAsia="Times New Roman" w:hAnsi="Times New Roman"/>
                <w:sz w:val="15"/>
                <w:szCs w:val="15"/>
                <w:color w:val="auto"/>
              </w:rPr>
              <w:t>F-25</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62" w:right="31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5"/>
          <w:szCs w:val="15"/>
          <w:b w:val="1"/>
          <w:bCs w:val="1"/>
          <w:i w:val="1"/>
          <w:iCs w:val="1"/>
          <w:color w:val="auto"/>
        </w:rPr>
        <w:t>12.0% senior unsecured convertible notes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July 2024 Notes</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July 2024, the Company issued $46.0 million of senior unsecured convertible notes (“July 2024 Notes”) to various lenders. Of the July 2024 Notes, $10.0 million were issued to a third party, $18.0 million were issued to a related party affiliated with the Company’s Chief Executive Officer and a director, Rodgers Revocable Trust, and $18.0 million were issued in exchange for the cancellation of indebtedness as discussed below of which $10.0 million were issued to Carlyle which was also deemed to be a related party at the date of the exchange. During the thirteen week period ended June 29, 2025, Carlyle was no longer deemed a related party to the Company. Refer to Note 2 (h) – Summary of Significant Accounting Policies – “</w:t>
      </w:r>
      <w:r>
        <w:rPr>
          <w:rFonts w:ascii="Times New Roman" w:cs="Times New Roman" w:eastAsia="Times New Roman" w:hAnsi="Times New Roman"/>
          <w:sz w:val="15"/>
          <w:szCs w:val="15"/>
          <w:i w:val="1"/>
          <w:iCs w:val="1"/>
          <w:color w:val="auto"/>
        </w:rPr>
        <w:t>Changes in related parties</w:t>
      </w:r>
      <w:r>
        <w:rPr>
          <w:rFonts w:ascii="Times New Roman" w:cs="Times New Roman" w:eastAsia="Times New Roman" w:hAnsi="Times New Roman"/>
          <w:sz w:val="15"/>
          <w:szCs w:val="15"/>
          <w:color w:val="auto"/>
        </w:rPr>
        <w:t>” for details. The July 2024 Notes bear interest at 12.0% per annum, and the principal is payable in full at maturity on July 1, 2029. The interest is payable in cash on January 1 and July 1 of each year, beginning on July 1, 2025. The interest rate increases by 3% in the event of default. The July 2024 Notes are convertible into shares of the Company’s common stock at the option of the holder at a conversion rate of $1.68 per share. Holders of the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an initial derivative liability of $28.7 million on the issuance date with a corresponding debt discount.</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In connection with the issuance of the July 2024 Notes, the Company issued the Cantor Warrant, as described in Note 8 – Capital Stock, to purchase shares of the Company’s common stock. At issuance, the Cantor Warrant had a fair value of $1.4 million, of which $0.9 million was recorded as a debt discount, and $0.5 million was included in the calculation of the Company’s gain on the troubled debt restructuring as further described below in the </w:t>
      </w:r>
      <w:r>
        <w:rPr>
          <w:rFonts w:ascii="Times New Roman" w:cs="Times New Roman" w:eastAsia="Times New Roman" w:hAnsi="Times New Roman"/>
          <w:sz w:val="15"/>
          <w:szCs w:val="15"/>
          <w:i w:val="1"/>
          <w:iCs w:val="1"/>
          <w:color w:val="auto"/>
        </w:rPr>
        <w:t>Exchange Agreement</w:t>
      </w:r>
      <w:r>
        <w:rPr>
          <w:rFonts w:ascii="Times New Roman" w:cs="Times New Roman" w:eastAsia="Times New Roman" w:hAnsi="Times New Roman"/>
          <w:sz w:val="15"/>
          <w:szCs w:val="15"/>
          <w:color w:val="auto"/>
        </w:rPr>
        <w:t>. The effective interest rate is 33.4% and 31.7% on the July 2024 Notes’ principal amounts of $28.0 million and $18.0 million, respectively.</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There are no financial covenants. The July 2024 Notes are not in default. However, due to the Company’s delayed filing of its Form 10-K for the year ended December 29, 2024, the Company was required to accrue incremental interest of 0.5% beginning April 16, 2025 through April 30, 2025, the date upon which the Form 10-K was filed. Due to the Company’s delayed filing of its Form 10Q for the third quarter ended September 28, 2025 (“Q3 2025 Form 10Q”), the Company was required to accrue incremental interest of 0.5% beginning November 17, 2025, through December 19, 2025, the date upon which the Q3 2025 Form 10Q was filed.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carrying amount of the convertible July 2024 Notes, inclusive of the fair value of the derivative liabilities was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Pr>
          <w:p>
            <w:pPr>
              <w:spacing w:after="0"/>
              <w:rPr>
                <w:sz w:val="15"/>
                <w:szCs w:val="15"/>
                <w:color w:val="auto"/>
              </w:rPr>
            </w:pPr>
          </w:p>
        </w:tc>
        <w:tc>
          <w:tcPr>
            <w:tcW w:w="10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2024 Notes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69,876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70,348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July 2024 Notes derivative liability</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35,604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34,690</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Unamortized debt discount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(24,723)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(27,751)</w:t>
            </w:r>
          </w:p>
        </w:tc>
        <w:tc>
          <w:tcPr>
            <w:tcW w:w="0" w:type="dxa"/>
            <w:vAlign w:val="bottom"/>
          </w:tcPr>
          <w:p>
            <w:pPr>
              <w:spacing w:after="0"/>
              <w:rPr>
                <w:sz w:val="1"/>
                <w:szCs w:val="1"/>
                <w:color w:val="auto"/>
              </w:rPr>
            </w:pPr>
          </w:p>
        </w:tc>
      </w:tr>
      <w:tr>
        <w:trPr>
          <w:trHeight w:val="168"/>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carrying amount of July 2024 Notes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80,757</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77,287</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xml:space="preserve">Contingent interest payable upon default and included in the July 2024 Notes was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Pr>
          <w:p>
            <w:pPr>
              <w:spacing w:after="0"/>
              <w:rPr>
                <w:sz w:val="15"/>
                <w:szCs w:val="15"/>
                <w:color w:val="auto"/>
              </w:rPr>
            </w:pPr>
          </w:p>
        </w:tc>
        <w:tc>
          <w:tcPr>
            <w:tcW w:w="10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Contingent interest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Contingent interest payable – related parties</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1,575</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contingent interest payable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80"/>
              <w:spacing w:after="0"/>
              <w:rPr>
                <w:sz w:val="20"/>
                <w:szCs w:val="20"/>
                <w:color w:val="auto"/>
              </w:rPr>
            </w:pPr>
            <w:r>
              <w:rPr>
                <w:rFonts w:ascii="Times New Roman" w:cs="Times New Roman" w:eastAsia="Times New Roman" w:hAnsi="Times New Roman"/>
                <w:sz w:val="15"/>
                <w:szCs w:val="15"/>
                <w:color w:val="auto"/>
              </w:rPr>
              <w:t>F-26</w:t>
            </w: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86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58" w:right="319"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Interest expense and amortization of debt discount cost were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80" w:type="dxa"/>
            <w:vAlign w:val="bottom"/>
          </w:tcPr>
          <w:p>
            <w:pPr>
              <w:spacing w:after="0"/>
              <w:rPr>
                <w:sz w:val="24"/>
                <w:szCs w:val="24"/>
                <w:color w:val="auto"/>
              </w:rPr>
            </w:pPr>
          </w:p>
        </w:tc>
        <w:tc>
          <w:tcPr>
            <w:tcW w:w="2480" w:type="dxa"/>
            <w:vAlign w:val="bottom"/>
            <w:gridSpan w:val="6"/>
          </w:tcPr>
          <w:p>
            <w:pPr>
              <w:ind w:left="30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36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w w:val="88"/>
              </w:rPr>
              <w:t>849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debt discount</w:t>
            </w: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1,072</w:t>
            </w:r>
          </w:p>
        </w:tc>
        <w:tc>
          <w:tcPr>
            <w:tcW w:w="80" w:type="dxa"/>
            <w:vAlign w:val="bottom"/>
          </w:tcPr>
          <w:p>
            <w:pPr>
              <w:spacing w:after="0"/>
              <w:rPr>
                <w:sz w:val="17"/>
                <w:szCs w:val="17"/>
                <w:color w:val="auto"/>
              </w:rPr>
            </w:pP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5"/>
                <w:szCs w:val="15"/>
                <w:color w:val="auto"/>
              </w:rPr>
              <w:t>864</w:t>
            </w:r>
          </w:p>
        </w:tc>
        <w:tc>
          <w:tcPr>
            <w:tcW w:w="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3,028</w:t>
            </w: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w w:val="94"/>
              </w:rPr>
              <w:t>1,713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7,210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5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Related parties’ portion of interest expense and amortization of debt discount included in the</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above amounts</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 — related parties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550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5"/>
                <w:szCs w:val="15"/>
                <w:color w:val="auto"/>
              </w:rPr>
              <w:t>546</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1,932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debt discount — related parties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421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526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1,391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4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 related parties</w:t>
            </w: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971</w:t>
            </w: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ind w:left="700"/>
              <w:spacing w:after="0" w:line="165" w:lineRule="exact"/>
              <w:rPr>
                <w:sz w:val="20"/>
                <w:szCs w:val="20"/>
                <w:color w:val="auto"/>
              </w:rPr>
            </w:pPr>
            <w:r>
              <w:rPr>
                <w:rFonts w:ascii="Times New Roman" w:cs="Times New Roman" w:eastAsia="Times New Roman" w:hAnsi="Times New Roman"/>
                <w:sz w:val="15"/>
                <w:szCs w:val="15"/>
                <w:color w:val="auto"/>
                <w:w w:val="94"/>
              </w:rPr>
              <w:t>1,072</w:t>
            </w: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3,323</w:t>
            </w: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1,072</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July 2025 Note – related party</w:t>
      </w:r>
    </w:p>
    <w:p>
      <w:pPr>
        <w:spacing w:after="0" w:line="19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On July 10, 2025, the Company issued a convertible promissory note (the “July 2025 Note”) to the Rodgers Revocable Trust in exchange for $5.0 million of proceeds received by the Company.</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July 2025 Note has a stated interest rate of 12.0%. The July 2025 Note is a general unsecured obligation of the Company and will mature on July 1, 2029, unless earlier converted, redeemed or repurchased. Interest on the July 2025 Note will accrue at a rate of 12.00% per year from the date of issuance and will be payable semiannually in arrears on January 1 and July 1 of each year, beginning on January 1, 2026. The July 2025 Note is convertible at the option of the holder at any time prior to the payment of the payment of the principal amount of the July 2025 Note in full. Upon conversion of the July 2025 Note, the Company will satisfy its conversion obligation by delivering shares of common stock and paying cash in respect of any fractional shares. The conversion rate of the July 2025 Note is initially equal to 558.6592 shares of common stock per $1,000 principal amount due under the July 2025 Note. The conversion rate is subject to adjustment from time to time pursuant to the terms of the July 2025 Note. The conversion option related to the July 2025 Note was required to be bifurcated as a derivative liability, and the Company recorded a derivative liability of $3.7 million on the issuance date. The July 2025 Note has an effective interest rate of 62.8%.</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carrying amount of the convertible July 2025 Note, inclusive of the fair value of the derivative liabilities was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left="84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w w:val="98"/>
              </w:rPr>
              <w:t>September 28,</w:t>
            </w:r>
          </w:p>
        </w:tc>
        <w:tc>
          <w:tcPr>
            <w:tcW w:w="80" w:type="dxa"/>
            <w:vAlign w:val="bottom"/>
          </w:tcPr>
          <w:p>
            <w:pPr>
              <w:spacing w:after="0"/>
              <w:rPr>
                <w:sz w:val="15"/>
                <w:szCs w:val="15"/>
                <w:color w:val="auto"/>
              </w:rPr>
            </w:pPr>
          </w:p>
        </w:tc>
        <w:tc>
          <w:tcPr>
            <w:tcW w:w="104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2025 Note – related party</w:t>
            </w: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July 2025 Note derivative liability – related party</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3,468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Unamortized debt discount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(3,627)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442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carrying amount of July 2025 Note – related party</w:t>
            </w:r>
          </w:p>
        </w:tc>
        <w:tc>
          <w:tcPr>
            <w:tcW w:w="15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4,841</w:t>
            </w: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ind w:left="880"/>
              <w:spacing w:after="0" w:line="165"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8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 xml:space="preserve">Interest expense and amortization of debt discount cost, all of which was with a related party were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80" w:type="dxa"/>
            <w:vAlign w:val="bottom"/>
            <w:gridSpan w:val="6"/>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3"/>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6"/>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0" w:type="dxa"/>
            <w:vAlign w:val="bottom"/>
          </w:tcPr>
          <w:p>
            <w:pPr>
              <w:spacing w:after="0"/>
              <w:rPr>
                <w:sz w:val="1"/>
                <w:szCs w:val="1"/>
                <w:color w:val="auto"/>
              </w:rPr>
            </w:pPr>
          </w:p>
        </w:tc>
      </w:tr>
      <w:tr>
        <w:trPr>
          <w:trHeight w:val="163"/>
        </w:trPr>
        <w:tc>
          <w:tcPr>
            <w:tcW w:w="4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36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1120" w:type="dxa"/>
            <w:vAlign w:val="bottom"/>
            <w:tcBorders>
              <w:top w:val="single" w:sz="8" w:color="auto"/>
            </w:tcBorders>
            <w:gridSpan w:val="2"/>
          </w:tcPr>
          <w:p>
            <w:pPr>
              <w:ind w:left="8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jc w:val="right"/>
              <w:ind w:right="32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 related party</w:t>
            </w: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debt discount – related party</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53</w:t>
            </w:r>
          </w:p>
        </w:tc>
        <w:tc>
          <w:tcPr>
            <w:tcW w:w="840" w:type="dxa"/>
            <w:vAlign w:val="bottom"/>
          </w:tcPr>
          <w:p>
            <w:pPr>
              <w:spacing w:after="0"/>
              <w:rPr>
                <w:sz w:val="17"/>
                <w:szCs w:val="17"/>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7"/>
                <w:szCs w:val="17"/>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 related party</w:t>
            </w:r>
          </w:p>
        </w:tc>
        <w:tc>
          <w:tcPr>
            <w:tcW w:w="15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4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F-27</w:t>
            </w: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58"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5"/>
          <w:szCs w:val="15"/>
          <w:b w:val="1"/>
          <w:bCs w:val="1"/>
          <w:i w:val="1"/>
          <w:iCs w:val="1"/>
          <w:color w:val="auto"/>
        </w:rPr>
        <w:t>7.0% senior unsecured convertible notes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September 16, 2024, the Company entered into an Indenture agreement with U.S. Bank Trust Company, National Association, as trustee (the “Indenture”), for the issuance of 7.0% senior unsecured convertible notes (“7.0% Senior Notes”). The 7.0% Senior Notes issued under the Indenture bear interest at 7.0% per annum, and the interest is payable semiannually in arrears on January 1 and July 1 of each year beginning on January 1, 2025. The principal is payable in full at maturity on July 1, 2029. The 7.0% Senior Notes are convertible into shares of the Company’s common stock at the option of the holder at a conversion rate of $2.14 per common share. Holders of the 7.0% Senior Notes may convert at any time.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September 2024 Notes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 xml:space="preserve">In September 2024, the Company issued $66.8 million of the 7.0% Senior Notes to various parties (the “September 2024 Notes”), $4.0 million of which were issued to Rodgers Family Freedom and Free Markets Charitable Trust (“Massey Charitable Trust”), a related party and $4.0 million were issued to Rodgers Revocable Trust (collectively with Massey Charitable Trust, “Massey Trusts”), also a related party. The conversion option related to the September 2024 Notes was required to be bifurcated as a derivative liability, and the Company recorded a derivative liability of $91.5 million on the issuance date. As the fair value of the derivative liability exceeded the proceeds received, the Company recorded a corresponding financing loss of $24.7 million and debt discount for $66.8 million as of the issuance date as further described below in the </w:t>
      </w:r>
      <w:r>
        <w:rPr>
          <w:rFonts w:ascii="Times New Roman" w:cs="Times New Roman" w:eastAsia="Times New Roman" w:hAnsi="Times New Roman"/>
          <w:sz w:val="15"/>
          <w:szCs w:val="15"/>
          <w:i w:val="1"/>
          <w:iCs w:val="1"/>
          <w:color w:val="auto"/>
        </w:rPr>
        <w:t>Exchange Agreement</w:t>
      </w:r>
      <w:r>
        <w:rPr>
          <w:rFonts w:ascii="Times New Roman" w:cs="Times New Roman" w:eastAsia="Times New Roman" w:hAnsi="Times New Roman"/>
          <w:sz w:val="15"/>
          <w:szCs w:val="15"/>
          <w:color w:val="auto"/>
        </w:rPr>
        <w:t>. In December 2024, the Company issued an additional $13.0 million of September 2024 Notes for cash. The Company recognized a $10.9 million debt discount in connection with these additional proceeds. The Company issued an additional $0.2 million of September 2024 Notes in the thirteen week period ended March 30, 2025. The effective interest rates are 27.6%, 47.3% and 7.0% on the September 2024 Notes’ principal amounts of $66.8 million, $13.0 million and $0.2 million,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carrying amount of the convertible September 2024 Notes, inclusive of the fair value of the derivative liabilities was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Pr>
          <w:p>
            <w:pPr>
              <w:spacing w:after="0"/>
              <w:rPr>
                <w:sz w:val="15"/>
                <w:szCs w:val="15"/>
                <w:color w:val="auto"/>
              </w:rPr>
            </w:pPr>
          </w:p>
        </w:tc>
        <w:tc>
          <w:tcPr>
            <w:tcW w:w="104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2024 Notes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79,800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September 2024 Notes derivative liability</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59,223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62,432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Unamortized debt discount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(62,536)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(73,688)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4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carrying amount of September 2024 Notes and derivative liabilities</w:t>
            </w:r>
          </w:p>
        </w:tc>
        <w:tc>
          <w:tcPr>
            <w:tcW w:w="1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76,687</w:t>
            </w: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68,544</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xml:space="preserve">Interest expense and amortization of debt discount cost were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6"/>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jc w:val="center"/>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1,431</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debt discount</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3,790</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11,152</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454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15,405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Related parties’ portion of interest expense and amortization of debt discount included in the</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above amounts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 – related parties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425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debt discount – related parties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422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1,253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4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 related parties</w:t>
            </w: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565</w:t>
            </w: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60</w:t>
            </w:r>
          </w:p>
        </w:tc>
        <w:tc>
          <w:tcPr>
            <w:tcW w:w="2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1,678</w:t>
            </w: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60</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5460"/>
              <w:spacing w:after="0"/>
              <w:rPr>
                <w:sz w:val="20"/>
                <w:szCs w:val="20"/>
                <w:color w:val="auto"/>
              </w:rPr>
            </w:pPr>
            <w:r>
              <w:rPr>
                <w:rFonts w:ascii="Times New Roman" w:cs="Times New Roman" w:eastAsia="Times New Roman" w:hAnsi="Times New Roman"/>
                <w:sz w:val="15"/>
                <w:szCs w:val="15"/>
                <w:color w:val="auto"/>
              </w:rPr>
              <w:t>F-28</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0" w:type="dxa"/>
            <w:vAlign w:val="bottom"/>
          </w:tcPr>
          <w:p>
            <w:pPr>
              <w:spacing w:after="0"/>
              <w:rPr>
                <w:sz w:val="24"/>
                <w:szCs w:val="24"/>
                <w:color w:val="auto"/>
              </w:rPr>
            </w:pPr>
          </w:p>
        </w:tc>
        <w:tc>
          <w:tcPr>
            <w:tcW w:w="5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58" w:right="319" w:bottom="1440" w:gutter="0" w:footer="0" w:header="0"/>
        </w:sectPr>
      </w:pPr>
    </w:p>
    <w:bookmarkStart w:id="163" w:name="page164"/>
    <w:bookmarkEnd w:id="163"/>
    <w:p>
      <w:pPr>
        <w:ind w:left="9"/>
        <w:spacing w:after="0"/>
        <w:rPr>
          <w:sz w:val="20"/>
          <w:szCs w:val="20"/>
          <w:color w:val="auto"/>
        </w:rPr>
      </w:pPr>
      <w:r>
        <w:rPr>
          <w:rFonts w:ascii="Times New Roman" w:cs="Times New Roman" w:eastAsia="Times New Roman" w:hAnsi="Times New Roman"/>
          <w:sz w:val="15"/>
          <w:szCs w:val="15"/>
          <w:u w:val="single" w:color="auto"/>
          <w:color w:val="auto"/>
        </w:rPr>
        <w:t>September 2025 Notes</w:t>
      </w:r>
    </w:p>
    <w:p>
      <w:pPr>
        <w:spacing w:after="0" w:line="192"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On September 21, 2025, the Company issued an additional $22.0 million of the 7.0% Senior Notes (the “September 2025 Notes”) to various parties. The September 2025 Notes were issued pursuant to the Indenture. The September 2025 Notes contain a conversion option related to which requires bifurcation and recognition of a derivative liability, and the Company recorded a derivative liability of $15.4 million on the issuance date. The Company recognized a $2.2 million debt discount and $0.2 million of debt issuance costs in connection with the September 2025 Notes. The effective interest rate on the September 2025 Notes is 65.1%. The net proceeds of $19.6 million from the issuance of the September 2025 Notes were principally used to pay a portion of the cash consideration for the Company’s acquisition of Sunder.</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 xml:space="preserve">The carrying amount of the convertible September 2025 Notes, inclusive of the fair value of the derivative liabilities was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203"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left="84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Pr>
          <w:p>
            <w:pPr>
              <w:spacing w:after="0"/>
              <w:rPr>
                <w:sz w:val="15"/>
                <w:szCs w:val="15"/>
                <w:color w:val="auto"/>
              </w:rPr>
            </w:pPr>
          </w:p>
        </w:tc>
        <w:tc>
          <w:tcPr>
            <w:tcW w:w="104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2025 Notes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22,000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September 2025 Notes derivative liability</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16,274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Unamortized debt discount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(17,782)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596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carrying amount of September 2025 Notes and derivative liabilities</w:t>
            </w:r>
          </w:p>
        </w:tc>
        <w:tc>
          <w:tcPr>
            <w:tcW w:w="1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20,492</w:t>
            </w: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ind w:left="880"/>
              <w:spacing w:after="0" w:line="165" w:lineRule="exact"/>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xml:space="preserve">Interest expense and amortization of debt discount cost were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6"/>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0" w:type="dxa"/>
            <w:vAlign w:val="bottom"/>
          </w:tcPr>
          <w:p>
            <w:pPr>
              <w:spacing w:after="0"/>
              <w:rPr>
                <w:sz w:val="1"/>
                <w:szCs w:val="1"/>
                <w:color w:val="auto"/>
              </w:rPr>
            </w:pPr>
          </w:p>
        </w:tc>
      </w:tr>
      <w:tr>
        <w:trPr>
          <w:trHeight w:val="163"/>
        </w:trPr>
        <w:tc>
          <w:tcPr>
            <w:tcW w:w="59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jc w:val="center"/>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debt discount</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7"/>
                <w:szCs w:val="17"/>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Note payable to Seller – related party</w:t>
      </w:r>
    </w:p>
    <w:p>
      <w:pPr>
        <w:spacing w:after="0" w:line="196" w:lineRule="exact"/>
        <w:rPr>
          <w:sz w:val="20"/>
          <w:szCs w:val="20"/>
          <w:color w:val="auto"/>
        </w:rPr>
      </w:pPr>
    </w:p>
    <w:p>
      <w:pPr>
        <w:jc w:val="both"/>
        <w:ind w:left="9"/>
        <w:spacing w:after="0" w:line="256" w:lineRule="auto"/>
        <w:rPr>
          <w:sz w:val="20"/>
          <w:szCs w:val="20"/>
          <w:color w:val="auto"/>
        </w:rPr>
      </w:pPr>
      <w:r>
        <w:rPr>
          <w:rFonts w:ascii="Times New Roman" w:cs="Times New Roman" w:eastAsia="Times New Roman" w:hAnsi="Times New Roman"/>
          <w:sz w:val="15"/>
          <w:szCs w:val="15"/>
          <w:color w:val="auto"/>
        </w:rPr>
        <w:t>On September 24, 2025, the Company issued a note payable to the sellers of Sunder (“Seller Note”) to the Seller/Member in connection with the acquisition of 100% of the membership interests in Sunder. 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w:t>
      </w:r>
    </w:p>
    <w:p>
      <w:pPr>
        <w:spacing w:after="0" w:line="4" w:lineRule="exact"/>
        <w:rPr>
          <w:sz w:val="20"/>
          <w:szCs w:val="20"/>
          <w:color w:val="auto"/>
        </w:rPr>
      </w:pPr>
    </w:p>
    <w:p>
      <w:pPr>
        <w:jc w:val="both"/>
        <w:ind w:left="9" w:hanging="9"/>
        <w:spacing w:after="0" w:line="256" w:lineRule="auto"/>
        <w:tabs>
          <w:tab w:leader="none" w:pos="218"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material breach of the covenants applicable to the Company under the Seller Note, subject to applicable cure periods, and (f) if any of the Company’s representations or warranties made in the Seller Note were untrue in any material respect when made. The Company concluded that since the sellers joined the Company and have a level of influence that is not insignificant, they are related parties of the Company and therefore the Seller Note is a related party obligation. Management concluded that the carrying value of the Seller Note approximates its fair value due to the short-term nature of the obligation. Interest expense recognized on the Seller Note was less than $0.1 million in the thirteen and thirty-nine week periods ended September 28, 2025.</w:t>
      </w:r>
    </w:p>
    <w:p>
      <w:pPr>
        <w:spacing w:after="0" w:line="33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62"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5"/>
          <w:szCs w:val="15"/>
          <w:i w:val="1"/>
          <w:iCs w:val="1"/>
          <w:color w:val="auto"/>
        </w:rPr>
        <w:t>Exchange Agreement</w:t>
      </w:r>
    </w:p>
    <w:p>
      <w:pPr>
        <w:spacing w:after="0" w:line="1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5"/>
          <w:szCs w:val="15"/>
          <w:color w:val="auto"/>
        </w:rPr>
        <w:t xml:space="preserve">On July 1, 2024, the Company entered into an Exchange Agreement (the “Exchange Agreement”) with Carlyle, which was deemed to be a related party beginning in fiscal 2024 and ended as of March 30, 2025 as described in Note 2 (h) Summary of Significant Accounting Policies – </w:t>
      </w:r>
      <w:r>
        <w:rPr>
          <w:rFonts w:ascii="Times New Roman" w:cs="Times New Roman" w:eastAsia="Times New Roman" w:hAnsi="Times New Roman"/>
          <w:sz w:val="15"/>
          <w:szCs w:val="15"/>
          <w:i w:val="1"/>
          <w:iCs w:val="1"/>
          <w:color w:val="auto"/>
        </w:rPr>
        <w:t>Changes in related parties</w:t>
      </w:r>
      <w:r>
        <w:rPr>
          <w:rFonts w:ascii="Times New Roman" w:cs="Times New Roman" w:eastAsia="Times New Roman" w:hAnsi="Times New Roman"/>
          <w:sz w:val="15"/>
          <w:szCs w:val="15"/>
          <w:color w:val="auto"/>
        </w:rPr>
        <w:t>, and Kline Hill (as defined below) providing for:</w:t>
      </w:r>
    </w:p>
    <w:p>
      <w:pPr>
        <w:spacing w:after="0" w:line="134" w:lineRule="exact"/>
        <w:rPr>
          <w:sz w:val="20"/>
          <w:szCs w:val="20"/>
          <w:color w:val="auto"/>
        </w:rPr>
      </w:pPr>
    </w:p>
    <w:p>
      <w:pPr>
        <w:jc w:val="both"/>
        <w:ind w:left="540" w:hanging="276"/>
        <w:spacing w:after="0" w:line="270" w:lineRule="auto"/>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a note for the principal amount of $10.0 million to Carlyle as part of the July 2024 Notes;</w:t>
      </w:r>
    </w:p>
    <w:p>
      <w:pPr>
        <w:spacing w:after="0" w:line="191" w:lineRule="exact"/>
        <w:rPr>
          <w:rFonts w:ascii="Times New Roman" w:cs="Times New Roman" w:eastAsia="Times New Roman" w:hAnsi="Times New Roman"/>
          <w:sz w:val="15"/>
          <w:szCs w:val="15"/>
          <w:color w:val="auto"/>
        </w:rPr>
      </w:pPr>
    </w:p>
    <w:p>
      <w:pPr>
        <w:jc w:val="both"/>
        <w:ind w:left="540" w:hanging="276"/>
        <w:spacing w:after="0" w:line="270" w:lineRule="auto"/>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the 2018 Bridge Notes, the revolving loan and a secured credit facility (“Secured Credit Facility”), and the satisfaction of all obligations owed to Kline Hill by the Company under the terminated debt instruments;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a note for the principal amount of $8.0 million to Kline Hill as part of the July 2024 Notes;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1,500,000 shares of common stock, par value $0.0001 per share, of the Company (the “Common Stock”) to Kline Hill (the “Shares”).</w:t>
      </w:r>
    </w:p>
    <w:p>
      <w:pPr>
        <w:spacing w:after="0" w:line="1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At the date of the cancellation under the Exchange Agreement, the Company’s indebtedness to CS Solis was $37.2 million and the indebtedness to Kline Hill was comprised of the 2018 Bridge Notes of $11.7 million, Revolving Loan balance assigned to Kline Hill of $3.9 million, and the Secured Credit Facility balance of $13.1 million.</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concluded that the transactions entered into in the Exchange Agreement represented a troubled debt restructuring as the Company was experiencing financial difficulty, and the new terms of the July 2024 Notes resulted in a concession to the Company. As the carrying amount of the debt exceeded the future undiscounted cash payments under the new terms on the date of the exchange, the Company recorded a gain on the troubled debt restructuring of $19.8 million in the thirteen week and thirty-nine week periods ended September 29, 2024 and recorded an additional gain of $2.5 million in the fourth quarter of fiscal 2024 for an aggregate gain on troubled debt restructuring of $22.3 million in fiscal 2024.</w:t>
      </w:r>
    </w:p>
    <w:p>
      <w:pPr>
        <w:spacing w:after="0" w:line="15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Prior to the Exchange Agreement, the Company recorded accretion of the liability of the debt in CS Solis as related party interest expense of zero and $3.9 million in the thirteen and thirty-nine week periods ended September 29, 2024,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Interest expense recognized on the 2018 Bridge Notes was zero and $0.7 million in the thirteen and thirty-nine week periods ended September 29, 2024,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Interest expense on the Secured Credit Facility was zero and $1.0 million in the thirteen and thirty-nine week periods ended September 29, 2024,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Revolving loan with related party</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Prior to entering into the Exchange Agreement, the Company had a revolving loan (“Aggregate Revolving Loan”) due to Kline Hill and Rodgers Revocable Trust, a related party. The Aggregate Revolving Loan had an annual interest rate equal to the greater of 7.75% or Prime plus 4.5%. In connection with the Exchange Agreement in July 2024, $3.5 million of the Revolving Loan, plus accrued interest owed to Kline Hill, was exchanged for a portion of the July 2024 Notes. The principal balance of $1.5 million (“Related Party Loan”) owing to the Rodgers Revocable Trust (plus accrued interest) remained outstanding as of September 28, 2025, and December 29, 2024. There are no financial covenants.</w:t>
      </w:r>
    </w:p>
    <w:p>
      <w:pPr>
        <w:spacing w:after="0" w:line="15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Interest expense recognized on the Aggregate Revolving Loan was less than $0.1 million in each of the thirteen week periods ended September 28, 2025 and September 29, 2024. Interest expense recognized on the Aggregate Revolving Loan was $0.2 million and $0.4 million in the thirty-nine week periods ended September 28, 2025, and September 29, 2024, respectively.</w:t>
      </w:r>
    </w:p>
    <w:p>
      <w:pPr>
        <w:spacing w:after="0" w:line="32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Of the total interest expense recognized on the Aggregate Revolving Loan, related party interest expense recognized was less than $0.1 million in each of the thirteen week periods ended September 28, 2025 and September 29, 2024, and $0.2 million and $0.4 million in the thirty-nine week periods ended September 28, 2025, and September 29, 2024.</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5"/>
          <w:szCs w:val="15"/>
          <w:b w:val="1"/>
          <w:bCs w:val="1"/>
          <w:color w:val="auto"/>
        </w:rPr>
        <w:t>(10) SAFE Agreements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First SAFE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On January 31, 2024, the Company entered into a Simple Agreement for Future Equity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April 21, 2024, the Company entered into an amendment (“First SAFE Amendment”) that converted the First SAFE investment of $1.5 million into 4,166,667 shares of the Company’s common stock based on a conversion price of $0.36 per share, defined in the First SAFE Amendment as the product of (i) $0.45, the closing price of the Company’s common stock on April 19, 2024, multiplied by (ii) 80%. Upon conversion, the Company recorded a debit to the First SAFE Agreement of $1.5 million, a credit to Additional paid-in-capital of $1.9 million and recognized expense of $0.4 million within Other expense, net in its unaudited condensed consolidated statement of operations in the Company’s second fiscal quarter ended June 30,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Second SAFE</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transaction at a per share conversion price which was equal to the lower of (i) the Second SAFE Price, and (ii) 80% of the price per share of the Company’s common stock sold in an Equity Financing transaction.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multiplied by (ii) 80%.</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April 21, 2024, the Company entered into an amendment (“Second SAFE Amendment”) that converted the Second SAFE investment of $3.5 million into 9,722,222 shares of the Company’s common stock based on a conversion price of $0.36 per share, defined in the Second SAFE Amendment as the product of (i) $0.45, the closing price of the Company’s common stock on April 19, 2024, multiplied by (ii) 80%. Upon conversion, the Company recorded a debit to the Second SAFE Agreement of $3.5 million, a credit to Additional paid-in-capital of $4.4 million and recognized expense of $0.9 million within Other expense, net in its unaudited condensed consolidated statement of operations in the Company’s second fiscal quarter ended June 30, 2024.</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5"/>
          <w:szCs w:val="15"/>
          <w:i w:val="1"/>
          <w:iCs w:val="1"/>
          <w:color w:val="auto"/>
        </w:rPr>
        <w:t>Third SAFE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transaction, at a per share conversion price which is equal to 50% of the price per share of the Company’s common stock sold in an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Third SAFE may be settled in cash or a variable number of shares, the Company has accounted for the instrument as a liability at its fair value.</w:t>
      </w:r>
    </w:p>
    <w:p>
      <w:pPr>
        <w:spacing w:after="0" w:line="15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estimated fair value of the Third SAFE was $0.5 million and $0.4 million as of September 28, 2025 and December 29, 2024, based upon the assumptions disclosed in Note 4 – Fair Value Measurements.</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change in the fair value of the Third SAFE is recorded within Other expense, net in the accompanying condensed consolidated statements of operations and comprehensive loss. The change in the fair value of the Third SAFE was expense of $0.1 million and $0.9 million in the thirteen week periods ended September 28, 2025 and September 29, 2024, respectively. The change in the fair value of the Third SAFE was expense of $0.1 million and $0.9 million in the thirty-nine week periods ended September 28, 2025 and September 29, 2024,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 Stock-Based Compensation</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SunPower common stock may be issued under the 2023 Plan. In addition, the number of shares of SunPower common stock reserved for issuance under the 2023 Plan will automatically increase on January 1 of each year, starting on January 1, 2024 and ending on January 1, 2033, in an amount equal to the lesser of (1) 4% of the total number of shares of SunPower’s common stock outstanding on December 31 of the preceding year, or (2) a lesser number of shares of SunPower common stock determined by SunPower’s Board prior to the date of the increase. The maximum number of shares of SunPower common stock that may be issued on the exercise of incentive stock options (“ISOs”) under the 2023 Plan is three times the number of shares available for issuance upon the 2023 Plan becoming effective (or 26,289,966 shares).</w:t>
      </w:r>
    </w:p>
    <w:p>
      <w:pPr>
        <w:spacing w:after="0" w:line="15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Company’s 2023 Incentive Equity Plan (“2023 Plan”), “the Plans”).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29, 2024 are also recognized equally over the vesting period of five years.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97"/>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The information below summarizes the stock option activity under the Plans.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4"/>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ind w:left="188"/>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8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ind w:left="188"/>
              <w:spacing w:after="0"/>
              <w:rPr>
                <w:sz w:val="20"/>
                <w:szCs w:val="20"/>
                <w:color w:val="auto"/>
              </w:rPr>
            </w:pPr>
            <w:r>
              <w:rPr>
                <w:rFonts w:ascii="Times New Roman" w:cs="Times New Roman" w:eastAsia="Times New Roman" w:hAnsi="Times New Roman"/>
                <w:sz w:val="15"/>
                <w:szCs w:val="15"/>
                <w:b w:val="1"/>
                <w:bCs w:val="1"/>
                <w:color w:val="auto"/>
              </w:rPr>
              <w:t>Exercise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Contractual</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Intrinsic</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860" w:type="dxa"/>
            <w:vAlign w:val="bottom"/>
          </w:tcPr>
          <w:p>
            <w:pPr>
              <w:jc w:val="center"/>
              <w:ind w:left="188"/>
              <w:spacing w:after="0"/>
              <w:rPr>
                <w:sz w:val="20"/>
                <w:szCs w:val="20"/>
                <w:color w:val="auto"/>
              </w:rPr>
            </w:pPr>
            <w:r>
              <w:rPr>
                <w:rFonts w:ascii="Times New Roman" w:cs="Times New Roman" w:eastAsia="Times New Roman" w:hAnsi="Times New Roman"/>
                <w:sz w:val="15"/>
                <w:szCs w:val="15"/>
                <w:b w:val="1"/>
                <w:bCs w:val="1"/>
                <w:color w:val="auto"/>
              </w:rPr>
              <w:t>Price per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60" w:type="dxa"/>
            <w:vAlign w:val="bottom"/>
          </w:tcPr>
          <w:p>
            <w:pPr>
              <w:jc w:val="center"/>
              <w:ind w:left="188"/>
              <w:spacing w:after="0"/>
              <w:rPr>
                <w:sz w:val="20"/>
                <w:szCs w:val="20"/>
                <w:color w:val="auto"/>
              </w:rPr>
            </w:pPr>
            <w:r>
              <w:rPr>
                <w:rFonts w:ascii="Times New Roman" w:cs="Times New Roman" w:eastAsia="Times New Roman" w:hAnsi="Times New Roman"/>
                <w:sz w:val="15"/>
                <w:szCs w:val="15"/>
                <w:b w:val="1"/>
                <w:bCs w:val="1"/>
                <w:color w:val="auto"/>
                <w:w w:val="95"/>
              </w:rPr>
              <w:t>Share</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6"/>
              </w:rPr>
              <w:t>(Years)</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tc>
        <w:tc>
          <w:tcPr>
            <w:tcW w:w="0" w:type="dxa"/>
            <w:vAlign w:val="bottom"/>
          </w:tcPr>
          <w:p>
            <w:pPr>
              <w:spacing w:after="0"/>
              <w:rPr>
                <w:sz w:val="1"/>
                <w:szCs w:val="1"/>
                <w:color w:val="auto"/>
              </w:rPr>
            </w:pPr>
          </w:p>
        </w:tc>
      </w:tr>
      <w:tr>
        <w:trPr>
          <w:trHeight w:val="182"/>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Outstanding—December 29,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9,997,233</w:t>
            </w:r>
          </w:p>
        </w:tc>
        <w:tc>
          <w:tcPr>
            <w:tcW w:w="2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1"/>
              </w:rPr>
              <w:t>2.77</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exercised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(712,467)</w:t>
            </w:r>
          </w:p>
        </w:tc>
        <w:tc>
          <w:tcPr>
            <w:tcW w:w="8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0.73</w:t>
            </w:r>
          </w:p>
        </w:tc>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Options canceled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(4,874,689)</w:t>
            </w:r>
          </w:p>
        </w:tc>
        <w:tc>
          <w:tcPr>
            <w:tcW w:w="86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2.53</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Outstanding—September 28,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4,410,078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3.04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2,157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Vested and expected to vest— September 28, 2025</w:t>
            </w:r>
          </w:p>
        </w:tc>
        <w:tc>
          <w:tcPr>
            <w:tcW w:w="1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3.04</w:t>
            </w:r>
          </w:p>
        </w:tc>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2,157</w:t>
            </w:r>
          </w:p>
        </w:tc>
        <w:tc>
          <w:tcPr>
            <w:tcW w:w="0" w:type="dxa"/>
            <w:vAlign w:val="bottom"/>
          </w:tcPr>
          <w:p>
            <w:pPr>
              <w:spacing w:after="0" w:line="20" w:lineRule="exact"/>
              <w:rPr>
                <w:sz w:val="1"/>
                <w:szCs w:val="1"/>
                <w:color w:val="auto"/>
              </w:rPr>
            </w:pPr>
          </w:p>
        </w:tc>
      </w:tr>
      <w:tr>
        <w:trPr>
          <w:trHeight w:val="219"/>
        </w:trPr>
        <w:tc>
          <w:tcPr>
            <w:tcW w:w="5960" w:type="dxa"/>
            <w:vAlign w:val="bottom"/>
            <w:tcBorders>
              <w:bottom w:val="single" w:sz="8" w:color="CCEEFF"/>
            </w:tcBorders>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4,410,078</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960" w:type="dxa"/>
            <w:vAlign w:val="bottom"/>
            <w:tcBorders>
              <w:bottom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Vested and exercisable— September 28,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2,364,439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6.98</w:t>
            </w:r>
          </w:p>
        </w:tc>
        <w:tc>
          <w:tcPr>
            <w:tcW w:w="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00"/>
              <w:spacing w:after="0" w:line="166" w:lineRule="exact"/>
              <w:rPr>
                <w:sz w:val="20"/>
                <w:szCs w:val="20"/>
                <w:color w:val="auto"/>
              </w:rPr>
            </w:pPr>
            <w:r>
              <w:rPr>
                <w:rFonts w:ascii="Times New Roman" w:cs="Times New Roman" w:eastAsia="Times New Roman" w:hAnsi="Times New Roman"/>
                <w:sz w:val="15"/>
                <w:szCs w:val="15"/>
                <w:color w:val="auto"/>
              </w:rPr>
              <w:t>722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The information below summarizes the RSU activity.</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of RSUs</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0" w:type="dxa"/>
            <w:vAlign w:val="bottom"/>
          </w:tcPr>
          <w:p>
            <w:pPr>
              <w:spacing w:after="0"/>
              <w:rPr>
                <w:sz w:val="1"/>
                <w:szCs w:val="1"/>
                <w:color w:val="auto"/>
              </w:rPr>
            </w:pPr>
          </w:p>
        </w:tc>
      </w:tr>
      <w:tr>
        <w:trPr>
          <w:trHeight w:val="182"/>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at December 29, 2024</w:t>
            </w:r>
          </w:p>
        </w:tc>
        <w:tc>
          <w:tcPr>
            <w:tcW w:w="1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1,982,135</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22,235,871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1.73</w:t>
            </w: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 and released</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(4,318,313)</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1.74</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Cancelled or forfeited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(3,756,238)</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1.73</w:t>
            </w:r>
          </w:p>
        </w:tc>
        <w:tc>
          <w:tcPr>
            <w:tcW w:w="0" w:type="dxa"/>
            <w:vAlign w:val="bottom"/>
          </w:tcPr>
          <w:p>
            <w:pPr>
              <w:spacing w:after="0"/>
              <w:rPr>
                <w:sz w:val="1"/>
                <w:szCs w:val="1"/>
                <w:color w:val="auto"/>
              </w:rPr>
            </w:pP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at September 28, 2025</w:t>
            </w: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16,143,455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Stock-based compensation expense was $4.2 million and $8.2 million in the thirteen and thirty-nine week periods ended September 28, 2025. Stock-based compensation expense was $1.5 million and $4.1 million in the thirteen and thirty-nine week periods ended September 29, 2024. As of September 28, 2025, unrecognized stock-based compensation costs related to service-based options and RSUs was $1.6 million and $29.4 million respectively, and such compensation cost is expected to be recognized over a weighted-average period of 2.8 years and 4.3 years, respectively.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(12) Commitments and Contingencies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Warranty provision</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Activity by period relating to the Company’s warranty provision was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5"/>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r>
      <w:tr>
        <w:trPr>
          <w:trHeight w:val="163"/>
        </w:trPr>
        <w:tc>
          <w:tcPr>
            <w:tcW w:w="86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60"/>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100" w:type="dxa"/>
            <w:vAlign w:val="bottom"/>
          </w:tcPr>
          <w:p>
            <w:pPr>
              <w:spacing w:after="0"/>
              <w:rPr>
                <w:sz w:val="14"/>
                <w:szCs w:val="14"/>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Warranty provision, 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5,968</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4,849</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Accruals for new warranties issued</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3,238</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830</w:t>
            </w: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Settlements, other</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(5,837)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(932)</w:t>
            </w:r>
          </w:p>
        </w:tc>
      </w:tr>
      <w:tr>
        <w:trPr>
          <w:trHeight w:val="20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Warranty provision,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3,369</w:t>
            </w:r>
          </w:p>
        </w:tc>
        <w:tc>
          <w:tcPr>
            <w:tcW w:w="2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4,747</w:t>
            </w:r>
          </w:p>
        </w:tc>
        <w:tc>
          <w:tcPr>
            <w:tcW w:w="100" w:type="dxa"/>
            <w:vAlign w:val="bottom"/>
            <w:tcBorders>
              <w:top w:val="single" w:sz="8" w:color="CCEEFF"/>
              <w:bottom w:val="single" w:sz="8" w:color="CCEEFF"/>
            </w:tcBorders>
          </w:tcPr>
          <w:p>
            <w:pPr>
              <w:spacing w:after="0"/>
              <w:rPr>
                <w:sz w:val="18"/>
                <w:szCs w:val="18"/>
                <w:color w:val="auto"/>
              </w:rPr>
            </w:pPr>
          </w:p>
        </w:tc>
      </w:tr>
      <w:tr>
        <w:trPr>
          <w:trHeight w:val="17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Warranty provision, current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1,425</w:t>
            </w:r>
          </w:p>
        </w:tc>
        <w:tc>
          <w:tcPr>
            <w:tcW w:w="100" w:type="dxa"/>
            <w:vAlign w:val="bottom"/>
            <w:shd w:val="clear" w:color="auto" w:fill="CCEEFF"/>
          </w:tcPr>
          <w:p>
            <w:pPr>
              <w:spacing w:after="0"/>
              <w:rPr>
                <w:sz w:val="15"/>
                <w:szCs w:val="15"/>
                <w:color w:val="auto"/>
              </w:rPr>
            </w:pP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Warranty provision, noncurrent</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2,140</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3,322</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agreements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Settlement of dispute with SunPower Debtors Bankruptcy Estate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p>
    <w:p>
      <w:pPr>
        <w:spacing w:after="0" w:line="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such that no amounts will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Legal matters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$9.2 million and $7.7 million recorded within accrued expenses and other current liabilities in its unaudited condensed consolidated balance sheets at each of September 28, 2025 and December 29, 2024.</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5"/>
          <w:szCs w:val="15"/>
          <w:b w:val="1"/>
          <w:bCs w:val="1"/>
          <w:i w:val="1"/>
          <w:iCs w:val="1"/>
          <w:color w:val="auto"/>
        </w:rPr>
        <w:t>SolarPark litigation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March 16, 2023, SolarPark filed a complaint against Solaria and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Solaria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liability has been recorded in the Company’s unaudited condensed consolidated financial statements as the likelihood of a loss is not probable at this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Siemens litigation</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July 22, 2021, Siemens Government Technologies, Inc. (“Siemens Government Technologies”) filed a lawsuit against Solaria Corporation in Fairfax Circuit Court (the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170" w:name="page171"/>
    <w:bookmarkEnd w:id="170"/>
    <w:p>
      <w:pPr>
        <w:jc w:val="both"/>
        <w:spacing w:after="0" w:line="264" w:lineRule="auto"/>
        <w:rPr>
          <w:sz w:val="20"/>
          <w:szCs w:val="20"/>
          <w:color w:val="auto"/>
        </w:rPr>
      </w:pPr>
      <w:r>
        <w:rPr>
          <w:rFonts w:ascii="Times New Roman" w:cs="Times New Roman" w:eastAsia="Times New Roman" w:hAnsi="Times New Roman"/>
          <w:sz w:val="15"/>
          <w:szCs w:val="15"/>
          <w:color w:val="auto"/>
        </w:rPr>
        <w:t>On February 22, 2024, the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The Company has appealed these judgments.</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 The Company continues pursuing global settlement negotiations with Siemens.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recognized $6.9 million as a legal settlement loss related to this litigation as of December 31, 2023. In the thirteen week period ended September 28, 2025, the Company recorded an additional $1.1 million of expense within discontinued operations in its unaudited condensed consolidated statement of operations and comprehensive (loss) to bring the liability for legal settlement with Siemens to $8.0 million as of September 28, 2025. This liability is included within accrued expenses and other current liabilities in the Company’s unaudited condensed consolidated balance sheets.</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recorded expense of $2.0 million within discontinued operations in its unaudited condensed consolidated statement of operations and comprehensive (loss) in the thirty-nine week period ended September 29, 2024, for attorneys’ fees, expenses, and pre-judgment interest, and this liability was also recorded within accrued expenses and other current liabilities in the Company’s unaudited condensed consolidated balance sheets as of September 28, 2025, and December 29, 2024.</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December 4, 2025, the Company entered into a Settlement Agreement (“Settlement Agreement”) with Siemens to resolve a case in the Court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of Company collateral. This security interest is reduced on a one-to-one basis as the settlement payments are made.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Letters of credit</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had $3.5 million of outstanding letters of credit related to normal business transactions as of September 28, 2025 and December 29, 2024.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at each of September 28, 2025 and December 29,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 Income Taxes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As a result of the Company’s history of net operating losses, the Company has provided a full valuation allowance against its deferred tax assets. For each of the thirteen week periods ended September 28, 2025, and September 29, 2024, the Company recognized income tax expense of zero. For the thirty-nine week periods ended September 28, 2025, and September 29, 2024, the Company recognized income tax expense of zero and eleven thousand dollars, respectively.</w:t>
      </w:r>
    </w:p>
    <w:p>
      <w:pPr>
        <w:spacing w:after="0" w:line="14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The One Big Beautiful Bill Act (“OBBBA”) was enacted on July 4, 2025. The OBBBA contains significant changes to corporate taxation, including accelerated deductions for capital expenditures, expensing of research and development costs incurred in the US, and increased deductibility of interest expense. The Company is currently evaluating the impact of OBBBA, but does not expect a material provision would impact the effective tax rate.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5"/>
          <w:szCs w:val="15"/>
          <w:b w:val="1"/>
          <w:bCs w:val="1"/>
          <w:color w:val="auto"/>
        </w:rPr>
        <w:t>(14) Basic and Diluted Net Loss Per Share</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 uses the two-class method to calculate net loss per share. No dividends were declared or paid in the thirteen and thirty-nine week periods ended September 28, 2025 and September 29, 2024.</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following table sets forth the computation of the Company’s basic and diluted net loss per share attributable to common stockholders for the thirteen and thirty-nine week periods ended September 28, 2025 and September 29, 2024 (in thousands, except share and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5"/>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80" w:type="dxa"/>
            <w:vAlign w:val="bottom"/>
          </w:tcPr>
          <w:p>
            <w:pPr>
              <w:spacing w:after="0"/>
              <w:rPr>
                <w:sz w:val="17"/>
                <w:szCs w:val="17"/>
                <w:color w:val="auto"/>
              </w:rPr>
            </w:pPr>
          </w:p>
        </w:tc>
        <w:tc>
          <w:tcPr>
            <w:tcW w:w="2480" w:type="dxa"/>
            <w:vAlign w:val="bottom"/>
            <w:gridSpan w:val="5"/>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0" w:type="dxa"/>
            <w:vAlign w:val="bottom"/>
          </w:tcPr>
          <w:p>
            <w:pPr>
              <w:spacing w:after="0"/>
              <w:rPr>
                <w:sz w:val="1"/>
                <w:szCs w:val="1"/>
                <w:color w:val="auto"/>
              </w:rPr>
            </w:pPr>
          </w:p>
        </w:tc>
      </w:tr>
      <w:tr>
        <w:trPr>
          <w:trHeight w:val="163"/>
        </w:trPr>
        <w:tc>
          <w:tcPr>
            <w:tcW w:w="59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28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302"/>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28,</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loss from continuing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(15,804)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(77,958)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(30,099)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(101,433)</w:t>
            </w:r>
          </w:p>
        </w:tc>
        <w:tc>
          <w:tcPr>
            <w:tcW w:w="0" w:type="dxa"/>
            <w:vAlign w:val="bottom"/>
          </w:tcPr>
          <w:p>
            <w:pPr>
              <w:spacing w:after="0"/>
              <w:rPr>
                <w:sz w:val="1"/>
                <w:szCs w:val="1"/>
                <w:color w:val="auto"/>
              </w:rPr>
            </w:pPr>
          </w:p>
        </w:tc>
      </w:tr>
      <w:tr>
        <w:trPr>
          <w:trHeight w:val="196"/>
        </w:trPr>
        <w:tc>
          <w:tcPr>
            <w:tcW w:w="59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loss from discontinued operations</w:t>
            </w:r>
          </w:p>
        </w:tc>
        <w:tc>
          <w:tcPr>
            <w:tcW w:w="80" w:type="dxa"/>
            <w:vAlign w:val="bottom"/>
          </w:tcPr>
          <w:p>
            <w:pPr>
              <w:spacing w:after="0"/>
              <w:rPr>
                <w:sz w:val="17"/>
                <w:szCs w:val="17"/>
                <w:color w:val="auto"/>
              </w:rPr>
            </w:pPr>
          </w:p>
        </w:tc>
        <w:tc>
          <w:tcPr>
            <w:tcW w:w="130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(1,100)</w:t>
            </w:r>
          </w:p>
        </w:tc>
        <w:tc>
          <w:tcPr>
            <w:tcW w:w="80" w:type="dxa"/>
            <w:vAlign w:val="bottom"/>
          </w:tcPr>
          <w:p>
            <w:pPr>
              <w:spacing w:after="0"/>
              <w:rPr>
                <w:sz w:val="17"/>
                <w:szCs w:val="17"/>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6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(1,100)</w:t>
            </w:r>
          </w:p>
        </w:tc>
        <w:tc>
          <w:tcPr>
            <w:tcW w:w="80" w:type="dxa"/>
            <w:vAlign w:val="bottom"/>
          </w:tcPr>
          <w:p>
            <w:pPr>
              <w:spacing w:after="0"/>
              <w:rPr>
                <w:sz w:val="17"/>
                <w:szCs w:val="17"/>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(2,007)</w:t>
            </w:r>
          </w:p>
        </w:tc>
        <w:tc>
          <w:tcPr>
            <w:tcW w:w="0" w:type="dxa"/>
            <w:vAlign w:val="bottom"/>
          </w:tcPr>
          <w:p>
            <w:pPr>
              <w:spacing w:after="0"/>
              <w:rPr>
                <w:sz w:val="1"/>
                <w:szCs w:val="1"/>
                <w:color w:val="auto"/>
              </w:rPr>
            </w:pPr>
          </w:p>
        </w:tc>
      </w:tr>
      <w:tr>
        <w:trPr>
          <w:trHeight w:val="185"/>
        </w:trPr>
        <w:tc>
          <w:tcPr>
            <w:tcW w:w="59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(16,904</w:t>
            </w:r>
          </w:p>
        </w:tc>
        <w:tc>
          <w:tcPr>
            <w:tcW w:w="240" w:type="dxa"/>
            <w:vAlign w:val="bottom"/>
            <w:tcBorders>
              <w:top w:val="single" w:sz="8" w:color="CCEEFF"/>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(77,958</w:t>
            </w:r>
          </w:p>
        </w:tc>
        <w:tc>
          <w:tcPr>
            <w:tcW w:w="240" w:type="dxa"/>
            <w:vAlign w:val="bottom"/>
            <w:tcBorders>
              <w:top w:val="single" w:sz="8" w:color="CCEEFF"/>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(31,199</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(103,440</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Weighted average common shares outstanding, basic and diluted</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84,904,228</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75,348,627</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82,036,790</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61,868,747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loss per share,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Continuing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(0.37)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196"/>
        </w:trPr>
        <w:tc>
          <w:tcPr>
            <w:tcW w:w="59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Discontinued operations</w:t>
            </w:r>
          </w:p>
        </w:tc>
        <w:tc>
          <w:tcPr>
            <w:tcW w:w="80" w:type="dxa"/>
            <w:vAlign w:val="bottom"/>
          </w:tcPr>
          <w:p>
            <w:pPr>
              <w:spacing w:after="0"/>
              <w:rPr>
                <w:sz w:val="17"/>
                <w:szCs w:val="17"/>
                <w:color w:val="auto"/>
              </w:rPr>
            </w:pPr>
          </w:p>
        </w:tc>
        <w:tc>
          <w:tcPr>
            <w:tcW w:w="130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(0.01)</w:t>
            </w:r>
          </w:p>
        </w:tc>
        <w:tc>
          <w:tcPr>
            <w:tcW w:w="80" w:type="dxa"/>
            <w:vAlign w:val="bottom"/>
          </w:tcPr>
          <w:p>
            <w:pPr>
              <w:spacing w:after="0"/>
              <w:rPr>
                <w:sz w:val="17"/>
                <w:szCs w:val="17"/>
                <w:color w:val="auto"/>
              </w:rPr>
            </w:pPr>
          </w:p>
        </w:tc>
        <w:tc>
          <w:tcPr>
            <w:tcW w:w="12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6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(0.01)</w:t>
            </w:r>
          </w:p>
        </w:tc>
        <w:tc>
          <w:tcPr>
            <w:tcW w:w="80" w:type="dxa"/>
            <w:vAlign w:val="bottom"/>
          </w:tcPr>
          <w:p>
            <w:pPr>
              <w:spacing w:after="0"/>
              <w:rPr>
                <w:sz w:val="17"/>
                <w:szCs w:val="17"/>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(0.03)</w:t>
            </w:r>
          </w:p>
        </w:tc>
        <w:tc>
          <w:tcPr>
            <w:tcW w:w="0" w:type="dxa"/>
            <w:vAlign w:val="bottom"/>
          </w:tcPr>
          <w:p>
            <w:pPr>
              <w:spacing w:after="0"/>
              <w:rPr>
                <w:sz w:val="1"/>
                <w:szCs w:val="1"/>
                <w:color w:val="auto"/>
              </w:rPr>
            </w:pPr>
          </w:p>
        </w:tc>
      </w:tr>
      <w:tr>
        <w:trPr>
          <w:trHeight w:val="185"/>
        </w:trPr>
        <w:tc>
          <w:tcPr>
            <w:tcW w:w="59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240" w:type="dxa"/>
            <w:vAlign w:val="bottom"/>
            <w:tcBorders>
              <w:top w:val="single" w:sz="8" w:color="CCEEFF"/>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240" w:type="dxa"/>
            <w:vAlign w:val="bottom"/>
            <w:tcBorders>
              <w:top w:val="single" w:sz="8" w:color="CCEEFF"/>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(0.38</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computation of basic net loss per share attributable to common stockholders is inclusive of warrants with an insignificant exercise price. The Company’s calculation of the weighted average shares outstanding is inclusive of 234,610 warrants with an insignificant exercise price (which assumes that the warrants were outstanding as of the beginning of the period or the date of the grant, whichever is earlier) for each of the thirteen and thirty-nine week periods ended September 28, 2025, respectively. The computation of diluted net loss per share attributable to common stockholders is the same for the thirteen and thirty-nine week periods ended September 28, 2025 and September 29, 2024 because the inclusion of potential shares of common stock would have been anti-dilutive for the periods presented.</w:t>
      </w:r>
    </w:p>
    <w:p>
      <w:pPr>
        <w:spacing w:after="0" w:line="15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740" w:type="dxa"/>
            <w:vAlign w:val="bottom"/>
            <w:gridSpan w:val="4"/>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2560" w:type="dxa"/>
            <w:vAlign w:val="bottom"/>
            <w:gridSpan w:val="4"/>
          </w:tcPr>
          <w:p>
            <w:pPr>
              <w:ind w:left="380"/>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r>
      <w:tr>
        <w:trPr>
          <w:trHeight w:val="163"/>
        </w:trPr>
        <w:tc>
          <w:tcPr>
            <w:tcW w:w="5960" w:type="dxa"/>
            <w:vAlign w:val="bottom"/>
          </w:tcPr>
          <w:p>
            <w:pPr>
              <w:spacing w:after="0"/>
              <w:rPr>
                <w:sz w:val="14"/>
                <w:szCs w:val="14"/>
                <w:color w:val="auto"/>
              </w:rPr>
            </w:pPr>
          </w:p>
        </w:tc>
        <w:tc>
          <w:tcPr>
            <w:tcW w:w="1380" w:type="dxa"/>
            <w:vAlign w:val="bottom"/>
            <w:tcBorders>
              <w:top w:val="single" w:sz="8" w:color="auto"/>
            </w:tcBorders>
            <w:gridSpan w:val="2"/>
          </w:tcPr>
          <w:p>
            <w:pPr>
              <w:jc w:val="right"/>
              <w:ind w:right="36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112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240" w:type="dxa"/>
            <w:vAlign w:val="bottom"/>
          </w:tcPr>
          <w:p>
            <w:pPr>
              <w:spacing w:after="0"/>
              <w:rPr>
                <w:sz w:val="14"/>
                <w:szCs w:val="14"/>
                <w:color w:val="auto"/>
              </w:rPr>
            </w:pPr>
          </w:p>
        </w:tc>
        <w:tc>
          <w:tcPr>
            <w:tcW w:w="1340" w:type="dxa"/>
            <w:vAlign w:val="bottom"/>
            <w:tcBorders>
              <w:top w:val="single" w:sz="8" w:color="auto"/>
            </w:tcBorders>
            <w:gridSpan w:val="2"/>
          </w:tcPr>
          <w:p>
            <w:pPr>
              <w:ind w:left="10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28,</w:t>
            </w:r>
          </w:p>
        </w:tc>
        <w:tc>
          <w:tcPr>
            <w:tcW w:w="1120" w:type="dxa"/>
            <w:vAlign w:val="bottom"/>
            <w:tcBorders>
              <w:top w:val="single" w:sz="8" w:color="auto"/>
            </w:tcBorders>
          </w:tcPr>
          <w:p>
            <w:pPr>
              <w:jc w:val="right"/>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4"/>
                <w:szCs w:val="14"/>
                <w:color w:val="auto"/>
              </w:rPr>
            </w:pPr>
          </w:p>
        </w:tc>
      </w:tr>
      <w:tr>
        <w:trPr>
          <w:trHeight w:val="203"/>
        </w:trPr>
        <w:tc>
          <w:tcPr>
            <w:tcW w:w="59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warrants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25,670,265</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31,670,265</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25,670,265</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31,670,265</w:t>
            </w:r>
          </w:p>
        </w:tc>
        <w:tc>
          <w:tcPr>
            <w:tcW w:w="100" w:type="dxa"/>
            <w:vAlign w:val="bottom"/>
            <w:shd w:val="clear" w:color="auto" w:fill="CCEEFF"/>
          </w:tcPr>
          <w:p>
            <w:pPr>
              <w:spacing w:after="0"/>
              <w:rPr>
                <w:sz w:val="15"/>
                <w:szCs w:val="15"/>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Stock options and RSUs issued and outstanding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34,256,501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14,170,385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34,256,501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14,170,385</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77,821,528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58,579,636</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77,821,528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58,579,636</w:t>
            </w: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Third SAFE Agreement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2,750,000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2,750,000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Forward Purchase Agreements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6,720,000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6,720,000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Deferred consideration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6,666,666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6,666,666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potential common shares excluded from diluted net loss per share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153,884,960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104,420,286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153,884,960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104,420,286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(15) Segment Information</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segment information is presented on a basis that is consistent with the Company’s internal management reporting. The Company’s Chief Executive Officer (“CEO”) is the Chief Operating Decision Maker (“CODM”). The CODM manages the Company and reports financial results based on three reportable segments which are the same as the Company’s operating segments. The CODM evaluates the performance of these reportable segments and allocates resources to make operating decisions based on certain financial information, including segmented internal income/(loss) prepared on a basis consistent with U.S. GAAP. The measurement criteria is based on their operating revenue and operating income (loss) and excluding any corporate costs which are not allocatable to the operating segments. The CODM’s measurement criteria does not include segment assets. During the periods presented, the Company reported its financial performance through the following three reportable segments; Residential Solar Installation, New Homes Business and Sunder.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Residential Solar Installation</w:t>
      </w:r>
      <w:r>
        <w:rPr>
          <w:rFonts w:ascii="Times New Roman" w:cs="Times New Roman" w:eastAsia="Times New Roman" w:hAnsi="Times New Roman"/>
          <w:sz w:val="15"/>
          <w:szCs w:val="15"/>
          <w:color w:val="auto"/>
        </w:rPr>
        <w:t>. This segment performs solar system, storage and battery installations for residential homeowners.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72" w:name="page173"/>
    <w:bookmarkEnd w:id="172"/>
    <w:p>
      <w:pPr>
        <w:ind w:left="9" w:right="20"/>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New Homes Business</w:t>
      </w:r>
      <w:r>
        <w:rPr>
          <w:rFonts w:ascii="Times New Roman" w:cs="Times New Roman" w:eastAsia="Times New Roman" w:hAnsi="Times New Roman"/>
          <w:sz w:val="15"/>
          <w:szCs w:val="15"/>
          <w:color w:val="auto"/>
        </w:rPr>
        <w:t>. This segment is new, as a result of the SunPower Acquisition which occurred in the fourth quarter of fiscal 2024. The Company developed a method to allocate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direct expenses for the respective reportable segments. This segment performs solar system installations for new home builders.</w:t>
      </w:r>
    </w:p>
    <w:p>
      <w:pPr>
        <w:spacing w:after="0" w:line="125" w:lineRule="exact"/>
        <w:rPr>
          <w:sz w:val="20"/>
          <w:szCs w:val="20"/>
          <w:color w:val="auto"/>
        </w:rPr>
      </w:pPr>
    </w:p>
    <w:p>
      <w:pPr>
        <w:ind w:left="9"/>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Sunder</w:t>
      </w:r>
      <w:r>
        <w:rPr>
          <w:rFonts w:ascii="Times New Roman" w:cs="Times New Roman" w:eastAsia="Times New Roman" w:hAnsi="Times New Roman"/>
          <w:sz w:val="15"/>
          <w:szCs w:val="15"/>
          <w:color w:val="auto"/>
        </w:rPr>
        <w:t>. This segment is new beginning in fiscal year 2025, as a result of the Sunder Acquisition which occurred late in the third quarter of fiscal 2025. This segment’s principal activity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is a solar energy sales force to initiate and execute contracts with customers throughout the United States.</w:t>
      </w:r>
    </w:p>
    <w:p>
      <w:pPr>
        <w:spacing w:after="0" w:line="136"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7"/>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Thirteen Weeks Ended</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28, 2025</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Residential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00"/>
              <w:spacing w:after="0" w:line="164" w:lineRule="exact"/>
              <w:rPr>
                <w:sz w:val="20"/>
                <w:szCs w:val="20"/>
                <w:color w:val="auto"/>
              </w:rPr>
            </w:pPr>
            <w:r>
              <w:rPr>
                <w:rFonts w:ascii="Times New Roman" w:cs="Times New Roman" w:eastAsia="Times New Roman" w:hAnsi="Times New Roman"/>
                <w:sz w:val="15"/>
                <w:szCs w:val="15"/>
                <w:b w:val="1"/>
                <w:bCs w:val="1"/>
                <w:color w:val="auto"/>
              </w:rPr>
              <w:t>New</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rPr>
              <w:t>Residential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8"/>
              </w:rPr>
              <w:t>New</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w w:val="99"/>
              </w:rPr>
              <w:t>Solar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Homes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Solar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Homes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tc>
        <w:tc>
          <w:tcPr>
            <w:tcW w:w="920" w:type="dxa"/>
            <w:vAlign w:val="bottom"/>
            <w:gridSpan w:val="3"/>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Installation</w:t>
            </w:r>
          </w:p>
        </w:tc>
        <w:tc>
          <w:tcPr>
            <w:tcW w:w="80" w:type="dxa"/>
            <w:vAlign w:val="bottom"/>
          </w:tcPr>
          <w:p>
            <w:pPr>
              <w:spacing w:after="0"/>
              <w:rPr>
                <w:sz w:val="17"/>
                <w:szCs w:val="17"/>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Business</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Sunder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Installation</w:t>
            </w:r>
          </w:p>
        </w:tc>
        <w:tc>
          <w:tcPr>
            <w:tcW w:w="8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Business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Sunder</w:t>
            </w:r>
          </w:p>
        </w:tc>
        <w:tc>
          <w:tcPr>
            <w:tcW w:w="640" w:type="dxa"/>
            <w:vAlign w:val="bottom"/>
            <w:gridSpan w:val="2"/>
          </w:tcPr>
          <w:p>
            <w:pPr>
              <w:jc w:val="right"/>
              <w:ind w:right="222"/>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38,579</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27,116</w:t>
            </w: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70,005</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Cost of revenues</w:t>
            </w:r>
          </w:p>
        </w:tc>
        <w:tc>
          <w:tcPr>
            <w:tcW w:w="160" w:type="dxa"/>
            <w:vAlign w:val="bottom"/>
          </w:tcPr>
          <w:p>
            <w:pPr>
              <w:spacing w:after="0"/>
              <w:rPr>
                <w:sz w:val="15"/>
                <w:szCs w:val="15"/>
                <w:color w:val="auto"/>
              </w:rPr>
            </w:pPr>
          </w:p>
        </w:tc>
        <w:tc>
          <w:tcPr>
            <w:tcW w:w="7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20,984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13,329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37,965</w:t>
            </w:r>
          </w:p>
        </w:tc>
        <w:tc>
          <w:tcPr>
            <w:tcW w:w="140" w:type="dxa"/>
            <w:vAlign w:val="bottom"/>
          </w:tcPr>
          <w:p>
            <w:pPr>
              <w:spacing w:after="0"/>
              <w:rPr>
                <w:sz w:val="15"/>
                <w:szCs w:val="15"/>
                <w:color w:val="auto"/>
              </w:rPr>
            </w:pPr>
          </w:p>
        </w:tc>
        <w:tc>
          <w:tcPr>
            <w:tcW w:w="7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8,693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440"/>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8,693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Sales commissions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55</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7,534</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7,270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7,270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Sales and marketing</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1,686</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6,467</w:t>
            </w:r>
          </w:p>
        </w:tc>
        <w:tc>
          <w:tcPr>
            <w:tcW w:w="140" w:type="dxa"/>
            <w:vAlign w:val="bottom"/>
          </w:tcPr>
          <w:p>
            <w:pPr>
              <w:spacing w:after="0"/>
              <w:rPr>
                <w:sz w:val="15"/>
                <w:szCs w:val="15"/>
                <w:color w:val="auto"/>
              </w:rPr>
            </w:pPr>
          </w:p>
        </w:tc>
        <w:tc>
          <w:tcPr>
            <w:tcW w:w="7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1,093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440"/>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1,093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140" w:type="dxa"/>
            <w:vAlign w:val="bottom"/>
            <w:gridSpan w:val="2"/>
            <w:shd w:val="clear" w:color="auto" w:fill="CCEEFF"/>
          </w:tcPr>
          <w:p>
            <w:pPr>
              <w:ind w:left="100"/>
              <w:spacing w:after="0" w:line="228" w:lineRule="exact"/>
              <w:rPr>
                <w:sz w:val="20"/>
                <w:szCs w:val="20"/>
                <w:color w:val="auto"/>
              </w:rPr>
            </w:pPr>
            <w:r>
              <w:rPr>
                <w:rFonts w:ascii="Times New Roman" w:cs="Times New Roman" w:eastAsia="Times New Roman" w:hAnsi="Times New Roman"/>
                <w:sz w:val="15"/>
                <w:szCs w:val="15"/>
                <w:color w:val="auto"/>
              </w:rPr>
              <w:t>General and administrative</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12,240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9,243</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21,483</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18,450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18,450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Borders>
              <w:top w:val="single" w:sz="8" w:color="CCEEFF"/>
              <w:bottom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5"/>
                <w:szCs w:val="15"/>
                <w:color w:val="auto"/>
              </w:rPr>
              <w:t>Operating (loss) income from continuing operations</w:t>
            </w: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(6,905</w:t>
            </w:r>
          </w:p>
        </w:tc>
        <w:tc>
          <w:tcPr>
            <w:tcW w:w="140" w:type="dxa"/>
            <w:vAlign w:val="bottom"/>
            <w:tcBorders>
              <w:top w:val="single" w:sz="8" w:color="CCEEFF"/>
              <w:bottom w:val="single" w:sz="8" w:color="CCEEFF"/>
            </w:tcBorders>
          </w:tcPr>
          <w:p>
            <w:pPr>
              <w:jc w:val="right"/>
              <w:ind w:right="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2,803</w:t>
            </w:r>
          </w:p>
        </w:tc>
        <w:tc>
          <w:tcPr>
            <w:tcW w:w="220" w:type="dxa"/>
            <w:vAlign w:val="bottom"/>
            <w:tcBorders>
              <w:top w:val="single" w:sz="8" w:color="CCEEFF"/>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658</w:t>
            </w:r>
          </w:p>
        </w:tc>
        <w:tc>
          <w:tcPr>
            <w:tcW w:w="8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(3,444</w:t>
            </w:r>
          </w:p>
        </w:tc>
        <w:tc>
          <w:tcPr>
            <w:tcW w:w="200" w:type="dxa"/>
            <w:vAlign w:val="bottom"/>
            <w:tcBorders>
              <w:top w:val="single" w:sz="8" w:color="CCEEFF"/>
              <w:bottom w:val="single" w:sz="8" w:color="CCEEFF"/>
            </w:tcBorders>
          </w:tcPr>
          <w:p>
            <w:pPr>
              <w:jc w:val="right"/>
              <w:ind w:right="6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(29,970</w:t>
            </w:r>
          </w:p>
        </w:tc>
        <w:tc>
          <w:tcPr>
            <w:tcW w:w="120" w:type="dxa"/>
            <w:vAlign w:val="bottom"/>
            <w:tcBorders>
              <w:top w:val="single" w:sz="8" w:color="CCEEFF"/>
              <w:bottom w:val="single" w:sz="8" w:color="CCEEFF"/>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ind w:left="440"/>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ind w:left="420"/>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(29,970</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4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5"/>
                <w:szCs w:val="15"/>
                <w:i w:val="1"/>
                <w:iCs w:val="1"/>
                <w:color w:val="auto"/>
              </w:rPr>
              <w:t>Reconciliation of segment (loss) income from continuing</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i w:val="1"/>
                <w:iCs w:val="1"/>
                <w:color w:val="auto"/>
              </w:rPr>
              <w:t>operations before income taxes: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Unallocated amounts: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Interest expense</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(8,104)</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(2,338)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Interest income</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expense, net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(4,256)</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(65,684)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Gain on extinguishment of debt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19,948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(Loss) from continuing operations before income taxes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(15,804)</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(77,958)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69" w:hanging="269"/>
        <w:spacing w:after="0" w:line="212" w:lineRule="auto"/>
        <w:tabs>
          <w:tab w:leader="none" w:pos="269" w:val="left"/>
        </w:tabs>
        <w:numPr>
          <w:ilvl w:val="0"/>
          <w:numId w:val="9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For the thirteen weeks ended September 28, 2025, depreciation and amortization expense was $1.0 million, $0.3 million, and zero for the Residential Solar Installation, New Homes Business and Sunder reportable segments, respectively. For the thirteen weeks ended September 29, 2024, depreciation and amortization expense was $0.3 million for the Residential Solar Installation reportable segment.</w:t>
      </w:r>
    </w:p>
    <w:p>
      <w:pPr>
        <w:spacing w:after="0" w:line="177"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7"/>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Thirty-Nine Weeks Ended</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28, 2025</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5"/>
                <w:szCs w:val="15"/>
                <w:b w:val="1"/>
                <w:bCs w:val="1"/>
                <w:color w:val="auto"/>
              </w:rPr>
              <w:t>September 29, 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Residential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00"/>
              <w:spacing w:after="0" w:line="164" w:lineRule="exact"/>
              <w:rPr>
                <w:sz w:val="20"/>
                <w:szCs w:val="20"/>
                <w:color w:val="auto"/>
              </w:rPr>
            </w:pPr>
            <w:r>
              <w:rPr>
                <w:rFonts w:ascii="Times New Roman" w:cs="Times New Roman" w:eastAsia="Times New Roman" w:hAnsi="Times New Roman"/>
                <w:sz w:val="15"/>
                <w:szCs w:val="15"/>
                <w:b w:val="1"/>
                <w:bCs w:val="1"/>
                <w:color w:val="auto"/>
              </w:rPr>
              <w:t>New</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rPr>
              <w:t>Residential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8"/>
              </w:rPr>
              <w:t>New</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w w:val="99"/>
              </w:rPr>
              <w:t>Solar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Homes</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Solar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Homes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tc>
        <w:tc>
          <w:tcPr>
            <w:tcW w:w="920" w:type="dxa"/>
            <w:vAlign w:val="bottom"/>
            <w:gridSpan w:val="3"/>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Installation</w:t>
            </w:r>
          </w:p>
        </w:tc>
        <w:tc>
          <w:tcPr>
            <w:tcW w:w="80" w:type="dxa"/>
            <w:vAlign w:val="bottom"/>
          </w:tcPr>
          <w:p>
            <w:pPr>
              <w:spacing w:after="0"/>
              <w:rPr>
                <w:sz w:val="17"/>
                <w:szCs w:val="17"/>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Business</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Sunder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Installation</w:t>
            </w:r>
          </w:p>
        </w:tc>
        <w:tc>
          <w:tcPr>
            <w:tcW w:w="8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Business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Sunder</w:t>
            </w:r>
          </w:p>
        </w:tc>
        <w:tc>
          <w:tcPr>
            <w:tcW w:w="660" w:type="dxa"/>
            <w:vAlign w:val="bottom"/>
            <w:gridSpan w:val="2"/>
          </w:tcPr>
          <w:p>
            <w:pPr>
              <w:jc w:val="right"/>
              <w:ind w:right="222"/>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114,097</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101,862</w:t>
            </w: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4,310</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220,269</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20,068</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20,068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Cost of revenues</w:t>
            </w:r>
          </w:p>
        </w:tc>
        <w:tc>
          <w:tcPr>
            <w:tcW w:w="160" w:type="dxa"/>
            <w:vAlign w:val="bottom"/>
          </w:tcPr>
          <w:p>
            <w:pPr>
              <w:spacing w:after="0"/>
              <w:rPr>
                <w:sz w:val="15"/>
                <w:szCs w:val="15"/>
                <w:color w:val="auto"/>
              </w:rPr>
            </w:pPr>
          </w:p>
        </w:tc>
        <w:tc>
          <w:tcPr>
            <w:tcW w:w="7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67,388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55,930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126,970</w:t>
            </w:r>
          </w:p>
        </w:tc>
        <w:tc>
          <w:tcPr>
            <w:tcW w:w="140" w:type="dxa"/>
            <w:vAlign w:val="bottom"/>
          </w:tcPr>
          <w:p>
            <w:pPr>
              <w:spacing w:after="0"/>
              <w:rPr>
                <w:sz w:val="15"/>
                <w:szCs w:val="15"/>
                <w:color w:val="auto"/>
              </w:rPr>
            </w:pPr>
          </w:p>
        </w:tc>
        <w:tc>
          <w:tcPr>
            <w:tcW w:w="7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21,834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440"/>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21,834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Sales commissions</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22,882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1,391</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24,273</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11,691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11,691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Sales and marketing</w:t>
            </w:r>
          </w:p>
        </w:tc>
        <w:tc>
          <w:tcPr>
            <w:tcW w:w="160" w:type="dxa"/>
            <w:vAlign w:val="bottom"/>
          </w:tcPr>
          <w:p>
            <w:pPr>
              <w:spacing w:after="0"/>
              <w:rPr>
                <w:sz w:val="15"/>
                <w:szCs w:val="15"/>
                <w:color w:val="auto"/>
              </w:rPr>
            </w:pPr>
          </w:p>
        </w:tc>
        <w:tc>
          <w:tcPr>
            <w:tcW w:w="7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19,591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2,173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21,764</w:t>
            </w:r>
          </w:p>
        </w:tc>
        <w:tc>
          <w:tcPr>
            <w:tcW w:w="140" w:type="dxa"/>
            <w:vAlign w:val="bottom"/>
          </w:tcPr>
          <w:p>
            <w:pPr>
              <w:spacing w:after="0"/>
              <w:rPr>
                <w:sz w:val="15"/>
                <w:szCs w:val="15"/>
                <w:color w:val="auto"/>
              </w:rPr>
            </w:pPr>
          </w:p>
        </w:tc>
        <w:tc>
          <w:tcPr>
            <w:tcW w:w="7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3,762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440"/>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3,762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140" w:type="dxa"/>
            <w:vAlign w:val="bottom"/>
            <w:gridSpan w:val="2"/>
            <w:shd w:val="clear" w:color="auto" w:fill="CCEEFF"/>
          </w:tcPr>
          <w:p>
            <w:pPr>
              <w:ind w:left="100"/>
              <w:spacing w:after="0" w:line="228" w:lineRule="exact"/>
              <w:rPr>
                <w:sz w:val="20"/>
                <w:szCs w:val="20"/>
                <w:color w:val="auto"/>
              </w:rPr>
            </w:pPr>
            <w:r>
              <w:rPr>
                <w:rFonts w:ascii="Times New Roman" w:cs="Times New Roman" w:eastAsia="Times New Roman" w:hAnsi="Times New Roman"/>
                <w:sz w:val="15"/>
                <w:szCs w:val="15"/>
                <w:color w:val="auto"/>
              </w:rPr>
              <w:t>General and administrative</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32,782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19,600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52,382</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29,789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29,789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Borders>
              <w:top w:val="single" w:sz="8" w:color="CCEEFF"/>
              <w:bottom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5"/>
                <w:szCs w:val="15"/>
                <w:color w:val="auto"/>
              </w:rPr>
              <w:t>Operating (loss) income from continuing operations</w:t>
            </w: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(28,546</w:t>
            </w:r>
          </w:p>
        </w:tc>
        <w:tc>
          <w:tcPr>
            <w:tcW w:w="140" w:type="dxa"/>
            <w:vAlign w:val="bottom"/>
            <w:tcBorders>
              <w:top w:val="single" w:sz="8" w:color="CCEEFF"/>
              <w:bottom w:val="single" w:sz="8" w:color="CCEEFF"/>
            </w:tcBorders>
          </w:tcPr>
          <w:p>
            <w:pPr>
              <w:jc w:val="right"/>
              <w:ind w:right="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22,768</w:t>
            </w:r>
          </w:p>
        </w:tc>
        <w:tc>
          <w:tcPr>
            <w:tcW w:w="220" w:type="dxa"/>
            <w:vAlign w:val="bottom"/>
            <w:tcBorders>
              <w:top w:val="single" w:sz="8" w:color="CCEEFF"/>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658</w:t>
            </w:r>
          </w:p>
        </w:tc>
        <w:tc>
          <w:tcPr>
            <w:tcW w:w="4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(5,120</w:t>
            </w:r>
          </w:p>
        </w:tc>
        <w:tc>
          <w:tcPr>
            <w:tcW w:w="200" w:type="dxa"/>
            <w:vAlign w:val="bottom"/>
            <w:tcBorders>
              <w:top w:val="single" w:sz="8" w:color="CCEEFF"/>
              <w:bottom w:val="single" w:sz="8" w:color="CCEEFF"/>
            </w:tcBorders>
          </w:tcPr>
          <w:p>
            <w:pPr>
              <w:jc w:val="right"/>
              <w:ind w:right="6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(47,008</w:t>
            </w:r>
          </w:p>
        </w:tc>
        <w:tc>
          <w:tcPr>
            <w:tcW w:w="120" w:type="dxa"/>
            <w:vAlign w:val="bottom"/>
            <w:tcBorders>
              <w:top w:val="single" w:sz="8" w:color="CCEEFF"/>
              <w:bottom w:val="single" w:sz="8" w:color="CCEEFF"/>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ind w:left="440"/>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ind w:left="420"/>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(47,008</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4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5"/>
                <w:szCs w:val="15"/>
                <w:i w:val="1"/>
                <w:iCs w:val="1"/>
                <w:color w:val="auto"/>
              </w:rPr>
              <w:t>Reconciliation of segment (loss) income from continuing</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i w:val="1"/>
                <w:iCs w:val="1"/>
                <w:color w:val="auto"/>
              </w:rPr>
              <w:t>operations before income taxes: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Unallocated amounts: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Interest expense</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(23,258)</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(8,230)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Interest income</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expense, net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(1,724)</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(66,234)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Gain on extinguishment of debt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19,948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(Loss) from continuing operations before income taxes</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(30,099</w:t>
            </w:r>
          </w:p>
        </w:tc>
        <w:tc>
          <w:tcPr>
            <w:tcW w:w="200" w:type="dxa"/>
            <w:vAlign w:val="bottom"/>
            <w:tcBorders>
              <w:top w:val="single" w:sz="8" w:color="CCEEFF"/>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(101,422</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69" w:hanging="269"/>
        <w:spacing w:after="0" w:line="212" w:lineRule="auto"/>
        <w:tabs>
          <w:tab w:leader="none" w:pos="269" w:val="left"/>
        </w:tabs>
        <w:numPr>
          <w:ilvl w:val="0"/>
          <w:numId w:val="9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 the thirty-nine weeks ended September 28, 2025, depreciation and amortization expense was $3.4 million, $0.9 million and zero for the Residential Solar Installation, New Homes Business and Sunder reportable segments, respectively. In the thirty-nine weeks ended September 29, 2024, depreciation and amortization expense was $1.0 million for the Residential Solar Installation reportable segment.</w:t>
      </w:r>
    </w:p>
    <w:p>
      <w:pPr>
        <w:spacing w:after="0" w:line="35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58"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5"/>
          <w:szCs w:val="15"/>
          <w:b w:val="1"/>
          <w:bCs w:val="1"/>
          <w:color w:val="auto"/>
        </w:rPr>
        <w:t>(16) Related Party Transactions</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Refer to the following notes to the Company’s unaudited condensed consolidated financial statements for details regarding the related party transactions entered into by the Company; Note 1(a) – Description of Business; Note 2(i) – Summary of Significant Accounting Policies – </w:t>
      </w:r>
      <w:r>
        <w:rPr>
          <w:rFonts w:ascii="Times New Roman" w:cs="Times New Roman" w:eastAsia="Times New Roman" w:hAnsi="Times New Roman"/>
          <w:sz w:val="15"/>
          <w:szCs w:val="15"/>
          <w:i w:val="1"/>
          <w:iCs w:val="1"/>
          <w:color w:val="auto"/>
        </w:rPr>
        <w:t>Changes in related parties</w:t>
      </w:r>
      <w:r>
        <w:rPr>
          <w:rFonts w:ascii="Times New Roman" w:cs="Times New Roman" w:eastAsia="Times New Roman" w:hAnsi="Times New Roman"/>
          <w:sz w:val="15"/>
          <w:szCs w:val="15"/>
          <w:color w:val="auto"/>
        </w:rPr>
        <w:t>; Note 4 – Fair Value Measurements; Note 6 – Accrued Expenses and Other Current Liabilities; Note 7 – Other Expense, Net; Note 8 – Capital Stock; Note 9 – Borrowings and Derivative Liabilities, and Note 10 – SAFE Agreements. All other related party transactions are described herein.</w:t>
      </w:r>
    </w:p>
    <w:p>
      <w:pPr>
        <w:spacing w:after="0" w:line="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determined that SameDay Solar became a related party to the Company during fiscal year 2024. The Company’s revenue is net of dealer fees attributable to SameDay Solar of $0.3 million and $1.6 million in the thirteen and thirty-nine week periods ended September 28, 2025, respectively. The Company’s revenue is net of dealer fees attributable to SameDay Solar of $1.6 million in each of the thirteen and thirty-nine week periods ended September 29, 2024.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(17) Subsequent Events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Partial conversion of September 2024 Notes</w:t>
      </w:r>
    </w:p>
    <w:p>
      <w:pPr>
        <w:spacing w:after="0" w:line="93"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Subsequent to September 28, 2025, holders of $10.6 million of the Company’s September 2024 Notes converted their September 2024 Notes into 6.2 million shares of common stock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Acquisition of Ambia Energy LLC</w:t>
      </w:r>
    </w:p>
    <w:p>
      <w:pPr>
        <w:spacing w:after="0" w:line="93"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On November 11, 2025, the Company announced that it signed a non-binding letter of intent to acquire Ambia Energy, LLC (“Ambia”) located in Lindon, Utah in exchange for approximately $37.5 million of equity in SunPower, subject to customary closing conditions.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On November 21, 2025, the Company entered into a Membership Interest Purchase Agreement (the “Membership Interest Purchase Agreement”) with Ambia and Ambia Holdings, Inc., a Delaware corporation and the sole member of Ambia (the “Member”). The Company, Ambia and the Member completed the closing under the Membership Interest Purchase Agreement (the “Ambia Closing”) on November 21, 2025. At the Ambia Closing, the Company acquired all of the outstanding membership interests of Ambia from the Member for: (a) 10,243,924 shares (the “Closing Consideration Shares”) of common stock of the Company, $0.0001 par value per share (the “Common Stock”), issued at the Ambia Closing to the Member; and (b) the agreement to issue an additional $9.375 million of shares of Common Stock on the six-month anniversary of the Ambia Closing and an additional $9.375 million of shares of Common Stock on the 12-month anniversary of the Ambia Closing (such additional shares of Common Stock, the “Post-Closing Consideration Shares”). The issuance of the Post-Closing Consideration Shares is subject to approval by the Company’s stockholders following the Ambia Closing in accordance with the rules and regulations of the Nasdaq Stock Market (including Nasdaq Listing Rule 5635(a)). The actual number of Post-Closing Consideration Shares issuable by the Company on the six- and 12-month anniversaries of the Ambia Closing will be determined based on the 20-day trailing volume-weighted average price of the Common Stock after market close on the business day immediate prior to the issuance date of the applicable shares (the “VWAP Value”); provided that the VWAP Value for the calculation of the actual number of Post-Closing Consideration Shares issuable by the Company will not be more than $2.8102 per share or less than $1.4988 per share. Additionally, the number of Post-Closing Consideration Shares issuable by the Company is subject to adjustment pursuant to customary working capital and balance sheet adjustment terms and subject to offset for certain indemnifiable damages in accordance with the Membership Interest Purchase Agreement. Pursuant to the terms and conditions of the Membership Interest Purchase Agreement, the Company agreed to register the Closing Consideration Shares and the Post-Closing Consideration Shares for resale to the public under the Securities Act of 1933, as amended. The Membership Interest Purchase Agreement includes customary representations and warranties, covenants, and indemnities, in each case under the circumstances and subject to certain limitations set forth in the Membership Interest Purchase Agreement. The indemnification obligations under the Membership Interest Purchase Agreement are subject to customary baskets and caps. The Company’s primary source of recovery for indemnifiable damages is set off of such damages against the Post-Closing Consideration Shares issuable by the Company following the Ambia Closing.</w:t>
      </w:r>
    </w:p>
    <w:p>
      <w:pPr>
        <w:spacing w:after="0" w:line="5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initial accounting for this business combination is incomplete at this time due to the proximity of the Ambia Closing to the issuance date of these condensed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NASDAQ Deficiency</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November 19, 2025, the Company received a letter from the Listing Qualifications staff of Nasdaq indicating that, as a result of the Company’s delay in filing its Q3 2025 Form 10Q,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has 60 calendar days to submit a plan to regain compliance with Nasdaq’s continued listing requirements. The Company filed its Q3 2025 Form 10Q on December 19,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Issuance of 12% convertible senior unsecured convertible note to related party</w:t>
      </w:r>
    </w:p>
    <w:p>
      <w:pPr>
        <w:spacing w:after="0" w:line="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November 20, 2025, the Company issued a convertible promissory note in the original principal amount of $2.0 million (“November 2025 Note”) to a trust controlled by the Company’s CEO in exchange for cash.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Note is convertible at the option of the holder at any time prior to the payment of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Note prior to July 5, 2026.</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Siemens Settlement</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As described in Note 12 – Commitments and Contingencies, the Company entered into a Settlement Agreement with Siemens on December 4, 2025 to resolve a case in the Court and other related cases as well as to resolve potential claims related to Siemens’ Atwater Wastewater Treatment Plant. Refer to Note 12 – Commitments and Contingencies for details.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656" w:right="31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SunPower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Fremont, California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Consolidated Financial Statements</w:t>
      </w:r>
    </w:p>
    <w:p>
      <w:pPr>
        <w:spacing w:after="0" w:line="19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 of SunPower Inc. (f/k/a Complete Solaria, Inc.) (the “Company”) as of December 29, 2024, the related consolidated statements of operations and comprehensive loss, stockholders’ deficit, and cash flows for the fiscal year then ended, and the related notes collectively referred to as the “consolidated financial statements.” In our opinion, the consolidated financial statements present fairly, in all material respects, the financial position of the Company at December 29, 2024, and the results of its operations and its cash flows for the fiscal year then ended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in conformity with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Going Concern Uncertainty</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accompanying consolidated financial statements have been prepared assuming that the Company will continue as a going concern. As discussed in Note 1 to the consolidated financial statements, the Company has suffered recurring losses, and has negative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BDO USA, P.C.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Atlanta, Georgia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30, 2025</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75" w:name="page176"/>
    <w:bookmarkEnd w:id="175"/>
    <w:p>
      <w:pPr>
        <w:ind w:left="302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the Board of Directors of Complete Solaria, Inc.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 of Complete Solaria, Inc. and subsidiaries (the “Company”) as of December 31, 2023, the related consolidated statements of operations and comprehensive loss, stockholders’ deficit, and cash flows, for the period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the period ended December 31, 2023, in conformity with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 in Accounting Principle</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 xml:space="preserve">As discussed in Notes 2 and 22 to the financial statements, the accompanying 2023 financial statements have been retrospectively adjusted for the adoption of Accounting Standards Update 2023-07, Segment Reporting (Topic 280): </w:t>
      </w:r>
      <w:r>
        <w:rPr>
          <w:rFonts w:ascii="Times New Roman" w:cs="Times New Roman" w:eastAsia="Times New Roman" w:hAnsi="Times New Roman"/>
          <w:sz w:val="15"/>
          <w:szCs w:val="15"/>
          <w:i w:val="1"/>
          <w:iCs w:val="1"/>
          <w:color w:val="auto"/>
        </w:rPr>
        <w:t>Improvements to Reportable Segment Disclosures</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Going Concern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accompanying consolidated financial statements have been prepared assuming that the Company will continue as a going concern. As discussed in Note 1(c) to the consolidated financial statements, the Company has recurring net losses, accumulated deficit, negative cash outflows from operations and current debt outstanding that raise substantial doubt about its ability to continue as a going concern. Management’s plans in regard to these matters are also described in Note 1(c). The consolidated financial statements do not include any adjustments that might result from the outcome of this uncertainty.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Francisco, California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April 1, 2024 (April 30, 2025, as to the effects of the Company’s adoption of ASU 2023-07, </w:t>
      </w:r>
      <w:r>
        <w:rPr>
          <w:rFonts w:ascii="Times New Roman" w:cs="Times New Roman" w:eastAsia="Times New Roman" w:hAnsi="Times New Roman"/>
          <w:sz w:val="15"/>
          <w:szCs w:val="15"/>
          <w:i w:val="1"/>
          <w:iCs w:val="1"/>
          <w:color w:val="auto"/>
        </w:rPr>
        <w:t>Segment Reporting</w:t>
      </w:r>
      <w:r>
        <w:rPr>
          <w:rFonts w:ascii="Times New Roman" w:cs="Times New Roman" w:eastAsia="Times New Roman" w:hAnsi="Times New Roman"/>
          <w:sz w:val="15"/>
          <w:szCs w:val="15"/>
          <w:color w:val="auto"/>
        </w:rPr>
        <w:t>, as described in Notes 2 and 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began serving as the Company’s auditor in 2022. In 2024 we became the predecessor auditor.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76" w:name="page177"/>
    <w:bookmarkEnd w:id="176"/>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SUNPOWER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in thousands, except share and per share amounts</w:t>
      </w:r>
      <w:r>
        <w:rPr>
          <w:rFonts w:ascii="Times New Roman" w:cs="Times New Roman" w:eastAsia="Times New Roman" w:hAnsi="Times New Roman"/>
          <w:sz w:val="15"/>
          <w:szCs w:val="15"/>
          <w:b w:val="1"/>
          <w:bCs w:val="1"/>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6"/>
                <w:szCs w:val="16"/>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8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7"/>
        </w:trPr>
        <w:tc>
          <w:tcPr>
            <w:tcW w:w="8680" w:type="dxa"/>
            <w:vAlign w:val="bottom"/>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13,378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net</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25,842</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26,281</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22,110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3,058</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8,206</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5,817</w:t>
            </w:r>
          </w:p>
        </w:tc>
        <w:tc>
          <w:tcPr>
            <w:tcW w:w="80" w:type="dxa"/>
            <w:vAlign w:val="bottom"/>
          </w:tcPr>
          <w:p>
            <w:pPr>
              <w:spacing w:after="0"/>
              <w:rPr>
                <w:sz w:val="15"/>
                <w:szCs w:val="15"/>
                <w:color w:val="auto"/>
              </w:rPr>
            </w:pPr>
          </w:p>
        </w:tc>
      </w:tr>
      <w:tr>
        <w:trPr>
          <w:trHeight w:val="21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Contract assets, current portion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26,066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r>
      <w:tr>
        <w:trPr>
          <w:trHeight w:val="165"/>
        </w:trPr>
        <w:tc>
          <w:tcPr>
            <w:tcW w:w="8680" w:type="dxa"/>
            <w:vAlign w:val="bottom"/>
            <w:tcBorders>
              <w:top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Total current assets</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95,602</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37,749</w:t>
            </w: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Restricted cash</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3,841</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3,823</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5,493</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4,317</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3,041</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noncurrent assets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628</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18,476</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Intangible assets, net</w:t>
            </w:r>
          </w:p>
        </w:tc>
        <w:tc>
          <w:tcPr>
            <w:tcW w:w="100" w:type="dxa"/>
            <w:vAlign w:val="bottom"/>
          </w:tcPr>
          <w:p>
            <w:pPr>
              <w:spacing w:after="0"/>
              <w:rPr>
                <w:sz w:val="17"/>
                <w:szCs w:val="17"/>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17,385</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r>
      <w:tr>
        <w:trPr>
          <w:trHeight w:val="185"/>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144,466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47,322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DEFICIT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liabilities: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7,980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13,122</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56,081</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27,870</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payable to related parties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payable, net</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28,657</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Contract liabilities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10,003</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2,423</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SAFE Agreement with related party</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384</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Debt with CS Solis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33,280</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Forward purchase agreement liabilities with related parties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1,274</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3,232</w:t>
            </w:r>
          </w:p>
        </w:tc>
        <w:tc>
          <w:tcPr>
            <w:tcW w:w="80" w:type="dxa"/>
            <w:vAlign w:val="bottom"/>
          </w:tcPr>
          <w:p>
            <w:pPr>
              <w:spacing w:after="0"/>
              <w:rPr>
                <w:sz w:val="15"/>
                <w:szCs w:val="15"/>
                <w:color w:val="auto"/>
              </w:rPr>
            </w:pPr>
          </w:p>
        </w:tc>
      </w:tr>
      <w:tr>
        <w:trPr>
          <w:trHeight w:val="21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Forward purchase agreement liabilities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2,220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w:t>
            </w:r>
          </w:p>
        </w:tc>
        <w:tc>
          <w:tcPr>
            <w:tcW w:w="80" w:type="dxa"/>
            <w:vAlign w:val="bottom"/>
            <w:shd w:val="clear" w:color="auto" w:fill="CCEEFF"/>
          </w:tcPr>
          <w:p>
            <w:pPr>
              <w:spacing w:after="0"/>
              <w:rPr>
                <w:sz w:val="18"/>
                <w:szCs w:val="18"/>
                <w:color w:val="auto"/>
              </w:rPr>
            </w:pPr>
          </w:p>
        </w:tc>
      </w:tr>
      <w:tr>
        <w:trPr>
          <w:trHeight w:val="165"/>
        </w:trPr>
        <w:tc>
          <w:tcPr>
            <w:tcW w:w="8680" w:type="dxa"/>
            <w:vAlign w:val="bottom"/>
            <w:tcBorders>
              <w:top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Total current liabilities</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79,442</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109,183</w:t>
            </w: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Warranty provision, noncurrent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3,437</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3,416</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Warrant liability</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1,561</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9,817</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Contract liabilities, noncurrent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918</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payable and derivative liabilities, net of current portion</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92,638</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payable and derivative liabilities with related parties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53,193</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8,553</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r>
      <w:tr>
        <w:trPr>
          <w:trHeight w:val="21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2,263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w:t>
            </w:r>
          </w:p>
        </w:tc>
        <w:tc>
          <w:tcPr>
            <w:tcW w:w="80" w:type="dxa"/>
            <w:vAlign w:val="bottom"/>
            <w:shd w:val="clear" w:color="auto" w:fill="CCEEFF"/>
          </w:tcPr>
          <w:p>
            <w:pPr>
              <w:spacing w:after="0"/>
              <w:rPr>
                <w:sz w:val="18"/>
                <w:szCs w:val="18"/>
                <w:color w:val="auto"/>
              </w:rPr>
            </w:pPr>
          </w:p>
        </w:tc>
      </w:tr>
      <w:tr>
        <w:trPr>
          <w:trHeight w:val="168"/>
        </w:trPr>
        <w:tc>
          <w:tcPr>
            <w:tcW w:w="8680" w:type="dxa"/>
            <w:vAlign w:val="bottom"/>
            <w:tcBorders>
              <w:top w:val="single" w:sz="8" w:color="CCEEFF"/>
              <w:bottom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242,005</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124,135</w:t>
            </w:r>
          </w:p>
        </w:tc>
        <w:tc>
          <w:tcPr>
            <w:tcW w:w="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r>
      <w:tr>
        <w:trPr>
          <w:trHeight w:val="182"/>
        </w:trPr>
        <w:tc>
          <w:tcPr>
            <w:tcW w:w="8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Commitments and contingencies (Note 19)</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Stockholders’ (deficit):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7"/>
        </w:trPr>
        <w:tc>
          <w:tcPr>
            <w:tcW w:w="868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5"/>
                <w:szCs w:val="15"/>
                <w:color w:val="auto"/>
              </w:rPr>
              <w:t>Common stock, $0.0001 par value; Authorized 1,000,000,000 and 60,000,000 shares as of December 29, 2024 and December 31, 2023,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7"/>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respectively; issued and outstanding 73,784,645 and 49,065,361 shares as of December 29, 2024 and December 31, 2023, respectively</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7"/>
                <w:szCs w:val="17"/>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313,661</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277,965</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shd w:val="clear" w:color="auto" w:fill="CCEEFF"/>
          </w:tcPr>
          <w:p>
            <w:pPr>
              <w:spacing w:after="0"/>
              <w:rPr>
                <w:sz w:val="15"/>
                <w:szCs w:val="15"/>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Accumulated deficit</w:t>
            </w:r>
          </w:p>
        </w:tc>
        <w:tc>
          <w:tcPr>
            <w:tcW w:w="100" w:type="dxa"/>
            <w:vAlign w:val="bottom"/>
          </w:tcPr>
          <w:p>
            <w:pPr>
              <w:spacing w:after="0"/>
              <w:rPr>
                <w:sz w:val="17"/>
                <w:szCs w:val="17"/>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(411,379)</w:t>
            </w:r>
          </w:p>
        </w:tc>
        <w:tc>
          <w:tcPr>
            <w:tcW w:w="10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(354,928)</w:t>
            </w:r>
          </w:p>
        </w:tc>
      </w:tr>
      <w:tr>
        <w:trPr>
          <w:trHeight w:val="202"/>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(97,539</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(76,813</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68"/>
        </w:trPr>
        <w:tc>
          <w:tcPr>
            <w:tcW w:w="8680" w:type="dxa"/>
            <w:vAlign w:val="bottom"/>
          </w:tcPr>
          <w:p>
            <w:pPr>
              <w:ind w:left="140"/>
              <w:spacing w:after="0" w:line="165" w:lineRule="exact"/>
              <w:rPr>
                <w:sz w:val="20"/>
                <w:szCs w:val="20"/>
                <w:color w:val="auto"/>
              </w:rPr>
            </w:pPr>
            <w:r>
              <w:rPr>
                <w:rFonts w:ascii="Times New Roman" w:cs="Times New Roman" w:eastAsia="Times New Roman" w:hAnsi="Times New Roman"/>
                <w:sz w:val="15"/>
                <w:szCs w:val="15"/>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144,466</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47,322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177" w:name="page178"/>
    <w:bookmarkEnd w:id="177"/>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SUNPOWER INC.</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and Comprehensive Loss</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in thousands, except share and per share amounts</w:t>
      </w:r>
      <w:r>
        <w:rPr>
          <w:rFonts w:ascii="Times New Roman" w:cs="Times New Roman" w:eastAsia="Times New Roman" w:hAnsi="Times New Roman"/>
          <w:sz w:val="15"/>
          <w:szCs w:val="15"/>
          <w:b w:val="1"/>
          <w:bCs w:val="1"/>
          <w:color w:val="auto"/>
        </w:rPr>
        <w:t>)</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0" w:type="dxa"/>
            <w:vAlign w:val="bottom"/>
          </w:tcPr>
          <w:p>
            <w:pPr>
              <w:spacing w:after="0"/>
              <w:rPr>
                <w:sz w:val="1"/>
                <w:szCs w:val="1"/>
                <w:color w:val="auto"/>
              </w:rPr>
            </w:pPr>
          </w:p>
        </w:tc>
      </w:tr>
      <w:tr>
        <w:trPr>
          <w:trHeight w:val="175"/>
        </w:trPr>
        <w:tc>
          <w:tcPr>
            <w:tcW w:w="8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108,742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00" w:type="dxa"/>
            <w:vAlign w:val="bottom"/>
          </w:tcPr>
          <w:p>
            <w:pPr>
              <w:spacing w:after="0"/>
              <w:rPr>
                <w:sz w:val="17"/>
                <w:szCs w:val="17"/>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69,240</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69,828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Gross profit</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39,502</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17,788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Sales commissions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24,590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31,127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Sales and marketing</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6,827</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76,594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680" w:type="dxa"/>
            <w:vAlign w:val="bottom"/>
            <w:tcBorders>
              <w:top w:val="single" w:sz="8" w:color="CCEEFF"/>
              <w:bottom w:val="single" w:sz="8" w:color="CCEEFF"/>
            </w:tcBorders>
          </w:tcPr>
          <w:p>
            <w:pPr>
              <w:ind w:left="260"/>
              <w:spacing w:after="0" w:line="165" w:lineRule="exact"/>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108,011</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70,146</w:t>
            </w:r>
          </w:p>
        </w:tc>
        <w:tc>
          <w:tcPr>
            <w:tcW w:w="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(68,509)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(52,358)</w:t>
            </w:r>
          </w:p>
        </w:tc>
        <w:tc>
          <w:tcPr>
            <w:tcW w:w="10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Interest expense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(16,223)</w:t>
            </w:r>
          </w:p>
        </w:tc>
        <w:tc>
          <w:tcPr>
            <w:tcW w:w="10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(14,033)</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Other income (expense), net </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7,932</w:t>
            </w:r>
          </w:p>
        </w:tc>
        <w:tc>
          <w:tcPr>
            <w:tcW w:w="10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(29,862)</w:t>
            </w:r>
          </w:p>
        </w:tc>
        <w:tc>
          <w:tcPr>
            <w:tcW w:w="0" w:type="dxa"/>
            <w:vAlign w:val="bottom"/>
          </w:tcPr>
          <w:p>
            <w:pPr>
              <w:spacing w:after="0"/>
              <w:rPr>
                <w:sz w:val="1"/>
                <w:szCs w:val="1"/>
                <w:color w:val="auto"/>
              </w:rPr>
            </w:pPr>
          </w:p>
        </w:tc>
      </w:tr>
      <w:tr>
        <w:trPr>
          <w:trHeight w:val="248"/>
        </w:trPr>
        <w:tc>
          <w:tcPr>
            <w:tcW w:w="86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 xml:space="preserve">Gain on troubled debt restructuring </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22,337</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8680" w:type="dxa"/>
            <w:vAlign w:val="bottom"/>
            <w:tcBorders>
              <w:top w:val="single" w:sz="8" w:color="CCEEFF"/>
              <w:bottom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Total Other expense</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14,065</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(43,859</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Loss from continuing operations before income taxes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(54,444)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(96,217)</w:t>
            </w:r>
          </w:p>
        </w:tc>
        <w:tc>
          <w:tcPr>
            <w:tcW w:w="10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Income tax benefit (provision)</w:t>
            </w:r>
          </w:p>
        </w:tc>
        <w:tc>
          <w:tcPr>
            <w:tcW w:w="100" w:type="dxa"/>
            <w:vAlign w:val="bottom"/>
          </w:tcPr>
          <w:p>
            <w:pPr>
              <w:spacing w:after="0"/>
              <w:rPr>
                <w:sz w:val="17"/>
                <w:szCs w:val="17"/>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loss from continuing operations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(54,444</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(96,197</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5"/>
        </w:trPr>
        <w:tc>
          <w:tcPr>
            <w:tcW w:w="8680" w:type="dxa"/>
            <w:vAlign w:val="bottom"/>
          </w:tcPr>
          <w:p>
            <w:pPr>
              <w:ind w:left="260"/>
              <w:spacing w:after="0" w:line="165" w:lineRule="exact"/>
              <w:rPr>
                <w:sz w:val="20"/>
                <w:szCs w:val="20"/>
                <w:color w:val="auto"/>
              </w:rPr>
            </w:pPr>
            <w:r>
              <w:rPr>
                <w:rFonts w:ascii="Times New Roman" w:cs="Times New Roman" w:eastAsia="Times New Roman" w:hAnsi="Times New Roman"/>
                <w:sz w:val="15"/>
                <w:szCs w:val="15"/>
                <w:color w:val="auto"/>
              </w:rPr>
              <w:t>Loss from discontinued operations, net of taxes</w:t>
            </w:r>
          </w:p>
        </w:tc>
        <w:tc>
          <w:tcPr>
            <w:tcW w:w="10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(2,007)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(25,853)</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Impairment loss from discontinued operations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(147,505)</w:t>
            </w:r>
          </w:p>
        </w:tc>
        <w:tc>
          <w:tcPr>
            <w:tcW w:w="0" w:type="dxa"/>
            <w:vAlign w:val="bottom"/>
          </w:tcPr>
          <w:p>
            <w:pPr>
              <w:spacing w:after="0"/>
              <w:rPr>
                <w:sz w:val="1"/>
                <w:szCs w:val="1"/>
                <w:color w:val="auto"/>
              </w:rPr>
            </w:pPr>
          </w:p>
        </w:tc>
      </w:tr>
      <w:tr>
        <w:trPr>
          <w:trHeight w:val="168"/>
        </w:trPr>
        <w:tc>
          <w:tcPr>
            <w:tcW w:w="8680" w:type="dxa"/>
            <w:vAlign w:val="bottom"/>
            <w:tcBorders>
              <w:top w:val="single" w:sz="8" w:color="CCEEFF"/>
              <w:bottom w:val="single" w:sz="8" w:color="CCEEFF"/>
            </w:tcBorders>
          </w:tcPr>
          <w:p>
            <w:pPr>
              <w:ind w:left="260"/>
              <w:spacing w:after="0" w:line="165" w:lineRule="exact"/>
              <w:rPr>
                <w:sz w:val="20"/>
                <w:szCs w:val="20"/>
                <w:color w:val="auto"/>
              </w:rPr>
            </w:pPr>
            <w:r>
              <w:rPr>
                <w:rFonts w:ascii="Times New Roman" w:cs="Times New Roman" w:eastAsia="Times New Roman" w:hAnsi="Times New Roman"/>
                <w:sz w:val="15"/>
                <w:szCs w:val="15"/>
                <w:color w:val="auto"/>
              </w:rPr>
              <w:t>Net loss from discontinued operations, net of taxes</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(2,007</w:t>
            </w:r>
          </w:p>
        </w:tc>
        <w:tc>
          <w:tcPr>
            <w:tcW w:w="220" w:type="dxa"/>
            <w:vAlign w:val="bottom"/>
            <w:tcBorders>
              <w:top w:val="single" w:sz="8" w:color="CCEEFF"/>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(173,358</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2"/>
        </w:trPr>
        <w:tc>
          <w:tcPr>
            <w:tcW w:w="8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(56,451</w:t>
            </w:r>
          </w:p>
        </w:tc>
        <w:tc>
          <w:tcPr>
            <w:tcW w:w="2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(269,555</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5"/>
        </w:trPr>
        <w:tc>
          <w:tcPr>
            <w:tcW w:w="86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Other Comprehensive income:</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20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Comprehensive loss (net of tax)</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(56,451</w:t>
            </w:r>
          </w:p>
        </w:tc>
        <w:tc>
          <w:tcPr>
            <w:tcW w:w="220" w:type="dxa"/>
            <w:vAlign w:val="bottom"/>
            <w:tcBorders>
              <w:top w:val="single" w:sz="8" w:color="CCEEFF"/>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(269,439</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from continuing operations per share attributable to common stockholders,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10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Net loss from discontinued operations per share attributable to common stockholders, basic</w:t>
            </w:r>
          </w:p>
        </w:tc>
        <w:tc>
          <w:tcPr>
            <w:tcW w:w="100" w:type="dxa"/>
            <w:vAlign w:val="bottom"/>
          </w:tcPr>
          <w:p>
            <w:pPr>
              <w:spacing w:after="0"/>
              <w:rPr>
                <w:sz w:val="17"/>
                <w:szCs w:val="17"/>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per share attributable to common stockholders, basic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(0.85</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Weighted-average shares used to compute net loss per share attributable to common stockholders, basic</w:t>
            </w: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680" w:type="dxa"/>
            <w:vAlign w:val="bottom"/>
            <w:tcBorders>
              <w:bottom w:val="single" w:sz="8" w:color="CCEEFF"/>
            </w:tcBorders>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66,655,837</w:t>
            </w: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24,723,370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from continuing operations per share attributable to common stockholders,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10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Net loss from discontinued operations per share attributable to common stockholders, diluted</w:t>
            </w:r>
          </w:p>
        </w:tc>
        <w:tc>
          <w:tcPr>
            <w:tcW w:w="100" w:type="dxa"/>
            <w:vAlign w:val="bottom"/>
          </w:tcPr>
          <w:p>
            <w:pPr>
              <w:spacing w:after="0"/>
              <w:rPr>
                <w:sz w:val="17"/>
                <w:szCs w:val="17"/>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per share attributable to common stockholders, 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Weighted-average shares used to compute net loss per share attributable to common stockholders’, basic and diluted</w:t>
            </w: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75,793,548</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24,723,370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9" w:hanging="269"/>
        <w:spacing w:after="0" w:line="287" w:lineRule="auto"/>
        <w:tabs>
          <w:tab w:leader="none" w:pos="269"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interest expense to related parties of $7.6 million and $0.4 million during the fiscal years ended December 29, 2024 and December 31, 2023, respectively. Refer to Note 15 - Borrowings and Derivative Liabilities for details.</w:t>
      </w:r>
    </w:p>
    <w:p>
      <w:pPr>
        <w:spacing w:after="0" w:line="133" w:lineRule="exact"/>
        <w:rPr>
          <w:rFonts w:ascii="Times New Roman" w:cs="Times New Roman" w:eastAsia="Times New Roman" w:hAnsi="Times New Roman"/>
          <w:sz w:val="15"/>
          <w:szCs w:val="15"/>
          <w:color w:val="auto"/>
        </w:rPr>
      </w:pPr>
    </w:p>
    <w:p>
      <w:pPr>
        <w:jc w:val="both"/>
        <w:ind w:left="269" w:hanging="269"/>
        <w:spacing w:after="0" w:line="264" w:lineRule="auto"/>
        <w:tabs>
          <w:tab w:leader="none" w:pos="269"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income (expense), net in the fiscal year ended December 29, 2024 includes the following related party transactions; (i) $0.7 million of expense in connection with the conversion of SAFE Agreements into shares of common stock and the change in the fair value of SAFE Agreements (defined in the notes to the consolidated financial statements), (ii) $3.0 million of expense in connection with the loss on issuance of a derivative liability and $0.3 million of income due to the change in the value of derivative liabilities, and (iii) income of $0.1 million of expense in connection with the change in the fair value of forward purchase agreements.</w:t>
      </w:r>
    </w:p>
    <w:p>
      <w:pPr>
        <w:spacing w:after="0" w:line="151" w:lineRule="exact"/>
        <w:rPr>
          <w:rFonts w:ascii="Times New Roman" w:cs="Times New Roman" w:eastAsia="Times New Roman" w:hAnsi="Times New Roman"/>
          <w:sz w:val="15"/>
          <w:szCs w:val="15"/>
          <w:color w:val="auto"/>
        </w:rPr>
      </w:pPr>
    </w:p>
    <w:p>
      <w:pPr>
        <w:jc w:val="both"/>
        <w:ind w:left="269"/>
        <w:spacing w:after="0" w:line="27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income (expense), net in the fiscal year ended December 31, 2023, includes the following related party transaction; $0.7 million of expense for bonus shares issued in connection with the Mergers; $0.4 million of forward purchase agreements entered into and $9.1 million of change in the fair value of the forward purchase agreements; and $30.7 million of expense for shares issued in connection with the forward purchase agreements.</w:t>
      </w:r>
    </w:p>
    <w:p>
      <w:pPr>
        <w:spacing w:after="0" w:line="146"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Gain includes $12.5 million with a related party in the fiscal year ended December 29, 2024. Refer to Note 15 - Borrowings and Derivative Liabilities for details.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3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58" w:right="319" w:bottom="1440" w:gutter="0" w:footer="0" w:header="0"/>
        </w:sectPr>
      </w:pPr>
    </w:p>
    <w:bookmarkStart w:id="178" w:name="page179"/>
    <w:bookmarkEnd w:id="17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SUNPOWER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 Deficit</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in thousands, except number of shares</w:t>
      </w:r>
      <w:r>
        <w:rPr>
          <w:rFonts w:ascii="Times New Roman" w:cs="Times New Roman" w:eastAsia="Times New Roman" w:hAnsi="Times New Roman"/>
          <w:sz w:val="15"/>
          <w:szCs w:val="15"/>
          <w:b w:val="1"/>
          <w:bCs w:val="1"/>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40" w:type="dxa"/>
            <w:vAlign w:val="bottom"/>
          </w:tcPr>
          <w:p>
            <w:pPr>
              <w:spacing w:after="0"/>
              <w:rPr>
                <w:sz w:val="15"/>
                <w:szCs w:val="15"/>
                <w:color w:val="auto"/>
              </w:rPr>
            </w:pPr>
          </w:p>
        </w:tc>
        <w:tc>
          <w:tcPr>
            <w:tcW w:w="860" w:type="dxa"/>
            <w:vAlign w:val="bottom"/>
            <w:gridSpan w:val="2"/>
          </w:tcPr>
          <w:p>
            <w:pPr>
              <w:jc w:val="center"/>
              <w:ind w:right="202"/>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93"/>
        </w:trPr>
        <w:tc>
          <w:tcPr>
            <w:tcW w:w="4620" w:type="dxa"/>
            <w:vAlign w:val="bottom"/>
          </w:tcPr>
          <w:p>
            <w:pPr>
              <w:spacing w:after="0"/>
              <w:rPr>
                <w:sz w:val="16"/>
                <w:szCs w:val="16"/>
                <w:color w:val="auto"/>
              </w:rPr>
            </w:pPr>
          </w:p>
        </w:tc>
        <w:tc>
          <w:tcPr>
            <w:tcW w:w="1880" w:type="dxa"/>
            <w:vAlign w:val="bottom"/>
            <w:gridSpan w:val="3"/>
            <w:vMerge w:val="restart"/>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0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6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40" w:type="dxa"/>
            <w:vAlign w:val="bottom"/>
          </w:tcPr>
          <w:p>
            <w:pPr>
              <w:spacing w:after="0"/>
              <w:rPr>
                <w:sz w:val="16"/>
                <w:szCs w:val="16"/>
                <w:color w:val="auto"/>
              </w:rPr>
            </w:pPr>
          </w:p>
        </w:tc>
        <w:tc>
          <w:tcPr>
            <w:tcW w:w="860" w:type="dxa"/>
            <w:vAlign w:val="bottom"/>
            <w:gridSpan w:val="2"/>
          </w:tcPr>
          <w:p>
            <w:pPr>
              <w:jc w:val="center"/>
              <w:ind w:right="202"/>
              <w:spacing w:after="0"/>
              <w:rPr>
                <w:sz w:val="20"/>
                <w:szCs w:val="20"/>
                <w:color w:val="auto"/>
              </w:rPr>
            </w:pPr>
            <w:r>
              <w:rPr>
                <w:rFonts w:ascii="Times New Roman" w:cs="Times New Roman" w:eastAsia="Times New Roman" w:hAnsi="Times New Roman"/>
                <w:sz w:val="15"/>
                <w:szCs w:val="15"/>
                <w:b w:val="1"/>
                <w:bCs w:val="1"/>
                <w:color w:val="auto"/>
                <w:w w:val="96"/>
              </w:rPr>
              <w:t>Equity</w:t>
            </w: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40" w:type="dxa"/>
            <w:vAlign w:val="bottom"/>
          </w:tcPr>
          <w:p>
            <w:pPr>
              <w:spacing w:after="0"/>
              <w:rPr>
                <w:sz w:val="16"/>
                <w:szCs w:val="16"/>
                <w:color w:val="auto"/>
              </w:rPr>
            </w:pPr>
          </w:p>
        </w:tc>
        <w:tc>
          <w:tcPr>
            <w:tcW w:w="860" w:type="dxa"/>
            <w:vAlign w:val="bottom"/>
            <w:gridSpan w:val="2"/>
          </w:tcPr>
          <w:p>
            <w:pPr>
              <w:jc w:val="center"/>
              <w:ind w:right="202"/>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19,932,429</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190,624</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(85,373)</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105,281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Conversion of 2022 Convertible Notes into common stock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5,460,075</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40,950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40,952</w:t>
            </w:r>
          </w:p>
        </w:tc>
        <w:tc>
          <w:tcPr>
            <w:tcW w:w="0" w:type="dxa"/>
            <w:vAlign w:val="bottom"/>
          </w:tcPr>
          <w:p>
            <w:pPr>
              <w:spacing w:after="0"/>
              <w:rPr>
                <w:sz w:val="1"/>
                <w:szCs w:val="1"/>
                <w:color w:val="auto"/>
              </w:rPr>
            </w:pPr>
          </w:p>
        </w:tc>
      </w:tr>
      <w:tr>
        <w:trPr>
          <w:trHeight w:val="167"/>
        </w:trPr>
        <w:tc>
          <w:tcPr>
            <w:tcW w:w="4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Issuance of common stock upon the reverse capitalization, net of offering</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13,458,293</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4,586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4,588</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Reclassification of prepaid PIPE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350,000</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3,500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3,500</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Reclassification of warrants between liabilities and equity</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4,329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4,329</w:t>
            </w:r>
          </w:p>
        </w:tc>
        <w:tc>
          <w:tcPr>
            <w:tcW w:w="0" w:type="dxa"/>
            <w:vAlign w:val="bottom"/>
          </w:tcPr>
          <w:p>
            <w:pPr>
              <w:spacing w:after="0"/>
              <w:rPr>
                <w:sz w:val="1"/>
                <w:szCs w:val="1"/>
                <w:color w:val="auto"/>
              </w:rPr>
            </w:pPr>
          </w:p>
        </w:tc>
      </w:tr>
      <w:tr>
        <w:trPr>
          <w:trHeight w:val="167"/>
        </w:trPr>
        <w:tc>
          <w:tcPr>
            <w:tcW w:w="462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Reclassification of Legacy Complete Solaria Common stock into</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SunPower Common Stock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7"/>
        </w:trPr>
        <w:tc>
          <w:tcPr>
            <w:tcW w:w="46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Issuance of common stock in connection with forward purchase</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agreements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1,050,000</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4,777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4,777</w:t>
            </w:r>
          </w:p>
        </w:tc>
        <w:tc>
          <w:tcPr>
            <w:tcW w:w="0" w:type="dxa"/>
            <w:vAlign w:val="bottom"/>
          </w:tcPr>
          <w:p>
            <w:pPr>
              <w:spacing w:after="0"/>
              <w:rPr>
                <w:sz w:val="1"/>
                <w:szCs w:val="1"/>
                <w:color w:val="auto"/>
              </w:rPr>
            </w:pPr>
          </w:p>
        </w:tc>
      </w:tr>
      <w:tr>
        <w:trPr>
          <w:trHeight w:val="167"/>
        </w:trPr>
        <w:tc>
          <w:tcPr>
            <w:tcW w:w="462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Issuance of common stock in connection with forward purchase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agreements due to related party</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4,508,488</w:t>
            </w:r>
          </w:p>
        </w:tc>
        <w:tc>
          <w:tcPr>
            <w:tcW w:w="74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30,712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30,713</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bonus shares in connection with Mergers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463,976</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2,394</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2,394</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Residual Mergers proceeds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161</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Modification of Carlyle Warrant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(10,862)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(10,862)</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restricted stock units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98,097</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warrants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(3,516)</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(3,516)</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to related party</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3,676,470</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5,000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5,000</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 of common stock options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67,533</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5,199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5,199</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116</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5"/>
                <w:szCs w:val="15"/>
                <w:color w:val="auto"/>
              </w:rPr>
              <w:t>(269,555)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(269,555)</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49,065,361</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277,965</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(354,928)</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143</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(76,813)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Exercise of common stock 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398,883</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532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532</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669,059</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3,067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3,067</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warrants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1,400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1,400</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warrants for services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9,179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9,179</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upon conversion of SAFEs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13,888,889</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6,244</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6,250</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Exercise of common stock warrants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5,343,616</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for exchange of debt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1,500,000</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2,220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2,220</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2,918,837</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7,144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7,144</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Modification of Warrant Agreement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7,306</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7,306</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Offering costs of reverse recapitalization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(1,396)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(1,396)</w:t>
            </w: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5"/>
                <w:szCs w:val="15"/>
                <w:color w:val="auto"/>
              </w:rPr>
              <w:t>(56,451)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(56,451)</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w:t>
            </w:r>
          </w:p>
        </w:tc>
        <w:tc>
          <w:tcPr>
            <w:tcW w:w="140" w:type="dxa"/>
            <w:vAlign w:val="bottom"/>
          </w:tcPr>
          <w:p>
            <w:pPr>
              <w:spacing w:after="0"/>
              <w:rPr>
                <w:sz w:val="17"/>
                <w:szCs w:val="17"/>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85"/>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December 29,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73,784,645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313,661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(411,379</w:t>
            </w:r>
          </w:p>
        </w:tc>
        <w:tc>
          <w:tcPr>
            <w:tcW w:w="12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(97,539</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179" w:name="page180"/>
    <w:bookmarkEnd w:id="179"/>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SUNPOWER INC.</w:t>
      </w:r>
    </w:p>
    <w:p>
      <w:pPr>
        <w:spacing w:after="0" w:line="2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in thousands, except number of shares</w:t>
      </w:r>
      <w:r>
        <w:rPr>
          <w:rFonts w:ascii="Times New Roman" w:cs="Times New Roman" w:eastAsia="Times New Roman" w:hAnsi="Times New Roman"/>
          <w:sz w:val="15"/>
          <w:szCs w:val="15"/>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right"/>
              <w:ind w:right="722"/>
              <w:spacing w:after="0"/>
              <w:rPr>
                <w:sz w:val="20"/>
                <w:szCs w:val="20"/>
                <w:color w:val="auto"/>
              </w:rPr>
            </w:pPr>
            <w:r>
              <w:rPr>
                <w:rFonts w:ascii="Times New Roman" w:cs="Times New Roman" w:eastAsia="Times New Roman" w:hAnsi="Times New Roman"/>
                <w:sz w:val="15"/>
                <w:szCs w:val="15"/>
                <w:b w:val="1"/>
                <w:bCs w:val="1"/>
                <w:color w:val="auto"/>
              </w:rPr>
              <w:t>Fiscal Year Ended</w:t>
            </w:r>
          </w:p>
        </w:tc>
      </w:tr>
      <w:tr>
        <w:trPr>
          <w:trHeight w:val="175"/>
        </w:trPr>
        <w:tc>
          <w:tcPr>
            <w:tcW w:w="8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r>
      <w:tr>
        <w:trPr>
          <w:trHeight w:val="203"/>
        </w:trPr>
        <w:tc>
          <w:tcPr>
            <w:tcW w:w="8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 from continuing operations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(56,451)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(269,555)</w:t>
            </w: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from discontinued operations, net of income taxes</w:t>
            </w:r>
          </w:p>
        </w:tc>
        <w:tc>
          <w:tcPr>
            <w:tcW w:w="100" w:type="dxa"/>
            <w:vAlign w:val="bottom"/>
          </w:tcPr>
          <w:p>
            <w:pPr>
              <w:spacing w:after="0"/>
              <w:rPr>
                <w:sz w:val="17"/>
                <w:szCs w:val="17"/>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(2,007)</w:t>
            </w:r>
          </w:p>
        </w:tc>
        <w:tc>
          <w:tcPr>
            <w:tcW w:w="100" w:type="dxa"/>
            <w:vAlign w:val="bottom"/>
          </w:tcPr>
          <w:p>
            <w:pPr>
              <w:spacing w:after="0"/>
              <w:rPr>
                <w:sz w:val="17"/>
                <w:szCs w:val="17"/>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(173,358)</w:t>
            </w:r>
          </w:p>
        </w:tc>
      </w:tr>
      <w:tr>
        <w:trPr>
          <w:trHeight w:val="202"/>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 from continuing operations, net of tax</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(54,444</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(96,197</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5"/>
        </w:trPr>
        <w:tc>
          <w:tcPr>
            <w:tcW w:w="8680" w:type="dxa"/>
            <w:vAlign w:val="bottom"/>
          </w:tcPr>
          <w:p>
            <w:pPr>
              <w:ind w:left="140"/>
              <w:spacing w:after="0" w:line="165" w:lineRule="exact"/>
              <w:rPr>
                <w:sz w:val="20"/>
                <w:szCs w:val="20"/>
                <w:color w:val="auto"/>
              </w:rPr>
            </w:pPr>
            <w:r>
              <w:rPr>
                <w:rFonts w:ascii="Times New Roman" w:cs="Times New Roman" w:eastAsia="Times New Roman" w:hAnsi="Times New Roman"/>
                <w:sz w:val="15"/>
                <w:szCs w:val="15"/>
                <w:color w:val="auto"/>
              </w:rPr>
              <w:t>Adjustments to reconcile net loss from continuing operations to net cash used in operating activities: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3,067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3,364</w:t>
            </w:r>
          </w:p>
        </w:tc>
      </w:tr>
      <w:tr>
        <w:trPr>
          <w:trHeight w:val="216"/>
        </w:trPr>
        <w:tc>
          <w:tcPr>
            <w:tcW w:w="86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Non-cash interest expense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1,757</w:t>
            </w:r>
          </w:p>
        </w:tc>
        <w:tc>
          <w:tcPr>
            <w:tcW w:w="100" w:type="dxa"/>
            <w:vAlign w:val="bottom"/>
          </w:tcPr>
          <w:p>
            <w:pPr>
              <w:spacing w:after="0"/>
              <w:rPr>
                <w:sz w:val="18"/>
                <w:szCs w:val="18"/>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4,882</w:t>
            </w:r>
          </w:p>
        </w:tc>
      </w:tr>
      <w:tr>
        <w:trPr>
          <w:trHeight w:val="216"/>
        </w:trPr>
        <w:tc>
          <w:tcPr>
            <w:tcW w:w="86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Accretion of debt in CS Solis </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3,872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6,579</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Non-cash lease expense</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816</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947</w:t>
            </w:r>
          </w:p>
        </w:tc>
      </w:tr>
      <w:tr>
        <w:trPr>
          <w:trHeight w:val="216"/>
        </w:trPr>
        <w:tc>
          <w:tcPr>
            <w:tcW w:w="86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Gain on troubled debt restructuring </w:t>
            </w:r>
            <w:r>
              <w:rPr>
                <w:rFonts w:ascii="Times New Roman" w:cs="Times New Roman" w:eastAsia="Times New Roman" w:hAnsi="Times New Roman"/>
                <w:sz w:val="25"/>
                <w:szCs w:val="25"/>
                <w:color w:val="auto"/>
                <w:vertAlign w:val="superscript"/>
              </w:rPr>
              <w:t>(8)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(22,337)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CS Solis debt extinguishment</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10,338</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2,736</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930</w:t>
            </w:r>
          </w:p>
        </w:tc>
      </w:tr>
      <w:tr>
        <w:trPr>
          <w:trHeight w:val="216"/>
        </w:trPr>
        <w:tc>
          <w:tcPr>
            <w:tcW w:w="86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Amortization of debt issuance costs </w:t>
            </w:r>
            <w:r>
              <w:rPr>
                <w:rFonts w:ascii="Times New Roman" w:cs="Times New Roman" w:eastAsia="Times New Roman" w:hAnsi="Times New Roman"/>
                <w:sz w:val="25"/>
                <w:szCs w:val="25"/>
                <w:color w:val="auto"/>
                <w:vertAlign w:val="superscript"/>
              </w:rPr>
              <w:t>(11)</w:t>
            </w:r>
          </w:p>
        </w:tc>
        <w:tc>
          <w:tcPr>
            <w:tcW w:w="100" w:type="dxa"/>
            <w:vAlign w:val="bottom"/>
          </w:tcPr>
          <w:p>
            <w:pPr>
              <w:spacing w:after="0"/>
              <w:rPr>
                <w:sz w:val="18"/>
                <w:szCs w:val="18"/>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5,842</w:t>
            </w:r>
          </w:p>
        </w:tc>
        <w:tc>
          <w:tcPr>
            <w:tcW w:w="100" w:type="dxa"/>
            <w:vAlign w:val="bottom"/>
          </w:tcPr>
          <w:p>
            <w:pPr>
              <w:spacing w:after="0"/>
              <w:rPr>
                <w:sz w:val="18"/>
                <w:szCs w:val="18"/>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financing costs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9,132</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4,274</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Change in reserve for excess and obsolete inventory</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6,148</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 in fair value of SAFE Agreements with related party</w:t>
            </w:r>
          </w:p>
        </w:tc>
        <w:tc>
          <w:tcPr>
            <w:tcW w:w="100" w:type="dxa"/>
            <w:vAlign w:val="bottom"/>
          </w:tcPr>
          <w:p>
            <w:pPr>
              <w:spacing w:after="0"/>
              <w:rPr>
                <w:sz w:val="15"/>
                <w:szCs w:val="15"/>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(616)</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conversion of SAFE Agreements to shares of common stock with related party</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1,250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sale of equity securities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4,154</w:t>
            </w:r>
          </w:p>
        </w:tc>
      </w:tr>
      <w:tr>
        <w:trPr>
          <w:trHeight w:val="216"/>
        </w:trPr>
        <w:tc>
          <w:tcPr>
            <w:tcW w:w="86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Loss on issuance of derivative liability </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24,688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86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Change in fair value of derivative liabilities </w:t>
            </w:r>
            <w:r>
              <w:rPr>
                <w:rFonts w:ascii="Times New Roman" w:cs="Times New Roman" w:eastAsia="Times New Roman" w:hAnsi="Times New Roman"/>
                <w:sz w:val="25"/>
                <w:szCs w:val="25"/>
                <w:color w:val="auto"/>
                <w:vertAlign w:val="superscript"/>
              </w:rPr>
              <w:t>(12)</w:t>
            </w:r>
          </w:p>
        </w:tc>
        <w:tc>
          <w:tcPr>
            <w:tcW w:w="100" w:type="dxa"/>
            <w:vAlign w:val="bottom"/>
          </w:tcPr>
          <w:p>
            <w:pPr>
              <w:spacing w:after="0"/>
              <w:rPr>
                <w:sz w:val="18"/>
                <w:szCs w:val="18"/>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(33,986)</w:t>
            </w:r>
          </w:p>
        </w:tc>
        <w:tc>
          <w:tcPr>
            <w:tcW w:w="100" w:type="dxa"/>
            <w:vAlign w:val="bottom"/>
          </w:tcPr>
          <w:p>
            <w:pPr>
              <w:spacing w:after="0"/>
              <w:rPr>
                <w:sz w:val="18"/>
                <w:szCs w:val="18"/>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Change in fair value of warrant liabilities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(2,921)</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(29,310)</w:t>
            </w:r>
          </w:p>
        </w:tc>
      </w:tr>
      <w:tr>
        <w:trPr>
          <w:trHeight w:val="216"/>
        </w:trPr>
        <w:tc>
          <w:tcPr>
            <w:tcW w:w="86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Issuance of forward purchase agreements </w:t>
            </w:r>
            <w:r>
              <w:rPr>
                <w:rFonts w:ascii="Times New Roman" w:cs="Times New Roman" w:eastAsia="Times New Roman" w:hAnsi="Times New Roman"/>
                <w:sz w:val="25"/>
                <w:szCs w:val="25"/>
                <w:color w:val="auto"/>
                <w:vertAlign w:val="superscript"/>
              </w:rPr>
              <w:t>(4)</w:t>
            </w:r>
          </w:p>
        </w:tc>
        <w:tc>
          <w:tcPr>
            <w:tcW w:w="100" w:type="dxa"/>
            <w:vAlign w:val="bottom"/>
          </w:tcPr>
          <w:p>
            <w:pPr>
              <w:spacing w:after="0"/>
              <w:rPr>
                <w:sz w:val="18"/>
                <w:szCs w:val="18"/>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(76)</w:t>
            </w:r>
          </w:p>
        </w:tc>
      </w:tr>
      <w:tr>
        <w:trPr>
          <w:trHeight w:val="216"/>
        </w:trPr>
        <w:tc>
          <w:tcPr>
            <w:tcW w:w="86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Change in fair value of forward purchase agreement liabilities </w:t>
            </w:r>
            <w:r>
              <w:rPr>
                <w:rFonts w:ascii="Times New Roman" w:cs="Times New Roman" w:eastAsia="Times New Roman" w:hAnsi="Times New Roman"/>
                <w:sz w:val="25"/>
                <w:szCs w:val="25"/>
                <w:color w:val="auto"/>
                <w:vertAlign w:val="superscript"/>
              </w:rPr>
              <w:t>(5)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(337)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3,906</w:t>
            </w:r>
          </w:p>
        </w:tc>
      </w:tr>
      <w:tr>
        <w:trPr>
          <w:trHeight w:val="216"/>
        </w:trPr>
        <w:tc>
          <w:tcPr>
            <w:tcW w:w="86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Loss on issuance of common stock in connection with forward purchase agreements </w:t>
            </w:r>
            <w:r>
              <w:rPr>
                <w:rFonts w:ascii="Times New Roman" w:cs="Times New Roman" w:eastAsia="Times New Roman" w:hAnsi="Times New Roman"/>
                <w:sz w:val="25"/>
                <w:szCs w:val="25"/>
                <w:color w:val="auto"/>
                <w:vertAlign w:val="superscript"/>
              </w:rPr>
              <w:t>(6)</w:t>
            </w:r>
          </w:p>
        </w:tc>
        <w:tc>
          <w:tcPr>
            <w:tcW w:w="100" w:type="dxa"/>
            <w:vAlign w:val="bottom"/>
          </w:tcPr>
          <w:p>
            <w:pPr>
              <w:spacing w:after="0"/>
              <w:rPr>
                <w:sz w:val="18"/>
                <w:szCs w:val="18"/>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35,490</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expense in connection with warrants issued for vendor services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9,179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asset impairments and disposals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3,827</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86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Loss on issuance of common stock bonus shares in connection with the Mergers </w:t>
            </w:r>
            <w:r>
              <w:rPr>
                <w:rFonts w:ascii="Times New Roman" w:cs="Times New Roman" w:eastAsia="Times New Roman" w:hAnsi="Times New Roman"/>
                <w:sz w:val="25"/>
                <w:szCs w:val="25"/>
                <w:color w:val="auto"/>
                <w:vertAlign w:val="superscript"/>
              </w:rPr>
              <w:t>(7)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2,394</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Issuance of restricted stock units in connection with vendor services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52</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3,306</w:t>
            </w:r>
          </w:p>
        </w:tc>
        <w:tc>
          <w:tcPr>
            <w:tcW w:w="100" w:type="dxa"/>
            <w:vAlign w:val="bottom"/>
          </w:tcPr>
          <w:p>
            <w:pPr>
              <w:spacing w:after="0"/>
              <w:rPr>
                <w:sz w:val="15"/>
                <w:szCs w:val="15"/>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(12,106)</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Contract assets, current portion</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(21,451)</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Inventories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8,654</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1,544</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(170)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(4,197)</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noncurrent assets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111</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1,132</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(10,412)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2,292</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14,071</w:t>
            </w:r>
          </w:p>
        </w:tc>
        <w:tc>
          <w:tcPr>
            <w:tcW w:w="100" w:type="dxa"/>
            <w:vAlign w:val="bottom"/>
          </w:tcPr>
          <w:p>
            <w:pPr>
              <w:spacing w:after="0"/>
              <w:rPr>
                <w:sz w:val="15"/>
                <w:szCs w:val="15"/>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(3,313)</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(849)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(598)</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Warranty provision, noncurrent</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255</w:t>
            </w:r>
          </w:p>
        </w:tc>
      </w:tr>
      <w:tr>
        <w:trPr>
          <w:trHeight w:val="21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revenue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(1,685)</w:t>
            </w:r>
          </w:p>
        </w:tc>
      </w:tr>
      <w:tr>
        <w:trPr>
          <w:trHeight w:val="165"/>
        </w:trPr>
        <w:tc>
          <w:tcPr>
            <w:tcW w:w="8680" w:type="dxa"/>
            <w:vAlign w:val="bottom"/>
            <w:tcBorders>
              <w:top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Net cash used in operating activities from continuing operations</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(54,662)</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(58,802)</w:t>
            </w:r>
          </w:p>
        </w:tc>
        <w:tc>
          <w:tcPr>
            <w:tcW w:w="100" w:type="dxa"/>
            <w:vAlign w:val="bottom"/>
            <w:tcBorders>
              <w:top w:val="single" w:sz="8" w:color="CCEEFF"/>
            </w:tcBorders>
          </w:tcPr>
          <w:p>
            <w:pPr>
              <w:spacing w:after="0"/>
              <w:rPr>
                <w:sz w:val="14"/>
                <w:szCs w:val="14"/>
                <w:color w:val="auto"/>
              </w:rPr>
            </w:pPr>
          </w:p>
        </w:tc>
      </w:tr>
      <w:tr>
        <w:trPr>
          <w:trHeight w:val="21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provided by operating activities from discontinued operations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190</w:t>
            </w:r>
          </w:p>
        </w:tc>
      </w:tr>
      <w:tr>
        <w:trPr>
          <w:trHeight w:val="168"/>
        </w:trPr>
        <w:tc>
          <w:tcPr>
            <w:tcW w:w="8680" w:type="dxa"/>
            <w:vAlign w:val="bottom"/>
            <w:tcBorders>
              <w:top w:val="single" w:sz="8" w:color="CCEEFF"/>
              <w:bottom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(54,662</w:t>
            </w:r>
          </w:p>
        </w:tc>
        <w:tc>
          <w:tcPr>
            <w:tcW w:w="220" w:type="dxa"/>
            <w:vAlign w:val="bottom"/>
            <w:tcBorders>
              <w:top w:val="single" w:sz="8" w:color="CCEEFF"/>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(58,612</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 from continuing operations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(35)</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Capitalization of internal-use-software costs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(1,157)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(1,939)</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100" w:type="dxa"/>
            <w:vAlign w:val="bottom"/>
          </w:tcPr>
          <w:p>
            <w:pPr>
              <w:spacing w:after="0"/>
              <w:rPr>
                <w:sz w:val="15"/>
                <w:szCs w:val="15"/>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(53,500)</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21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the sale of equity securities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8,145</w:t>
            </w:r>
          </w:p>
        </w:tc>
      </w:tr>
      <w:tr>
        <w:trPr>
          <w:trHeight w:val="16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cash (used in) provided by investing activities</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(54,657</w:t>
            </w:r>
          </w:p>
        </w:tc>
        <w:tc>
          <w:tcPr>
            <w:tcW w:w="220" w:type="dxa"/>
            <w:vAlign w:val="bottom"/>
            <w:tcBorders>
              <w:top w:val="single" w:sz="8" w:color="CCEEFF"/>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6,171</w:t>
            </w:r>
          </w:p>
        </w:tc>
        <w:tc>
          <w:tcPr>
            <w:tcW w:w="100" w:type="dxa"/>
            <w:vAlign w:val="bottom"/>
            <w:tcBorders>
              <w:top w:val="single" w:sz="8" w:color="CCEEFF"/>
              <w:bottom w:val="single" w:sz="8" w:color="CCEEFF"/>
            </w:tcBorders>
          </w:tcPr>
          <w:p>
            <w:pPr>
              <w:spacing w:after="0"/>
              <w:rPr>
                <w:sz w:val="14"/>
                <w:szCs w:val="14"/>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 from continuing operations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issuance of notes payable, net of issuance cost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14,102</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Principal repayment of notes payable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(300)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(9,803)</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issuance of convertible notes, net of issuance cost</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81,725</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17,750</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issuance of convertible notes to related parties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26,000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3,500</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issuance of SAFE agreements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6,000</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issuance of common stock</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6,694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exercise of common stock options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532</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57</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Mergers and PIPE Financing</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4,219</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Mergers and PIPE Financing from related parties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15,600</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common stock</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5,000</w:t>
            </w: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Financing lease payments</w:t>
            </w:r>
          </w:p>
        </w:tc>
        <w:tc>
          <w:tcPr>
            <w:tcW w:w="100" w:type="dxa"/>
            <w:vAlign w:val="bottom"/>
          </w:tcPr>
          <w:p>
            <w:pPr>
              <w:spacing w:after="0"/>
              <w:rPr>
                <w:sz w:val="17"/>
                <w:szCs w:val="17"/>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(551)</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provided by financing activities from continuing operations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120,100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8"/>
        </w:trPr>
        <w:tc>
          <w:tcPr>
            <w:tcW w:w="8680" w:type="dxa"/>
            <w:vAlign w:val="bottom"/>
            <w:tcBorders>
              <w:bottom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Effect of exchange rate changes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116</w:t>
            </w:r>
          </w:p>
        </w:tc>
        <w:tc>
          <w:tcPr>
            <w:tcW w:w="100" w:type="dxa"/>
            <w:vAlign w:val="bottom"/>
            <w:tcBorders>
              <w:bottom w:val="single" w:sz="8" w:color="CCEEFF"/>
            </w:tcBorders>
          </w:tcPr>
          <w:p>
            <w:pPr>
              <w:spacing w:after="0"/>
              <w:rPr>
                <w:sz w:val="14"/>
                <w:szCs w:val="14"/>
                <w:color w:val="auto"/>
              </w:rPr>
            </w:pPr>
          </w:p>
        </w:tc>
      </w:tr>
      <w:tr>
        <w:trPr>
          <w:trHeight w:val="202"/>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(1,900</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8"/>
        </w:trPr>
        <w:tc>
          <w:tcPr>
            <w:tcW w:w="8680" w:type="dxa"/>
            <w:vAlign w:val="bottom"/>
            <w:tcBorders>
              <w:bottom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6,416</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8,316</w:t>
            </w:r>
          </w:p>
        </w:tc>
        <w:tc>
          <w:tcPr>
            <w:tcW w:w="100" w:type="dxa"/>
            <w:vAlign w:val="bottom"/>
            <w:tcBorders>
              <w:bottom w:val="single" w:sz="8" w:color="CCEEFF"/>
            </w:tcBorders>
          </w:tcPr>
          <w:p>
            <w:pPr>
              <w:spacing w:after="0"/>
              <w:rPr>
                <w:sz w:val="14"/>
                <w:szCs w:val="14"/>
                <w:color w:val="auto"/>
              </w:rPr>
            </w:pPr>
          </w:p>
        </w:tc>
      </w:tr>
      <w:tr>
        <w:trPr>
          <w:trHeight w:val="185"/>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17,219</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6,416</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paid during the year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2,147</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paid during the year for income taxes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schedule of noncash investing and financing activities: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86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Cancellation of existing indebtedness in Exchange Agreement </w:t>
            </w:r>
            <w:r>
              <w:rPr>
                <w:rFonts w:ascii="Times New Roman" w:cs="Times New Roman" w:eastAsia="Times New Roman" w:hAnsi="Times New Roman"/>
                <w:sz w:val="25"/>
                <w:szCs w:val="25"/>
                <w:color w:val="auto"/>
                <w:vertAlign w:val="superscript"/>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65,873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86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Issuance of convertible notes in Exchange Agreement </w:t>
            </w:r>
            <w:r>
              <w:rPr>
                <w:rFonts w:ascii="Times New Roman" w:cs="Times New Roman" w:eastAsia="Times New Roman" w:hAnsi="Times New Roman"/>
                <w:sz w:val="25"/>
                <w:szCs w:val="25"/>
                <w:color w:val="auto"/>
                <w:vertAlign w:val="superscript"/>
              </w:rPr>
              <w:t>(10)</w:t>
            </w:r>
          </w:p>
        </w:tc>
        <w:tc>
          <w:tcPr>
            <w:tcW w:w="100" w:type="dxa"/>
            <w:vAlign w:val="bottom"/>
          </w:tcPr>
          <w:p>
            <w:pPr>
              <w:spacing w:after="0"/>
              <w:rPr>
                <w:sz w:val="18"/>
                <w:szCs w:val="18"/>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42,662</w:t>
            </w:r>
          </w:p>
        </w:tc>
        <w:tc>
          <w:tcPr>
            <w:tcW w:w="100" w:type="dxa"/>
            <w:vAlign w:val="bottom"/>
          </w:tcPr>
          <w:p>
            <w:pPr>
              <w:spacing w:after="0"/>
              <w:rPr>
                <w:sz w:val="18"/>
                <w:szCs w:val="18"/>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Issuance of common stock in Exchange Agreement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2,220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Conversion of SAFE Agreements to shares of common stock - related party</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5,000</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27"/>
        </w:trPr>
        <w:tc>
          <w:tcPr>
            <w:tcW w:w="8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260"/>
          </w:cols>
          <w:pgMar w:left="320" w:top="758" w:right="319" w:bottom="0" w:gutter="0" w:footer="0" w:header="0"/>
        </w:sectPr>
      </w:pPr>
    </w:p>
    <w:bookmarkStart w:id="180" w:name="page181"/>
    <w:bookmarkEnd w:id="180"/>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right-of-use assets obtained in exchange for new operating lease liabilities</w:t>
            </w:r>
          </w:p>
        </w:tc>
        <w:tc>
          <w:tcPr>
            <w:tcW w:w="264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116</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1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Offering costs</w:t>
            </w:r>
          </w:p>
        </w:tc>
        <w:tc>
          <w:tcPr>
            <w:tcW w:w="6240" w:type="dxa"/>
            <w:vAlign w:val="bottom"/>
          </w:tcPr>
          <w:p>
            <w:pPr>
              <w:spacing w:after="0"/>
              <w:rPr>
                <w:sz w:val="15"/>
                <w:szCs w:val="15"/>
                <w:color w:val="auto"/>
              </w:rPr>
            </w:pPr>
          </w:p>
        </w:tc>
        <w:tc>
          <w:tcPr>
            <w:tcW w:w="264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1,396</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Warrants issued in debt issuance</w:t>
            </w:r>
          </w:p>
        </w:tc>
        <w:tc>
          <w:tcPr>
            <w:tcW w:w="264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860</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Carlyle Warrant modification - related party</w:t>
            </w:r>
          </w:p>
        </w:tc>
        <w:tc>
          <w:tcPr>
            <w:tcW w:w="264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7,306</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10,862</w:t>
            </w:r>
          </w:p>
        </w:tc>
      </w:tr>
      <w:tr>
        <w:trPr>
          <w:trHeight w:val="182"/>
        </w:trPr>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Conversion of 2022</w:t>
            </w: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Convertible notes into common stock</w:t>
            </w:r>
          </w:p>
        </w:tc>
        <w:tc>
          <w:tcPr>
            <w:tcW w:w="264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30,625</w:t>
            </w:r>
          </w:p>
        </w:tc>
      </w:tr>
      <w:tr>
        <w:trPr>
          <w:trHeight w:val="182"/>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Issuance of common stock warrants</w:t>
            </w:r>
          </w:p>
        </w:tc>
        <w:tc>
          <w:tcPr>
            <w:tcW w:w="264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3,516</w:t>
            </w:r>
          </w:p>
        </w:tc>
      </w:tr>
      <w:tr>
        <w:trPr>
          <w:trHeight w:val="182"/>
        </w:trPr>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Conversion of 2022</w:t>
            </w:r>
          </w:p>
        </w:tc>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Convertible Notes into common stock</w:t>
            </w:r>
          </w:p>
        </w:tc>
        <w:tc>
          <w:tcPr>
            <w:tcW w:w="264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21,561</w:t>
            </w:r>
          </w:p>
        </w:tc>
      </w:tr>
      <w:tr>
        <w:trPr>
          <w:trHeight w:val="182"/>
        </w:trPr>
        <w:tc>
          <w:tcPr>
            <w:tcW w:w="1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Conversion of 2022</w:t>
            </w:r>
          </w:p>
        </w:tc>
        <w:tc>
          <w:tcPr>
            <w:tcW w:w="6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Convertible Notes issued to related parties into common stock</w:t>
            </w:r>
          </w:p>
        </w:tc>
        <w:tc>
          <w:tcPr>
            <w:tcW w:w="264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19,390</w:t>
            </w:r>
          </w:p>
        </w:tc>
      </w:tr>
      <w:tr>
        <w:trPr>
          <w:trHeight w:val="182"/>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Conversion of preferred stock into common stock</w:t>
            </w:r>
          </w:p>
        </w:tc>
        <w:tc>
          <w:tcPr>
            <w:tcW w:w="264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155,630</w:t>
            </w:r>
          </w:p>
        </w:tc>
      </w:tr>
      <w:tr>
        <w:trPr>
          <w:trHeight w:val="216"/>
        </w:trPr>
        <w:tc>
          <w:tcPr>
            <w:tcW w:w="760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Issuance of common stock in connection with forward purchase agreements </w:t>
            </w:r>
            <w:r>
              <w:rPr>
                <w:rFonts w:ascii="Times New Roman" w:cs="Times New Roman" w:eastAsia="Times New Roman" w:hAnsi="Times New Roman"/>
                <w:sz w:val="25"/>
                <w:szCs w:val="25"/>
                <w:color w:val="auto"/>
                <w:vertAlign w:val="superscript"/>
              </w:rPr>
              <w:t>(5)</w:t>
            </w:r>
          </w:p>
        </w:tc>
        <w:tc>
          <w:tcPr>
            <w:tcW w:w="264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35,490</w:t>
            </w:r>
          </w:p>
        </w:tc>
      </w:tr>
      <w:tr>
        <w:trPr>
          <w:trHeight w:val="216"/>
        </w:trPr>
        <w:tc>
          <w:tcPr>
            <w:tcW w:w="760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 xml:space="preserve">Issuance of common stock bonus shares in connection with the Mergers </w:t>
            </w:r>
            <w:r>
              <w:rPr>
                <w:rFonts w:ascii="Times New Roman" w:cs="Times New Roman" w:eastAsia="Times New Roman" w:hAnsi="Times New Roman"/>
                <w:sz w:val="25"/>
                <w:szCs w:val="25"/>
                <w:color w:val="auto"/>
                <w:vertAlign w:val="superscript"/>
              </w:rPr>
              <w:t>(6)</w:t>
            </w:r>
          </w:p>
        </w:tc>
        <w:tc>
          <w:tcPr>
            <w:tcW w:w="264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2,394</w:t>
            </w:r>
          </w:p>
        </w:tc>
      </w:tr>
      <w:tr>
        <w:trPr>
          <w:trHeight w:val="182"/>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Recapitalization of Legacy Complete Solaria Common stock into SunPower Common Stock</w:t>
            </w:r>
          </w:p>
        </w:tc>
        <w:tc>
          <w:tcPr>
            <w:tcW w:w="264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w:t>
            </w:r>
          </w:p>
        </w:tc>
      </w:tr>
      <w:tr>
        <w:trPr>
          <w:trHeight w:val="182"/>
        </w:trPr>
        <w:tc>
          <w:tcPr>
            <w:tcW w:w="7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Reclassification of investor deposit to PIPE funds</w:t>
            </w:r>
          </w:p>
        </w:tc>
        <w:tc>
          <w:tcPr>
            <w:tcW w:w="264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3,500</w:t>
            </w:r>
          </w:p>
        </w:tc>
      </w:tr>
      <w:tr>
        <w:trPr>
          <w:trHeight w:val="197"/>
        </w:trPr>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Reclassification of warrants between liabilities and equity</w:t>
            </w:r>
          </w:p>
        </w:tc>
        <w:tc>
          <w:tcPr>
            <w:tcW w:w="264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4,329</w:t>
            </w:r>
          </w:p>
        </w:tc>
      </w:tr>
    </w:tbl>
    <w:p>
      <w:pPr>
        <w:spacing w:after="0" w:line="152" w:lineRule="exact"/>
        <w:rPr>
          <w:sz w:val="20"/>
          <w:szCs w:val="20"/>
          <w:color w:val="auto"/>
        </w:rPr>
      </w:pPr>
    </w:p>
    <w:p>
      <w:pPr>
        <w:ind w:left="5489" w:right="1420" w:hanging="5489"/>
        <w:spacing w:after="0" w:line="794" w:lineRule="auto"/>
        <w:tabs>
          <w:tab w:leader="none" w:pos="375"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Non-cash interest expense to related parties of zero and $0.4 million during the fiscal years ended December 29, 2024 and December 31, 2023, respectively. 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53910" cy="14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40" w:right="319" w:bottom="1440" w:gutter="0" w:footer="0" w:header="0"/>
        </w:sectPr>
      </w:pPr>
    </w:p>
    <w:bookmarkStart w:id="181" w:name="page182"/>
    <w:bookmarkEnd w:id="181"/>
    <w:p>
      <w:pPr>
        <w:ind w:left="369" w:hanging="369"/>
        <w:spacing w:after="0"/>
        <w:tabs>
          <w:tab w:leader="none" w:pos="36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Identified as a related party transaction in the fiscal year ended December 29, 2024.</w:t>
      </w:r>
    </w:p>
    <w:p>
      <w:pPr>
        <w:spacing w:after="0" w:line="191"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$3.0 million loss on a derivative liability issued to the Massey Trust (as later defined in Note 15 - Borrowings and Derivative Liabilities) a related party.</w:t>
      </w:r>
    </w:p>
    <w:p>
      <w:pPr>
        <w:spacing w:after="0" w:line="191" w:lineRule="exact"/>
        <w:rPr>
          <w:rFonts w:ascii="Times New Roman" w:cs="Times New Roman" w:eastAsia="Times New Roman" w:hAnsi="Times New Roman"/>
          <w:sz w:val="15"/>
          <w:szCs w:val="15"/>
          <w:color w:val="auto"/>
        </w:rPr>
      </w:pPr>
    </w:p>
    <w:p>
      <w:pPr>
        <w:ind w:left="369" w:right="20" w:hanging="369"/>
        <w:spacing w:after="0" w:line="287" w:lineRule="auto"/>
        <w:tabs>
          <w:tab w:leader="none" w:pos="36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 of forward purchase agreements includes other income from related parties of zero and $0.4 million during the fiscal years ended December 29, 2024 and December 31, 2023, respectively.</w:t>
      </w:r>
    </w:p>
    <w:p>
      <w:pPr>
        <w:spacing w:after="0" w:line="133" w:lineRule="exact"/>
        <w:rPr>
          <w:rFonts w:ascii="Times New Roman" w:cs="Times New Roman" w:eastAsia="Times New Roman" w:hAnsi="Times New Roman"/>
          <w:sz w:val="15"/>
          <w:szCs w:val="15"/>
          <w:color w:val="auto"/>
        </w:rPr>
      </w:pPr>
    </w:p>
    <w:p>
      <w:pPr>
        <w:ind w:left="369" w:hanging="369"/>
        <w:spacing w:after="0" w:line="287" w:lineRule="auto"/>
        <w:tabs>
          <w:tab w:leader="none" w:pos="36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fair value of forward purchase agreement liabilities from related parties was income of $0.1 million and ($9.1) million during the fiscal years ended December 29, 2024 and December 31, 2023, respectively.</w:t>
      </w:r>
    </w:p>
    <w:p>
      <w:pPr>
        <w:spacing w:after="0" w:line="133" w:lineRule="exact"/>
        <w:rPr>
          <w:rFonts w:ascii="Times New Roman" w:cs="Times New Roman" w:eastAsia="Times New Roman" w:hAnsi="Times New Roman"/>
          <w:sz w:val="15"/>
          <w:szCs w:val="15"/>
          <w:color w:val="auto"/>
        </w:rPr>
      </w:pPr>
    </w:p>
    <w:p>
      <w:pPr>
        <w:ind w:left="369" w:hanging="369"/>
        <w:spacing w:after="0" w:line="287" w:lineRule="auto"/>
        <w:tabs>
          <w:tab w:leader="none" w:pos="36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 of common stock in connection with forward purchase agreements includes other expense from related parties of zero and ($30.7) million during the fiscal years ended December 29, 2024 and December 31, 2023, respectively.</w:t>
      </w:r>
    </w:p>
    <w:p>
      <w:pPr>
        <w:spacing w:after="0" w:line="133"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 of common stock bonus shares to related parties in connection with the Mergers includes other expense of $0.7 million during the fiscal year ended December 31, 2023.</w:t>
      </w:r>
    </w:p>
    <w:p>
      <w:pPr>
        <w:spacing w:after="0" w:line="191"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Gain includes $12.5 million with a related party in the fiscal year ended December 29, 2024. Refer to Note 15 - Borrowings and Derivative Liabilities for details.</w:t>
      </w:r>
    </w:p>
    <w:p>
      <w:pPr>
        <w:spacing w:after="0" w:line="191"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related party debt cancellation of $37.2 million.</w:t>
      </w:r>
    </w:p>
    <w:p>
      <w:pPr>
        <w:spacing w:after="0" w:line="191"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$23.7 million issuance of convertible notes with related parties.</w:t>
      </w:r>
    </w:p>
    <w:p>
      <w:pPr>
        <w:spacing w:after="0" w:line="191" w:lineRule="exact"/>
        <w:rPr>
          <w:rFonts w:ascii="Times New Roman" w:cs="Times New Roman" w:eastAsia="Times New Roman" w:hAnsi="Times New Roman"/>
          <w:sz w:val="15"/>
          <w:szCs w:val="15"/>
          <w:color w:val="auto"/>
        </w:rPr>
      </w:pPr>
    </w:p>
    <w:p>
      <w:pPr>
        <w:ind w:left="369" w:hanging="369"/>
        <w:spacing w:after="0"/>
        <w:tabs>
          <w:tab w:leader="none" w:pos="36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$1.6 million of amortization of debt issuance costs with related parties.</w:t>
      </w:r>
    </w:p>
    <w:p>
      <w:pPr>
        <w:spacing w:after="0" w:line="191" w:lineRule="exact"/>
        <w:rPr>
          <w:rFonts w:ascii="Times New Roman" w:cs="Times New Roman" w:eastAsia="Times New Roman" w:hAnsi="Times New Roman"/>
          <w:sz w:val="15"/>
          <w:szCs w:val="15"/>
          <w:color w:val="auto"/>
        </w:rPr>
      </w:pPr>
    </w:p>
    <w:p>
      <w:pPr>
        <w:ind w:left="369" w:hanging="369"/>
        <w:spacing w:after="0" w:line="287" w:lineRule="auto"/>
        <w:tabs>
          <w:tab w:leader="none" w:pos="369"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$0.3 million gain in connection with the change in the fair value of derivative liabilities issued to the Massey Trust and Carlyle (as later defined in Note 15 - Borrowings and Derivative Liabilities) with related parties.</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3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62" w:right="3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 Organization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Description of Business</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SunPower Inc. (f/k/a Complete Solaria, Inc.) (the “Company”) is a residential solar installer that offers storage and home energy solutions to customers in North America. The Company is headquartered in Fremont, California.</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Complete Solar, Inc. (“Complete Solar”) was incorporated in Delaware on February 22, 2010. Through February 2022, the Company operated as a single legal entity as Complete Solar, Inc.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Subsequently, Complete Solar Holdings changed its name to “Complete Solaria, Inc.”</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October 2022, the Company entered into a business combination agreement, as amended on December 26, 2022 and January 17, 2023 (“Original Business Combination Agreement”) and as amended on May 26, 2023 (“Amended and Restated Business Combination Agreement”), with Jupiter Merger Sub I Corp., a Delaware corporation and a wholly owned subsidiary of Freedom Acquisition I Corp. (“FACT”) (“First Merger Sub”), Jupiter Merger Sub II LLC, a Delaware limited liability company and a wholly owned subsidiary of FACT (“Second Merger Sub”), Complete Solar Holding Corporation, a Delaware corporation, and The Solaria Corporation (“Solaria”), a Delaware corporation.</w:t>
      </w:r>
    </w:p>
    <w:p>
      <w:pPr>
        <w:spacing w:after="0" w:line="147"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The transactions contemplated by the Amended and Restated Business Combination Agreement were consummated on July 18, 2023 (“</w:t>
      </w:r>
      <w:r>
        <w:rPr>
          <w:rFonts w:ascii="Times New Roman" w:cs="Times New Roman" w:eastAsia="Times New Roman" w:hAnsi="Times New Roman"/>
          <w:sz w:val="15"/>
          <w:szCs w:val="15"/>
          <w:b w:val="1"/>
          <w:bCs w:val="1"/>
          <w:color w:val="auto"/>
        </w:rPr>
        <w:t>Closing Date</w:t>
      </w:r>
      <w:r>
        <w:rPr>
          <w:rFonts w:ascii="Times New Roman" w:cs="Times New Roman" w:eastAsia="Times New Roman" w:hAnsi="Times New Roman"/>
          <w:sz w:val="15"/>
          <w:szCs w:val="15"/>
          <w:color w:val="auto"/>
        </w:rPr>
        <w:t>”). Following the consummation of the Merger on the Closing Date, FACT changed its name to “Complete Solaria, Inc.”</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As part of the transactions contemplated by the Amended and Restated Business Combination Agreement, FACT affected a deregistration under the Cayman Islands Companies Act and a domestication under Section 388 of the Delaware’s General Corporation Law (the “DGCL” or “Domestication”). On the Closing Date, following the Domestication, First Merger Sub merged with and into the Company, with the Company surviving such merger as a wholly owned subsidiary of FACT (the “First Merger”), and immediately following the First Merger, the Company merged with and into Second Merger Sub, with Second Merger Sub surviving as a wholly owned subsidiary of FACT (the “Second Merger”), and Second Merger Sub changed its name to CS, LLC, and immediately following the Second Merger, Solaria merged with and into a newly formed Delaware limited liability company and wholly-owned subsidiary of FACT and changed its name to The Solaria Corporation LLC (“Third Merger Sub”), with Third Merger Sub surviving as a wholly-owned subsidiary of FACT (the “Additional Merger”, and together with the First Merger and the Second Merger, the “Mergers”).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connection with the closing of the Mergers:</w:t>
      </w:r>
    </w:p>
    <w:p>
      <w:pPr>
        <w:spacing w:after="0" w:line="192" w:lineRule="exact"/>
        <w:rPr>
          <w:sz w:val="20"/>
          <w:szCs w:val="20"/>
          <w:color w:val="auto"/>
        </w:rPr>
      </w:pPr>
    </w:p>
    <w:p>
      <w:pPr>
        <w:ind w:left="540" w:hanging="276"/>
        <w:spacing w:after="0" w:line="287" w:lineRule="auto"/>
        <w:tabs>
          <w:tab w:leader="none" w:pos="5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the Company’s capital stock, inclusive of shares converted from 2022 Convertible Notes, issued and outstanding immediately prior to the Closing (“Legacy Complete Solaria Capital Stock”) were cancelled and exchanged into an aggregate of 25,494,332 shares of Company Common Stock.</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83" w:name="page184"/>
    <w:bookmarkEnd w:id="183"/>
    <w:p>
      <w:pPr>
        <w:jc w:val="both"/>
        <w:ind w:left="540" w:hanging="276"/>
        <w:spacing w:after="0" w:line="257" w:lineRule="auto"/>
        <w:tabs>
          <w:tab w:leader="none" w:pos="5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July 2023, (i) Meteora Special Opportunity Fund I, LP (“MSOF”), Meteora Capital Partners, LP (“MCP”) and Meteora Select Trading Opportunities Master, LP (“MSTO”) (with MSOF, MCP, and MSTO collectively as “Meteora”); (ii) Polar Multi-Strategy Master Fund (“Polar”), and (iii) Diametric True Alpha Market Neutral Master Fund, LP, Diametric True Alpha Enhanced Market Neutral Master Fund, LP, and Pinebridge Partners Master Fund, LP (collectively, “Sandia”) (together, the “FPA Funding PIPE Investors”) entered into separate subscription agreements (the “FPA Funding Amount PIPE Subscription Agreements”) pursuant to which, the FPA Funding PIPE Investors subscribed for on the Closing Date, an aggregate of 6,300,000 shares of FACT Class A Ordinary Shares, less, in the case of Meteora, 1,161,512 FACT Class A Ordinary Shares purchased by Meteora separately from third parties through a broker in the open market (“Recycled Shares”) in connection with the Forward Purchase Agreements (“FPAs”). Subsequent to the Closing Date, the Company entered into an additional FPA Funding PIPE Subscription Agreement with Meteora, to subscribe for and purchase, and the Company agreed to issue and sell, an aggregate of 420,000 shares of Complete Solaria Common Stock. The Company issued shares of Company Common Stock underlying the FPAs as of the latter of the closing of the Mergers or execution of the FPAs.</w:t>
      </w:r>
    </w:p>
    <w:p>
      <w:pPr>
        <w:spacing w:after="0" w:line="158" w:lineRule="exact"/>
        <w:rPr>
          <w:rFonts w:ascii="Times New Roman" w:cs="Times New Roman" w:eastAsia="Times New Roman" w:hAnsi="Times New Roman"/>
          <w:sz w:val="15"/>
          <w:szCs w:val="15"/>
          <w:color w:val="auto"/>
        </w:rPr>
      </w:pPr>
    </w:p>
    <w:p>
      <w:pPr>
        <w:jc w:val="both"/>
        <w:ind w:left="540" w:hanging="276"/>
        <w:spacing w:after="0" w:line="264" w:lineRule="auto"/>
        <w:tabs>
          <w:tab w:leader="none" w:pos="5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certain investors (the “PIPE Investors”) purchased from the Company an aggregate of 1,570,000 shares of Company Common Stock (the “PIPE Shares”) for a purchase price of $10.00 per share, for aggregate gross proceeds of $15.7 million (the “PIPE Financing”), including $3.5 million that was funded prior to the Closing Date, pursuant to subscription agreements (the “Subscription Agreements”). At the time of the PIPE Financing, Company issued an additional 60,000 shares to certain investors as an incentive to participate in the PIPE Financing.</w:t>
      </w:r>
    </w:p>
    <w:p>
      <w:pPr>
        <w:spacing w:after="0" w:line="151" w:lineRule="exact"/>
        <w:rPr>
          <w:rFonts w:ascii="Times New Roman" w:cs="Times New Roman" w:eastAsia="Times New Roman" w:hAnsi="Times New Roman"/>
          <w:sz w:val="15"/>
          <w:szCs w:val="15"/>
          <w:color w:val="auto"/>
        </w:rPr>
      </w:pPr>
    </w:p>
    <w:p>
      <w:pPr>
        <w:jc w:val="both"/>
        <w:ind w:left="540" w:hanging="276"/>
        <w:spacing w:after="0" w:line="261" w:lineRule="auto"/>
        <w:tabs>
          <w:tab w:leader="none" w:pos="5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around the Closing Date, pursuant to the New Money PIPE Subscription Agreements, certain investors affiliated with the New Money PIPE Subscription Agreements (“New Money PIPE Investors”) agreed to subscribe for and purchase, and the Company agreed to issue and sell to the New Money PIPE Investors an aggregate of 120,000 shares of Company Common Stock for a purchase price of $5.00 per share, for aggregate gross proceeds of $0.6 million. Pursuant to its New Money PIPE Subscription Agreement, the Company issued an additional 60,000 shares of Company Common Stock in consideration of certain services provided by it in the structuring of its FPA and the transactions described therein.</w:t>
      </w:r>
    </w:p>
    <w:p>
      <w:pPr>
        <w:spacing w:after="0" w:line="154"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Subsequent to the Closing, the Company issued an additional 193,976 shares of Company Common Stock to the sponsors for reimbursing sponsors’ transfer to certain counterparties and issued an additional 150,000 shares of Company Common Stock to an FPA investor for services provided in connection with the Mergers.</w:t>
      </w:r>
    </w:p>
    <w:p>
      <w:pPr>
        <w:spacing w:after="0" w:line="133" w:lineRule="exact"/>
        <w:rPr>
          <w:rFonts w:ascii="Times New Roman" w:cs="Times New Roman" w:eastAsia="Times New Roman" w:hAnsi="Times New Roman"/>
          <w:sz w:val="15"/>
          <w:szCs w:val="15"/>
          <w:color w:val="auto"/>
        </w:rPr>
      </w:pPr>
    </w:p>
    <w:p>
      <w:pPr>
        <w:jc w:val="both"/>
        <w:ind w:left="540" w:hanging="276"/>
        <w:spacing w:after="0" w:line="264" w:lineRule="auto"/>
        <w:tabs>
          <w:tab w:leader="none" w:pos="5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2023, holders of 23,256,504 of the originally issued 34,500,000 FACT Class A Ordinary shares exercised their rights to redeem those shares for cash, and immediately prior to the Closing there were 11,243,496 FACT Class A Ordinary Shares that remained outstanding. At the Closing, holders of 7,784,739 shares of Class A common stock of FACT exercised their rights to redeem those shares for cash, for an aggregate of approximately $82.2 million which was paid to such holders at Closing. The remaining FACT Class A Ordinary Share converted, on a one-for-one basis, into one share of Company Common Stock.</w:t>
      </w:r>
    </w:p>
    <w:p>
      <w:pPr>
        <w:spacing w:after="0" w:line="15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issued and outstanding FACT Class B Ordinary Share converted, on a one-for-one basis, into one share of Company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August 18, 2023, the Company entered into a Non-Binding Letter of Intent to sell certain of the Company’s North American solar panel assets to Maxeon Solar Technologies,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(“Maxeon”).</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August 5, 2024, the Company entered into an Asset Purchase Agreement (the “APA”) with SunPower Corporation (“SunPower Corporation”) and SunPower Corporation’s direct and indirect subsidiaries (collectively, the “SunPower Debtors”) providing for the Company’s purchase of certain assets relating to the Blue Raven Solar business, New Homes Business and Non-Installing Dealer network previously operated by the SunPower Debtors (“SunPower Acquisition”). The APA was entered into in connection with a voluntary petition filed by SunPower under Chapter 11 of the United States Code, 11 U.S.C.§§ 101-1532. The sale by SunPower Corporation was approved on September 23, 2024, by the United States Bankruptcy Court for the District of Delaware. The Company completed the acquisition of the Acquired Assets (as defined in the APA) effective September 30, 2024, in exchange for consideration of $54.5 million, net of $1.0 cash acquired. The acquisition transactions under the APA are referred to herein as the “Acquisition,” and the assets and businesses acquired by the Company under the APA are referred to as the “SunPower Businesses.” Refer to Note 4 - Business Combination for a further discussion of the allocation of consideration transferred.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3"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5"/>
          <w:szCs w:val="15"/>
          <w:b w:val="1"/>
          <w:bCs w:val="1"/>
          <w:i w:val="1"/>
          <w:iCs w:val="1"/>
          <w:color w:val="auto"/>
        </w:rPr>
        <w:t>(b) Divestiture</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October 2023, the Company completed the sale of its solar panel business to Maxeon (“Divestiture”), pursuant to the terms of the Asset Purchase Agreement (the “Disposal Agreement”). The Company determined that the Divestiture represented a strategic shift in the Company’s business and qualified as a discontinued operation. Under the terms of the Disposal Agreement, Maxeon agreed to acquire certain assets and employees of the Company, for an aggregate purchase price of approximately $11.0 million consisting of 1,100,000 shares of Maxeon ordinary shares. In connection with the divestiture the Company recognized a net loss from discontinued operations of $2.0 million and $173.4 million in the fiscal years ended December 29, 2024 and December 31, 2023, respectively. The Company subsequently sold all of its Maxeon shares received in the Divestiture and recognized a loss upon sale of $4.2 million which is classified within continuing operations as Other income (expense), net within the Company’s consolidated statement of operations and comprehensive loss in the year ended December 31, 2023.</w:t>
      </w:r>
    </w:p>
    <w:p>
      <w:pPr>
        <w:spacing w:after="0" w:line="1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Accordingly, the results of operations and cash flows relating to Solaria were reflected as discontinued operations in the consolidated statements of operations and comprehensive loss and consolidated statements of cash flows for the fiscal years ended December 29, 2024 and December 31, 2023.</w:t>
      </w:r>
    </w:p>
    <w:p>
      <w:pPr>
        <w:spacing w:after="0" w:line="13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Components of amounts reflected in the consolidated statements of operations and comprehensive loss related to discontinued operations are presented in the table,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Fiscal Year Ended</w:t>
            </w:r>
          </w:p>
        </w:tc>
      </w:tr>
      <w:tr>
        <w:trPr>
          <w:trHeight w:val="175"/>
        </w:trPr>
        <w:tc>
          <w:tcPr>
            <w:tcW w:w="8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gridSpan w:val="2"/>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29,048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00" w:type="dxa"/>
            <w:vAlign w:val="bottom"/>
          </w:tcPr>
          <w:p>
            <w:pPr>
              <w:spacing w:after="0"/>
              <w:rPr>
                <w:sz w:val="17"/>
                <w:szCs w:val="17"/>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30,609</w:t>
            </w:r>
          </w:p>
        </w:tc>
        <w:tc>
          <w:tcPr>
            <w:tcW w:w="80" w:type="dxa"/>
            <w:vAlign w:val="bottom"/>
          </w:tcPr>
          <w:p>
            <w:pPr>
              <w:spacing w:after="0"/>
              <w:rPr>
                <w:sz w:val="17"/>
                <w:szCs w:val="17"/>
                <w:color w:val="auto"/>
              </w:rPr>
            </w:pPr>
          </w:p>
        </w:tc>
      </w:tr>
      <w:tr>
        <w:trPr>
          <w:trHeight w:val="182"/>
        </w:trPr>
        <w:tc>
          <w:tcPr>
            <w:tcW w:w="8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Gross loss</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(1,561)</w:t>
            </w:r>
          </w:p>
        </w:tc>
        <w:tc>
          <w:tcPr>
            <w:tcW w:w="100" w:type="dxa"/>
            <w:vAlign w:val="bottom"/>
            <w:tcBorders>
              <w:top w:val="single" w:sz="8" w:color="CCEEFF"/>
            </w:tcBorders>
            <w:gridSpan w:val="2"/>
            <w:shd w:val="clear" w:color="auto" w:fill="CCEEFF"/>
          </w:tcPr>
          <w:p>
            <w:pPr>
              <w:spacing w:after="0"/>
              <w:rPr>
                <w:sz w:val="15"/>
                <w:szCs w:val="15"/>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expenses: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Sales and marketing</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6,855</w:t>
            </w:r>
          </w:p>
        </w:tc>
        <w:tc>
          <w:tcPr>
            <w:tcW w:w="80" w:type="dxa"/>
            <w:vAlign w:val="bottom"/>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00" w:type="dxa"/>
            <w:vAlign w:val="bottom"/>
          </w:tcPr>
          <w:p>
            <w:pPr>
              <w:spacing w:after="0"/>
              <w:rPr>
                <w:sz w:val="17"/>
                <w:szCs w:val="17"/>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2,007</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17,472</w:t>
            </w:r>
          </w:p>
        </w:tc>
        <w:tc>
          <w:tcPr>
            <w:tcW w:w="80" w:type="dxa"/>
            <w:vAlign w:val="bottom"/>
          </w:tcPr>
          <w:p>
            <w:pPr>
              <w:spacing w:after="0"/>
              <w:rPr>
                <w:sz w:val="17"/>
                <w:szCs w:val="17"/>
                <w:color w:val="auto"/>
              </w:rPr>
            </w:pPr>
          </w:p>
        </w:tc>
      </w:tr>
      <w:tr>
        <w:trPr>
          <w:trHeight w:val="202"/>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2,007</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24,327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65"/>
        </w:trPr>
        <w:tc>
          <w:tcPr>
            <w:tcW w:w="8680" w:type="dxa"/>
            <w:vAlign w:val="bottom"/>
            <w:tcBorders>
              <w:top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Loss from discontinued operations</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(2,007)</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(25,888)</w:t>
            </w:r>
          </w:p>
        </w:tc>
        <w:tc>
          <w:tcPr>
            <w:tcW w:w="100" w:type="dxa"/>
            <w:vAlign w:val="bottom"/>
            <w:tcBorders>
              <w:top w:val="single" w:sz="8" w:color="CCEEFF"/>
            </w:tcBorders>
            <w:gridSpan w:val="2"/>
          </w:tcPr>
          <w:p>
            <w:pPr>
              <w:spacing w:after="0"/>
              <w:rPr>
                <w:sz w:val="14"/>
                <w:szCs w:val="14"/>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8"/>
                <w:szCs w:val="18"/>
                <w:color w:val="auto"/>
              </w:rPr>
            </w:pPr>
          </w:p>
        </w:tc>
      </w:tr>
      <w:tr>
        <w:trPr>
          <w:trHeight w:val="165"/>
        </w:trPr>
        <w:tc>
          <w:tcPr>
            <w:tcW w:w="8680" w:type="dxa"/>
            <w:vAlign w:val="bottom"/>
            <w:tcBorders>
              <w:top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Loss from discontinued operations before income taxes</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(2,007)</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(25,857)</w:t>
            </w:r>
          </w:p>
        </w:tc>
        <w:tc>
          <w:tcPr>
            <w:tcW w:w="100" w:type="dxa"/>
            <w:vAlign w:val="bottom"/>
            <w:tcBorders>
              <w:top w:val="single" w:sz="8" w:color="CCEEFF"/>
            </w:tcBorders>
            <w:gridSpan w:val="2"/>
          </w:tcPr>
          <w:p>
            <w:pPr>
              <w:spacing w:after="0"/>
              <w:rPr>
                <w:sz w:val="14"/>
                <w:szCs w:val="14"/>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benefit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8"/>
                <w:szCs w:val="18"/>
                <w:color w:val="auto"/>
              </w:rPr>
            </w:pPr>
          </w:p>
        </w:tc>
      </w:tr>
      <w:tr>
        <w:trPr>
          <w:trHeight w:val="165"/>
        </w:trPr>
        <w:tc>
          <w:tcPr>
            <w:tcW w:w="8680" w:type="dxa"/>
            <w:vAlign w:val="bottom"/>
            <w:tcBorders>
              <w:top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Loss from discontinued operations, net of tax</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(2,007)</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(25,853)</w:t>
            </w:r>
          </w:p>
        </w:tc>
        <w:tc>
          <w:tcPr>
            <w:tcW w:w="100" w:type="dxa"/>
            <w:vAlign w:val="bottom"/>
            <w:tcBorders>
              <w:top w:val="single" w:sz="8" w:color="CCEEFF"/>
            </w:tcBorders>
            <w:gridSpan w:val="2"/>
          </w:tcPr>
          <w:p>
            <w:pPr>
              <w:spacing w:after="0"/>
              <w:rPr>
                <w:sz w:val="14"/>
                <w:szCs w:val="14"/>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 loss from discontinued operations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(147,505)</w:t>
            </w:r>
          </w:p>
        </w:tc>
      </w:tr>
      <w:tr>
        <w:trPr>
          <w:trHeight w:val="168"/>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loss from discontinued operations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(2,007</w:t>
            </w:r>
          </w:p>
        </w:tc>
        <w:tc>
          <w:tcPr>
            <w:tcW w:w="220" w:type="dxa"/>
            <w:vAlign w:val="bottom"/>
            <w:tcBorders>
              <w:top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(173,358</w:t>
            </w:r>
          </w:p>
        </w:tc>
        <w:tc>
          <w:tcPr>
            <w:tcW w:w="1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 Liquidity and Going Concern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Since inception, the Company has incurred recurring losses and negative cash flows from operations. The Company incurred a net loss of $56.5 million during the fiscal year ended December 29, 2024 and had an accumulated deficit of $411.4 million and current debt of $1.5 million as of December 29, 2024. The Company had cash and cash equivalents, excluding restricted cash, of $13.4 million as of December 29, 2024. The Company believes that its operating losses and negative operating cash flows will continue into the foreseeable future. These conditions raise substantial doubt about the Company’s ability to continue as a going concern.</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Management plans to obtain additional funding. Historically, the Company’s activities have been financed through private placements of equity securities, debt and proceeds from the Merger. 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85" w:name="page186"/>
    <w:bookmarkEnd w:id="185"/>
    <w:p>
      <w:pPr>
        <w:jc w:val="both"/>
        <w:spacing w:after="0" w:line="264" w:lineRule="auto"/>
        <w:rPr>
          <w:sz w:val="20"/>
          <w:szCs w:val="20"/>
          <w:color w:val="auto"/>
        </w:rPr>
      </w:pPr>
      <w:r>
        <w:rPr>
          <w:rFonts w:ascii="Times New Roman" w:cs="Times New Roman" w:eastAsia="Times New Roman" w:hAnsi="Times New Roman"/>
          <w:sz w:val="15"/>
          <w:szCs w:val="15"/>
          <w:color w:val="auto"/>
        </w:rPr>
        <w:t>Therefore, there is substantial doubt about the Company’s ability to continue as a going concern within one year after the date that the consolidated financial statements are issued. The accompanying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Basis of Presentation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consolidated financial statements and accompanying notes have been prepared in accordance with generally accepted accounting principles (“U.S. GAAP”) and pursuant to the rules and regulations of the Securities and Exchange Commission (“SEC”). The consolidated financial statements include the accounts of the Company and its wholly-owned subsidiaries. All material intercompany balances and transactions have been eliminated in consolidation.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On March 10, 2025, the Company’s board of directors approved a change in the Company’s fiscal year end to have a 52-to-53-week fiscal year that ends on the Sunday closest to December 31. This change is effective for the fiscal year ended December 29,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 Use of Estimates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preparation of the Company’s consolidated financial statements in conformity with GAAP requires management to make estimates and assumptions that affect the reported amounts of assets, liabilities, revenues, expenses, as well as related disclosure of contingent assets and liabilities. Significant estimates and assumptions made by management include, but are not limited to, the determination of:</w:t>
      </w:r>
    </w:p>
    <w:p>
      <w:pPr>
        <w:spacing w:after="0" w:line="146" w:lineRule="exact"/>
        <w:rPr>
          <w:sz w:val="20"/>
          <w:szCs w:val="20"/>
          <w:color w:val="auto"/>
        </w:rPr>
      </w:pPr>
    </w:p>
    <w:p>
      <w:pPr>
        <w:ind w:left="540" w:hanging="276"/>
        <w:spacing w:after="0"/>
        <w:tabs>
          <w:tab w:leader="none" w:pos="5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of warrant liabilities;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of the forward purchase agreements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of Simple Agreements for Future Equity Agreements (“SAFEs”)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reserve methodology for inventory obsolescence;</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reserve methodology for product warranty;</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reserve methodology for the allowance for credit losses;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of the derivative liabilities;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measurement of stock-based compensation.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To the extent that there are material differences between these estimates and actual results, the Company’s financial condition or operating results will be affected.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 Concentration of Risks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is exposed to credit losses in the event of nonperformance by the counterparties to its financial and derivative instruments. Financial and derivative instruments that potentially subject the Company to concentrations of credit risk are primarily cash and cash equivalents, restricted cash and cash equivalents, accounts receivable, contract receivables and forward purchase agreement assets. The Company’s cash and cash equivalents are on deposit with major financial institutions. Such deposits may be in excess of insured limits.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 As of December 29, 2024, no customer had an outstanding balance that represented more than 10% of the total accounts receivable balance. As of December 31, 2023, two customers had an outstanding balance that represented 38% and 16% of the total accounts receivable balance.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Customers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 defines major customers as those customers who generate revenues that exceed 10% of the Company’s annual net revenues. For the fiscal years ended December 29, 2024 and December 31, 2023, three customers and one customer represented 36% and 55% of gross revenues, respectively, all from the Residential Solar Installation reportable segment.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Suppliers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For the fiscal year ended December 29, 2024, the Company expanded its preferred supplier list, as such there was no concentration of suppliers. For the fiscal year ended December 31, 2023, one supplier represented 40% of the Company’s inventory purchases.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 Cash and Cash Equivalents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considers all highly liquid securities that mature within three months or less from the original date of purchase to be cash equivalents. The Company maintains the majority of its cash balances with commercial banks in interest bearing accounts. Cash and cash equivalents include cash held in checking and savings accounts and money market accounts consisting of highly liquid securities with maturity dates of three months or less from the original date of purchase. As of December 29, 2024 and December 31, 2023, the Company had cash balances of $13.4 million and $2.6 million, respectively, in excess of federally insured limits.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 Restricted Cash</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classifies all cash for which usage is limited by contractual provisions as restricted cash. The restricted cash consists of deposits in money market accounts, which is used as cash collateral backing letters of credit related to customs duty authorities’ requirements. The Company has presented these balances under restricted cash, as a long-term asset, in the consolidated balance sheets. The Company reconciles cash, cash equivalents, and restricted cash reported in its consolidated balance sheets that aggregate to the beginning and ending balances shown in the Company’s consolidated statements of cash flows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100" w:type="dxa"/>
            <w:vAlign w:val="bottom"/>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3,841</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3,823</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17,219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 Estimated Credit Losses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recognizes an allowance for credit loss at the time a receivable is recorded based on the Company’s estimate of expected credit losses, historical write-off experience, and current account knowledge, and adjusts this estimate over the life of the receivable as needed. The Company evaluates the aggregation and risk characteristics of a receivable pool and develops loss rates that reflect historical collections, current forecasts of future economic conditions over the time horizon that the Company is exposed to credit risk, and payment terms or conditions that may materially affect future forecasts.</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summarizes the allowance for credit losses as follows (in thousands):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78"/>
        </w:trPr>
        <w:tc>
          <w:tcPr>
            <w:tcW w:w="8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gridSpan w:val="2"/>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(4,812)</w:t>
            </w:r>
          </w:p>
        </w:tc>
        <w:tc>
          <w:tcPr>
            <w:tcW w:w="100" w:type="dxa"/>
            <w:vAlign w:val="bottom"/>
            <w:gridSpan w:val="2"/>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Provision charged to earnings</w:t>
            </w:r>
          </w:p>
        </w:tc>
        <w:tc>
          <w:tcPr>
            <w:tcW w:w="100" w:type="dxa"/>
            <w:vAlign w:val="bottom"/>
          </w:tcPr>
          <w:p>
            <w:pPr>
              <w:spacing w:after="0"/>
              <w:rPr>
                <w:sz w:val="15"/>
                <w:szCs w:val="15"/>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(9,132)</w:t>
            </w:r>
          </w:p>
        </w:tc>
        <w:tc>
          <w:tcPr>
            <w:tcW w:w="10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(5,083)</w:t>
            </w: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Amounts written off, net of recoveries and other adjustments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17,277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shd w:val="clear" w:color="auto" w:fill="CCEEFF"/>
          </w:tcPr>
          <w:p>
            <w:pPr>
              <w:spacing w:after="0"/>
              <w:rPr>
                <w:sz w:val="18"/>
                <w:szCs w:val="18"/>
                <w:color w:val="auto"/>
              </w:rPr>
            </w:pPr>
          </w:p>
        </w:tc>
      </w:tr>
      <w:tr>
        <w:trPr>
          <w:trHeight w:val="168"/>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Balance at end of period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(1,701</w:t>
            </w:r>
          </w:p>
        </w:tc>
        <w:tc>
          <w:tcPr>
            <w:tcW w:w="220" w:type="dxa"/>
            <w:vAlign w:val="bottom"/>
            <w:tcBorders>
              <w:top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(9,846</w:t>
            </w:r>
          </w:p>
        </w:tc>
        <w:tc>
          <w:tcPr>
            <w:tcW w:w="1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 does not have any off-balance sheet credit exposure relating to its customers. In fiscal year 2024, the Company identified customer accounts receivable balances that were deemed to be uncollectible, which were reserved and written off.</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 Contract Assets and Contract Liabilities</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Contract assets consist of unbilled receivables which represent revenue that has been recognized in advance of billing the customer. Contract liabilities consist of deferred revenue and customer advances, which represent consideration received from a customer prior to transferring control of goods or services to the customer under the terms of a sales contract. Total contract assets and contract liabilities balances as of the respective dates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26,066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Contract liabilities current and noncurrent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10,921</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3,478</w:t>
            </w:r>
          </w:p>
        </w:tc>
      </w:tr>
    </w:tbl>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During the fiscal year ended December 29, 2024, the increase in contract assets of $26.1 million was primarily driven by an increase in residential project sales that have met revenue recognition based on applicable milestones but have not been billed. The increase in contract assets and contract liabilities is primarily attributed to the SunPower Acquisition in fiscal year 2024.</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As installation projects are typically completed within 12-months, the Company’s contract liability is reflected within current liabilities in the accompanying consolidated balance sheets. The amount of revenue recognized during the years ended December 29, 2024, and December 31, 2023, that was included in contract liabilities at the beginning of each period was $3.5 million and $2.1 million,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 Inventories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Inventories consist of solar panels and the components of solar energy systems all of which is classified as finished goods within current assets at December 29, 2024 and December 31, 2023. Inventory is valued using the average cost method.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and such inventory has been adjusted to its lower of cost or net realizable value.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5"/>
          <w:szCs w:val="15"/>
          <w:b w:val="1"/>
          <w:bCs w:val="1"/>
          <w:i w:val="1"/>
          <w:iCs w:val="1"/>
          <w:color w:val="auto"/>
        </w:rPr>
        <w:t>(i) Revenue Recognition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Revenue is recognized for Residential Solar Installation and New Home Business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amount of revenue recognized reflects the consideration which the Company expects to be entitled to receive in exchange for the products and services. To achieve this core principle, the Company applies the following five steps: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1. Identification of the contract(s) with a customer;</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2. Identification of the performance obligations in the contracts(s);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3. Determination of the transaction price;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4. Allocation of the transaction price to the performance obligations;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Step 5. Recognition of the revenue when, or as, the Company satisfies a performance obligation.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Residential Solar Installation Revenues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Company’s Residential Solar Installation segment sells products through a network of installing and non-installing dealers and resellers, as well as its internal sales team. The Company’s contracts with customers include three primary contract types:</w:t>
      </w:r>
    </w:p>
    <w:p>
      <w:pPr>
        <w:spacing w:after="0" w:line="130" w:lineRule="exact"/>
        <w:rPr>
          <w:sz w:val="20"/>
          <w:szCs w:val="20"/>
          <w:color w:val="auto"/>
        </w:rPr>
      </w:pPr>
    </w:p>
    <w:p>
      <w:pPr>
        <w:jc w:val="both"/>
        <w:ind w:left="540" w:hanging="276"/>
        <w:spacing w:after="0" w:line="273" w:lineRule="auto"/>
        <w:tabs>
          <w:tab w:leader="none" w:pos="5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Cash agreements </w:t>
      </w:r>
      <w:r>
        <w:rPr>
          <w:rFonts w:ascii="Times New Roman" w:cs="Times New Roman" w:eastAsia="Times New Roman" w:hAnsi="Times New Roman"/>
          <w:sz w:val="15"/>
          <w:szCs w:val="15"/>
          <w:color w:val="auto"/>
        </w:rPr>
        <w:t>- The Company contracts directly with homeowners who purchase the solar energy system and related services from the Company. Customers are invoiced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billing schedule, where the majority of the transaction price is due upon installation with an additional payment due when the system passes inspection by the authority having jurisdiction.</w:t>
      </w:r>
    </w:p>
    <w:p>
      <w:pPr>
        <w:spacing w:after="0" w:line="139" w:lineRule="exact"/>
        <w:rPr>
          <w:rFonts w:ascii="Times New Roman" w:cs="Times New Roman" w:eastAsia="Times New Roman" w:hAnsi="Times New Roman"/>
          <w:sz w:val="15"/>
          <w:szCs w:val="15"/>
          <w:color w:val="auto"/>
        </w:rPr>
      </w:pPr>
    </w:p>
    <w:p>
      <w:pPr>
        <w:jc w:val="both"/>
        <w:ind w:left="540" w:hanging="276"/>
        <w:spacing w:after="0" w:line="266" w:lineRule="auto"/>
        <w:tabs>
          <w:tab w:leader="none" w:pos="5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Financing partner agreements </w:t>
      </w:r>
      <w:r>
        <w:rPr>
          <w:rFonts w:ascii="Times New Roman" w:cs="Times New Roman" w:eastAsia="Times New Roman" w:hAnsi="Times New Roman"/>
          <w:sz w:val="15"/>
          <w:szCs w:val="15"/>
          <w:color w:val="auto"/>
        </w:rPr>
        <w:t>- In its financing partner agreements, the Company contracts directly with homeowners for the purchase of the solar energy system and related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p>
      <w:pPr>
        <w:spacing w:after="0" w:line="145" w:lineRule="exact"/>
        <w:rPr>
          <w:rFonts w:ascii="Times New Roman" w:cs="Times New Roman" w:eastAsia="Times New Roman" w:hAnsi="Times New Roman"/>
          <w:sz w:val="15"/>
          <w:szCs w:val="15"/>
          <w:color w:val="auto"/>
        </w:rPr>
      </w:pPr>
    </w:p>
    <w:p>
      <w:pPr>
        <w:jc w:val="both"/>
        <w:ind w:left="540" w:hanging="276"/>
        <w:spacing w:after="0" w:line="263" w:lineRule="auto"/>
        <w:tabs>
          <w:tab w:leader="none" w:pos="5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Power purchase agreements and lease agreements </w:t>
      </w:r>
      <w:r>
        <w:rPr>
          <w:rFonts w:ascii="Times New Roman" w:cs="Times New Roman" w:eastAsia="Times New Roman" w:hAnsi="Times New Roman"/>
          <w:sz w:val="15"/>
          <w:szCs w:val="15"/>
          <w:color w:val="auto"/>
        </w:rPr>
        <w:t>- The Company contracts directly with a leasing partner to perform the solar energy system installation, and the homeowner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5"/>
          <w:szCs w:val="15"/>
          <w:i w:val="1"/>
          <w:iCs w:val="1"/>
          <w:color w:val="auto"/>
        </w:rPr>
        <w:t>New Home Business Revenues</w:t>
      </w:r>
    </w:p>
    <w:p>
      <w:pPr>
        <w:spacing w:after="0" w:line="19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5"/>
          <w:szCs w:val="15"/>
          <w:color w:val="auto"/>
        </w:rPr>
        <w:t>The Company’s New Homes Business sells through a network of home builders as well as its internal sales team. The Company’s contracts with customers include two primary contract types:</w:t>
      </w:r>
    </w:p>
    <w:p>
      <w:pPr>
        <w:spacing w:after="0" w:line="130" w:lineRule="exact"/>
        <w:rPr>
          <w:sz w:val="20"/>
          <w:szCs w:val="20"/>
          <w:color w:val="auto"/>
        </w:rPr>
      </w:pPr>
    </w:p>
    <w:p>
      <w:pPr>
        <w:ind w:left="540" w:right="20" w:hanging="276"/>
        <w:spacing w:after="0" w:line="293" w:lineRule="auto"/>
        <w:tabs>
          <w:tab w:leader="none" w:pos="5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Cash agreements </w:t>
      </w:r>
      <w:r>
        <w:rPr>
          <w:rFonts w:ascii="Times New Roman" w:cs="Times New Roman" w:eastAsia="Times New Roman" w:hAnsi="Times New Roman"/>
          <w:sz w:val="15"/>
          <w:szCs w:val="15"/>
          <w:color w:val="auto"/>
        </w:rPr>
        <w:t>- The Company contracts directly with homebuilders who purchase the solar energy system from the Company and are the customers in the transaction.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Company’s customers are invoiced upon the completion of installation.</w:t>
      </w:r>
    </w:p>
    <w:p>
      <w:pPr>
        <w:spacing w:after="0" w:line="125" w:lineRule="exact"/>
        <w:rPr>
          <w:rFonts w:ascii="Times New Roman" w:cs="Times New Roman" w:eastAsia="Times New Roman" w:hAnsi="Times New Roman"/>
          <w:sz w:val="15"/>
          <w:szCs w:val="15"/>
          <w:color w:val="auto"/>
        </w:rPr>
      </w:pPr>
    </w:p>
    <w:p>
      <w:pPr>
        <w:jc w:val="both"/>
        <w:ind w:left="540" w:hanging="276"/>
        <w:spacing w:after="0" w:line="261" w:lineRule="auto"/>
        <w:tabs>
          <w:tab w:leader="none" w:pos="5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Lease agreements </w:t>
      </w:r>
      <w:r>
        <w:rPr>
          <w:rFonts w:ascii="Times New Roman" w:cs="Times New Roman" w:eastAsia="Times New Roman" w:hAnsi="Times New Roman"/>
          <w:sz w:val="15"/>
          <w:szCs w:val="15"/>
          <w:color w:val="auto"/>
        </w:rPr>
        <w:t>- Prior to the SunPower Corporation’s declaration of bankruptcy, certain homeowners had intended to lease a system from the SunPower Corporation, but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were unable to consummate the transaction (as a result of SunPower’s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Company’s performance obligation for both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Revenue is generally recognized at the transaction price contained within the agreement, net of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probably that a significant reversal of cumulative revenue recognized will not occur and true-ups are applied prospectively as such estimates change.</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Costs to obtain and fulfill contracts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Company’s costs to obtain and fulfill contracts, when recognized, associated with systems sales are expensed as sales commission and cost of revenue, respectively. In addition, incentives the Company provides to its customers, such as discounts and rebates, are recorded net to the revenue the Company has recognized on the solar power system.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Warranties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typically provides a 10-year warranty on its solar energy system installations, which provides assurance over the workmanship in performing the installation, including roof leaks caused by the Company’s performance. For solar panel sales recognized prior to the Divestiture, the Company provides a 30-year warranty that the products will be free from defects in material and workmanship. The Company retained its warranty obligations associated with panel sales prior to the Divestiture.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When the revenues are recognized for the solar energy systems installations services, the Company accrues liabilities for the estimated future costs of meeting its warranty obligations. The Company makes and revises these estimates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 Warranty costs primarily consist of replacement materials and equipment and labor costs for service personnel.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1"/>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Disaggregation of revenue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Refer to the table below for the Company’s revenue recognized (in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ind w:left="540"/>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Residential Solar Installations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Revenue recognized over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67,460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84,858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Revenue recognized at a point in time</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2,758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Residential Solar Installations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67,460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Revenue recognized over time</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32,205</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Revenue recognized at a point in time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9,077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New Homes Business</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41,282</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108,742</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87,616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fiscal years ended December 29, 2024, and December 31, 2023, all revenue recognized was generated in the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Remaining performance obligations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elected the practical expedient not to disclose the remaining performance obligations for contracts that are less than one year in length. As of December 29, 2024, the Company has deferred $0.9 million associated with a long-term service contract, which will be recognized evenly through 2028. The Company had deferred $1.2 million associated with a long-term service contract as of December 31,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Incremental costs of obtaining customer contracts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expenses in accordance with the timing of the related revenue recognition. Amortization of deferred commissions is recorded as sales commissions in the accompanying consolidated statements of operations and comprehensive loss. As of December 29, 2024 and December 31, 2023, deferred commissions were zero and $4.2 million, respectively, and classified within prepaid expenses and other current assets in the accompanying consolidated balance sheets.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(j) Property and Equipment, Net</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Property and equipment are stated at cost less accumulated depreciation and amortization. When assets are retired or disposed of, the cost and accumulated depreciation are removed from the accounts, and any resulting gain or loss is included in the current period. Repair and maintenance costs are expensed as incurred. Depreciation and amortization are calculated using the straight-line method over the following estimated useful lives of the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Borders>
              <w:bottom w:val="single" w:sz="8" w:color="CCEEFF"/>
            </w:tcBorders>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Useful Lives</w:t>
            </w:r>
          </w:p>
        </w:tc>
      </w:tr>
      <w:tr>
        <w:trPr>
          <w:trHeight w:val="18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Manufacturing equipment</w:t>
            </w: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1 - 3 years</w:t>
            </w:r>
          </w:p>
        </w:tc>
      </w:tr>
      <w:tr>
        <w:trPr>
          <w:trHeight w:val="182"/>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Internal-use software</w:t>
            </w: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3 - 5 years</w:t>
            </w:r>
          </w:p>
        </w:tc>
      </w:tr>
      <w:tr>
        <w:trPr>
          <w:trHeight w:val="18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&amp; equipment</w:t>
            </w: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3 - 5 years</w:t>
            </w:r>
          </w:p>
        </w:tc>
      </w:tr>
      <w:tr>
        <w:trPr>
          <w:trHeight w:val="197"/>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Shorter of 3 to 5 years of the asset or the term of the lease.</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(k) Internal-Use Software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Company capitalizes costs to develop its internal-use 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 During the fiscal years ended December 29, 2024 and December 31, 2023, the Company capitalized $1.2 million and $1.9 million, respectively, of internal-use software development costs. The remaining unamortized balance as of December 29, 2024 and December 31, 2023, of $0.2 million and $3.8 million, respectively, is included in property and equipment, net within the accompanying consolidated balance sheets.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5"/>
          <w:szCs w:val="15"/>
          <w:b w:val="1"/>
          <w:bCs w:val="1"/>
          <w:i w:val="1"/>
          <w:iCs w:val="1"/>
          <w:color w:val="auto"/>
        </w:rPr>
        <w:t>(l) Cost of Revenues</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the Company transfers control of the product to the customer, which is generally upon installation.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 Advertising and Promotional Expenses</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Advertising and promotional costs are expensed as incurred and included in sales and marketing expense in the accompanying consolidated statements of operations and comprehensive loss. Advertising costs were not material for the fiscal years ended December 29, 2024 and December 31,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 Income Taxes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Income taxes are accounted for under the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 The Company recognizes accrued interest and penalties, if any, related to unrecognized tax benefits in its income tax provision.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 Goodwill</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 tests goodwill at the reporting unit level for impairment annually on the first day of the fourth quarter, or more frequently if an event occurs or circumstances change that would more likely than not reduce the fair value of the reporting unit below its carrying amount.</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may elect to perform a qualitative assessment that considers economic, industry and company-specific factors. If, after completing the assessment, it is determined that it is more likely than not that the fair value of a reporting unit is less than its carrying value, the Company proceeds to a quantitative test. Quantitative testing requires a comparison of the fair value of each reporting unit to its carrying value. If the carrying value of the reporting unit exceeds its fair value, goodwill impairment is measured as the amount by which the reporting unit’s carrying value exceeds its fair value, not to exceed the carrying value of goodwill.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 Comprehensive Loss</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Comprehensive loss consists of two components, net loss and other comprehensive income (loss), net. The Company’s other comprehensive loss consists of foreign currency translation adjustments that result from the consolidation of its foreign entities and is reported net of their related tax effects.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5"/>
          <w:szCs w:val="15"/>
          <w:b w:val="1"/>
          <w:bCs w:val="1"/>
          <w:i w:val="1"/>
          <w:iCs w:val="1"/>
          <w:color w:val="auto"/>
        </w:rPr>
        <w:t>(q) Impairment of Long-Lived Assets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Long-lived assets, such as property and equipment, ROU assets,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 recognized an impairment loss in the fiscal year ended December 29, 2024 as disclosed in Note 9 - Property and equipment, net. There were no impairment charges recorded in continuing operations for the fiscal year ended December 31,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 Intangible Assets, Net</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Intangible assets are recorded at cost, less accumulated amortization. Amortization is recorded using the straight-line method. All intangible assets that have been determined to have definite lives are amortized over their estimated useful life as indicated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Useful Lives</w:t>
            </w:r>
          </w:p>
        </w:tc>
      </w:tr>
      <w:tr>
        <w:trPr>
          <w:trHeight w:val="18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Trademarks</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 years</w:t>
            </w:r>
          </w:p>
        </w:tc>
      </w:tr>
      <w:tr>
        <w:trPr>
          <w:trHeight w:val="197"/>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Developed technology</w:t>
            </w:r>
          </w:p>
        </w:tc>
        <w:tc>
          <w:tcPr>
            <w:tcW w:w="2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3 years</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 Stock-Based Compensation</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recognizes stock-based compensation expense over the requisite service period on a straight- line basis for all stock-based payments that are expected to vest to employees, non-employees and directors, including grants of employee stock options and other stock-based awards. Equity-classified awards issued to employees, non-employees such as consultants and non-employee directors are measured at the grant-date fair value of the award. Forfeitures are recognized as they occur. For accounting purposes, the Company estimates grant-date fair value of stock options using the Black-Scholes option pricing model. The Black-Scholes option pricing model requires the input of highly subjective assumptions, including the fair value of the underlying common stock as of the grant date, the expected term of the option, the expected volatility of the price of the Company’s common stock and expected dividend yield.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 Fair Value Measurements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When considering market participant assumptions in fair value measurements, the following fair value hierarchy distinguishes between observable and unobservable inputs, which are categorized in one of the following levels:</w:t>
      </w:r>
    </w:p>
    <w:p>
      <w:pPr>
        <w:spacing w:after="0" w:line="134" w:lineRule="exact"/>
        <w:rPr>
          <w:sz w:val="20"/>
          <w:szCs w:val="20"/>
          <w:color w:val="auto"/>
        </w:rPr>
      </w:pPr>
    </w:p>
    <w:p>
      <w:pPr>
        <w:ind w:left="540" w:hanging="276"/>
        <w:spacing w:after="0"/>
        <w:tabs>
          <w:tab w:leader="none" w:pos="5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 inputs: Unadjusted quoted prices in active markets for identical assets or liabilities accessible to the reporting entity at the measurement date.</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 inputs: Other than quoted prices included in Level 1 inputs that are observable for the asset or liability, either directly or indirectly, for substantially the full term of the asset or liability.</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93" w:name="page194"/>
    <w:bookmarkEnd w:id="193"/>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Financial assets and liabilities held by the Company measured at fair value every reporting period as of December 29, 2024 and December 31, 2023 include cash and cash equivalents, accounts receivable, accounts payable, accrued expenses, the warrant liabilities, FPAs, and derivative liabilities associated with the Company’s debt.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carrying amounts of cash, accounts receivable, accounts payable and accrued expenses approximate their fair value because of their short-term nature (classified as Level 1).</w:t>
      </w:r>
    </w:p>
    <w:p>
      <w:pPr>
        <w:spacing w:after="0" w:line="19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warrant liabilities, derivative liabilities and FPAs are measured at fair value using Level 3 inputs. The Company records subsequent adjustments to reflect the increase or decrease in estimated fair value at each reporting date within Other income (expense), net in its consolidated statements of operations and comprehensive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 Net Loss Per Share</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 xml:space="preserve">The Company computes net loss per share following ASC 260, </w:t>
      </w:r>
      <w:r>
        <w:rPr>
          <w:rFonts w:ascii="Times New Roman" w:cs="Times New Roman" w:eastAsia="Times New Roman" w:hAnsi="Times New Roman"/>
          <w:sz w:val="15"/>
          <w:szCs w:val="15"/>
          <w:i w:val="1"/>
          <w:iCs w:val="1"/>
          <w:color w:val="auto"/>
        </w:rPr>
        <w:t>Earnings Per Share</w:t>
      </w:r>
      <w:r>
        <w:rPr>
          <w:rFonts w:ascii="Times New Roman" w:cs="Times New Roman" w:eastAsia="Times New Roman" w:hAnsi="Times New Roman"/>
          <w:sz w:val="15"/>
          <w:szCs w:val="15"/>
          <w:color w:val="auto"/>
        </w:rPr>
        <w:t>. Basic net loss per share is measured as the loss attributable to common stockholders divided by the weighted average common shares outstanding during periods with undistributed losses.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Securities that potentially have an anti-dilutive effect (i.e., those that increase income per share or decrease loss per share) are excluded from the diluted loss per share calculation.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 Leases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The Company accounts for its leases following ASC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The Company determines if a contract is a lease or contains a lease at the inception of the contract and reassesses that conclusion if the contract is modified. The Company’s lease agreements generally contain lease and non-lease components. Payments under lease arrangements are primarily fixed. The Company combines lease and non-lease components and accounts for them together as a single lease component. All leases are assessed for classification as an operating lease or a finance lease. Each of operating lease right-of-use (“ROU”) assets and financed lease assets are presented separately on the Company’s consolidated balance sheets. Operating lease liabilities and finance lease obligations are separated into their respective current portion and non-current portions and are presented separately on the Company’s consolidated balance sheets.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ROU assets represent the Company’s right to use an underlying asset for the lease term and lease liabilities represent its obligation to make lease payments arising from the lease. Operating lease ROU assets and liabilities are recognized on the date in which the lessor makes the underlying asset available for use, based upon the present value of the lease payments over the respective lease term. Lease expense is recognized on a straight-line basis over the lease term, subject to any changes in the lease or expectation regarding the terms. Variable lease costs such as common area maintenance, property taxes and insurance are expensed as incurred.</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generally uses its incremental borrowing rate to discount the lease payments to present value. The estimated incremental borrowing rate is derived from information available at the lease commencement date. The Company’s lease terms include periods under options to extend or terminate the lease. Options to renew or extend leases beyond their initial term have been excluded from measurement of the ROU assets and lease liabilities as exercise of such options is not reasonably certain. The Company generally uses the base, non-cancellable, lease term when determining the lease assets and liabilities. The Company records a right-of-use asset which is calculated based on the amount of the lease liability, adjusted for any advance lease payments made, lease incentives received, and initial direct costs incurred. Right-of-use assets are subject to evaluation for impairment or disposal on a basis consistent with other long-lived assets.</w:t>
      </w:r>
    </w:p>
    <w:p>
      <w:pPr>
        <w:spacing w:after="0" w:line="153"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Company has elected, for all classes of underlying assets, not to recognize ROU assets and lease liabilities for leases with an initial term of twelve months or less. Lease cost for short-term leases is recognized on a straight-line basis over the lease term.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 Warrant Liabilities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The Company accounts for its warrant liabilities in accordance with the guidance in ASC 815-40, </w:t>
      </w:r>
      <w:r>
        <w:rPr>
          <w:rFonts w:ascii="Times New Roman" w:cs="Times New Roman" w:eastAsia="Times New Roman" w:hAnsi="Times New Roman"/>
          <w:sz w:val="15"/>
          <w:szCs w:val="15"/>
          <w:i w:val="1"/>
          <w:iCs w:val="1"/>
          <w:color w:val="auto"/>
        </w:rPr>
        <w:t>Derivatives and Hedging - Contracts in Entity’s Own Equity</w:t>
      </w:r>
      <w:r>
        <w:rPr>
          <w:rFonts w:ascii="Times New Roman" w:cs="Times New Roman" w:eastAsia="Times New Roman" w:hAnsi="Times New Roman"/>
          <w:sz w:val="15"/>
          <w:szCs w:val="15"/>
          <w:color w:val="auto"/>
        </w:rPr>
        <w:t xml:space="preserve">, under which the warrants that do not meet the criteria for equity classification and must be recorded as liabilities. The warrant liabilities are measured at fair value at inception and at each reporting date in accordance with the guidance in ASC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with any subsequent changes in fair value recognized in Other income (expense), net on the consolidated statements of operations and comprehensive loss. Refer to Note 5 - Fair Value Measurements and Note 14 - Warrants.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5"/>
          <w:szCs w:val="15"/>
          <w:b w:val="1"/>
          <w:bCs w:val="1"/>
          <w:i w:val="1"/>
          <w:iCs w:val="1"/>
          <w:color w:val="auto"/>
        </w:rPr>
        <w:t>(x) Forward Purchase Agreements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The Company accounts for its FPAs in accordance with the guidance in ASC 480, </w:t>
      </w:r>
      <w:r>
        <w:rPr>
          <w:rFonts w:ascii="Times New Roman" w:cs="Times New Roman" w:eastAsia="Times New Roman" w:hAnsi="Times New Roman"/>
          <w:sz w:val="15"/>
          <w:szCs w:val="15"/>
          <w:i w:val="1"/>
          <w:iCs w:val="1"/>
          <w:color w:val="auto"/>
        </w:rPr>
        <w:t>Distinguishing Liabilities from Equity</w:t>
      </w:r>
      <w:r>
        <w:rPr>
          <w:rFonts w:ascii="Times New Roman" w:cs="Times New Roman" w:eastAsia="Times New Roman" w:hAnsi="Times New Roman"/>
          <w:sz w:val="15"/>
          <w:szCs w:val="15"/>
          <w:color w:val="auto"/>
        </w:rPr>
        <w:t xml:space="preserve">, as the agreements embody an obligation to transfer assets to settle a forward contract. The FPAs are measured at fair value at inception and at each reporting date in accordance with the guidance in ASC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with any subsequent changes in fair value recognized in Other income (expense), net on the consolidated statements of operations and comprehensive loss. Refer to Note 5 - Fair Value Measurements and Note 6 - Forward Purchase Agreements.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 Recently Adopted Accounting Pronouncements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November 2023, the FASB issued ASU No. 2023-07 “Segment Reporting (Topic 280): Improvements to Reportable Segment Disclosures” (“ASU 2023-07”). The ASU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This guidance is effective for fiscal years beginning after December 15, 2023, and interim periods within fiscal years beginning after December 15, 2024, and requires retrospective adoption. The Company adopted ASU 2023-07 in its fourth quarter of 2024 using a retrospective transition method. See Note 22 - Segment Information - for the Company’s disclosures reflecting the adoption.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(z) Accounting Pronouncements Not Yet Adopted</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December 2023, the FASB issued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is currently evaluating this ASU to determine its impact upon the Company’s disclosures.</w:t>
      </w:r>
    </w:p>
    <w:p>
      <w:pPr>
        <w:spacing w:after="0" w:line="15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In November 2024, the FASB issued ASU 2024-03, Income Statement (Topic 220) Reporting Comprehensive Income - Expense Disaggregation Disclosure. The objective of ASU 2024-03 is to disclose disaggregated information about certain income statement expense line items. ASU 2024-03 is effective for public companies starting in annual periods beginning after December 15, 2026. The Company is currently evaluating this ASU to determine its impact on the Company’s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(3) Reverse Recapitalization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As discussed in Note 1 - Organization, on July 18, 2023, the Company consummated the Mergers pursuant to the Amended and Restated Business Combination Agreement. The Mergers was accounted for as a reverse recapitalization, rather than a business combination, for financial accounting and reporting purposes. Accordingly, the Company was deemed the accounting acquirer (and legal acquiree) and FACT was treated as the accounting acquiree (and legal acquirer). The Company was determined to be the accounting acquirer based on evaluation of the following facts and circumstances:</w:t>
      </w:r>
    </w:p>
    <w:p>
      <w:pPr>
        <w:spacing w:after="0" w:line="151" w:lineRule="exact"/>
        <w:rPr>
          <w:sz w:val="20"/>
          <w:szCs w:val="20"/>
          <w:color w:val="auto"/>
        </w:rPr>
      </w:pPr>
    </w:p>
    <w:p>
      <w:pPr>
        <w:ind w:left="540" w:hanging="276"/>
        <w:spacing w:after="0"/>
        <w:tabs>
          <w:tab w:leader="none" w:pos="5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pre-combination stockholders have the majority of the voting power in the post- merged company;</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Legacy Complete Solaria’s stockholders have the ability to appoint a majority of the Company’s Board of Directors;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Legacy Complete Solaria’s management team is considered the management team of the post-merged company;</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Legacy Complete Solaria’s prior operations are comprised of the ongoing operations of the post-merged company;</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the larger entity based on historical revenues and business operations;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post-merged company assumed the Company’s operating name at such time.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95" w:name="page196"/>
    <w:bookmarkEnd w:id="195"/>
    <w:p>
      <w:pPr>
        <w:jc w:val="both"/>
        <w:spacing w:after="0" w:line="264" w:lineRule="auto"/>
        <w:rPr>
          <w:sz w:val="20"/>
          <w:szCs w:val="20"/>
          <w:color w:val="auto"/>
        </w:rPr>
      </w:pPr>
      <w:r>
        <w:rPr>
          <w:rFonts w:ascii="Times New Roman" w:cs="Times New Roman" w:eastAsia="Times New Roman" w:hAnsi="Times New Roman"/>
          <w:sz w:val="15"/>
          <w:szCs w:val="15"/>
          <w:color w:val="auto"/>
        </w:rPr>
        <w:t>Under this method of accounting, the reverse recapitalization was treated as the equivalent of the Company issuing stock for the net assets of FACT, accompanied by a recapitalization. The net assets of FACT were stated at historical cost, with no goodwill or other intangible assets recorded. The consolidated assets, liabilities, and results of operations prior to the Mergers are those of Legacy Complete Solaria. All periods prior to the Mergers have been retrospectively adjusted in accordance with the Amended and Restated Business Combination Agreement for the equivalent number of preferred or common shares outstanding immediately after the Mergers to effect the reverse recapitalization.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Upon the closing of the Mergers and the PIPE Financing in July 2023, the Company received net cash proceeds of $19.7 million. The following table reconciles the elements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Mergers to the audited consolidated statements of cash flows and the audited consolidated statements of stockholders’ deficit for the year-ended December 31, 2023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20" w:type="dxa"/>
            <w:vAlign w:val="bottom"/>
          </w:tcPr>
          <w:p>
            <w:pPr>
              <w:spacing w:after="0"/>
              <w:rPr>
                <w:sz w:val="17"/>
                <w:szCs w:val="17"/>
                <w:color w:val="auto"/>
              </w:rPr>
            </w:pP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Recapitalization</w:t>
            </w:r>
          </w:p>
        </w:tc>
      </w:tr>
      <w:tr>
        <w:trPr>
          <w:trHeight w:val="182"/>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proceeds from FACT, net of redemptions</w:t>
            </w: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36,539</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Cash proceeds from PIPE Financing</w:t>
            </w:r>
          </w:p>
        </w:tc>
        <w:tc>
          <w:tcPr>
            <w:tcW w:w="38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12,800</w:t>
            </w:r>
          </w:p>
        </w:tc>
        <w:tc>
          <w:tcPr>
            <w:tcW w:w="80" w:type="dxa"/>
            <w:vAlign w:val="bottom"/>
          </w:tcPr>
          <w:p>
            <w:pPr>
              <w:spacing w:after="0"/>
              <w:rPr>
                <w:sz w:val="15"/>
                <w:szCs w:val="15"/>
                <w:color w:val="auto"/>
              </w:rPr>
            </w:pPr>
          </w:p>
        </w:tc>
      </w:t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cash payment of FACT transaction costs and underwriting fees</w:t>
            </w:r>
          </w:p>
        </w:tc>
        <w:tc>
          <w:tcPr>
            <w:tcW w:w="3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(10,680)</w:t>
            </w: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Less: cash payment to FPA investors for rebates and recycled shares</w:t>
            </w:r>
          </w:p>
        </w:tc>
        <w:tc>
          <w:tcPr>
            <w:tcW w:w="38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(17,831)</w:t>
            </w: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cash payment for Promissory Note</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(1,170)</w:t>
            </w:r>
          </w:p>
        </w:tc>
      </w:tr>
      <w:tr>
        <w:trPr>
          <w:trHeight w:val="165"/>
        </w:trPr>
        <w:tc>
          <w:tcPr>
            <w:tcW w:w="1002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cash proceeds upon the closing of the Mergers and PIPE financing</w:t>
            </w:r>
          </w:p>
        </w:tc>
        <w:tc>
          <w:tcPr>
            <w:tcW w:w="3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19,658</w:t>
            </w: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non-cash net liabilities assumed from FACT</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(10,135)</w:t>
            </w:r>
          </w:p>
        </w:tc>
      </w:tr>
      <w:tr>
        <w:trPr>
          <w:trHeight w:val="168"/>
        </w:trPr>
        <w:tc>
          <w:tcPr>
            <w:tcW w:w="1002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contributions from the Mergers and PIPE financing upon closing</w:t>
            </w:r>
          </w:p>
        </w:tc>
        <w:tc>
          <w:tcPr>
            <w:tcW w:w="380" w:type="dxa"/>
            <w:vAlign w:val="bottom"/>
            <w:tcBorders>
              <w:top w:val="single" w:sz="8" w:color="auto"/>
              <w:bottom w:val="single" w:sz="8" w:color="auto"/>
            </w:tcBorders>
          </w:tcPr>
          <w:p>
            <w:pPr>
              <w:jc w:val="right"/>
              <w:ind w:right="22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9,523</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Immediately upon closing of the Mergers, the Company had 45,290,553 shares issued and outstanding of Class A Common Stock. The following table presents the number of shares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Common Stock outstanding immediately following the consummation of the Mergers:</w:t>
      </w:r>
    </w:p>
    <w:p>
      <w:pPr>
        <w:sectPr>
          <w:pgSz w:w="11900" w:h="16838" w:orient="portrait"/>
          <w:cols w:equalWidth="0" w:num="1">
            <w:col w:w="11260"/>
          </w:cols>
          <w:pgMar w:left="320" w:top="762" w:right="319" w:bottom="1440" w:gutter="0" w:footer="0" w:header="0"/>
        </w:sect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FACT Class A Ordinary Shares, outstanding prior to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53910" cy="1225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3910" cy="1225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FACT Class B Ordinary Shares, outstanding prior to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155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Bonus shares issued to sponsor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Bonus shares issued to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155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Bonus shares issued to FPA investors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issued from PIPE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155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Shares issued from FPA agreements, net of recycled shares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Less: redemption of FACT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1301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3910" cy="13017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shares from the Mergers and PIPE Financing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Legacy Complete Solaria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391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2022 Convertible Note Shares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of Company Common stock immediately after Mergers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Recapitalization</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34,500,000</w:t>
      </w:r>
    </w:p>
    <w:p>
      <w:pPr>
        <w:spacing w:after="0" w:line="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8,625,000</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193,976</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120,000</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150,000</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1,690,000</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5,558,488</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(31,041,243)</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19,796,221</w:t>
      </w:r>
    </w:p>
    <w:p>
      <w:pPr>
        <w:spacing w:after="0" w:line="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20,034,257</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5,460,075</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45,290,553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15645" cy="146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645" cy="1460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36830</wp:posOffset>
            </wp:positionV>
            <wp:extent cx="715645"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645"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200"/>
          </w:cols>
          <w:pgMar w:left="320" w:top="762" w:right="319" w:bottom="1440" w:gutter="0" w:footer="0" w:header="0"/>
          <w:type w:val="continuous"/>
        </w:sectPr>
      </w:pP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connection with the Mergers, the Company incurred direct and incremental costs of approximately $16.4 million related to legal, accounting, and other professional fees, which were offset against the Company’s additional paid-in capital. Of the $16.4 million, $5.8 million was incurred by Legacy Complete Solaria and $10.6 million was incurred by FACT. As of December 31, 2023, the Company made cash payments totaling $5.4 million to settle transaction costs. As a result of the Closing, the outstanding 2022 Convertible Notes were converted into shares of Company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(4) Business Combination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SunPower Acquisition</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On September 30, 2024, the Company completed the acquisition of certain assets and assumption of certain liabilities of SunPower Corporation and its subsidiary debtors for an aggregate cash consideration paid of $54.5 million, net of $1.0 million of cash acquired. SunPower Corporation was a solar technology and energy services provider that offered fully integrated solar, storage, and home energy solutions to customers in the United States through an array of hardware, software, and “Smart Energy” solutions. The financial results of the SunPower Acquisition have been included in the Company’s consolidated financial statements since the date of Acquisition. This transaction was accounted for as a business combination in accordance with ASC 805,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type w:val="continuous"/>
        </w:sectPr>
      </w:pPr>
    </w:p>
    <w:bookmarkStart w:id="196" w:name="page197"/>
    <w:bookmarkEnd w:id="196"/>
    <w:p>
      <w:pPr>
        <w:jc w:val="both"/>
        <w:spacing w:after="0" w:line="287" w:lineRule="auto"/>
        <w:rPr>
          <w:sz w:val="20"/>
          <w:szCs w:val="20"/>
          <w:color w:val="auto"/>
        </w:rPr>
      </w:pPr>
      <w:r>
        <w:rPr>
          <w:rFonts w:ascii="Times New Roman" w:cs="Times New Roman" w:eastAsia="Times New Roman" w:hAnsi="Times New Roman"/>
          <w:sz w:val="15"/>
          <w:szCs w:val="15"/>
          <w:color w:val="auto"/>
        </w:rPr>
        <w:t>Transaction costs incurred in connection with the close of the acquisition totaled $7.2 million and were expensed by the Company and are included in general and administrative expenses within the consolidated statements of operations and comprehensive loss for the fiscal year ended December 29, 2024.</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fair values of assets acquired and liabilities assumed were based upon a preliminary valuation, and the Company’s estimates and assumptions are subject to change within the measurement period. Due to the complexities of acquiring assets out of bankruptcy the purchase price accounting remains open for certain assets acquired and liabilities assumed. The primary areas that remain preliminary relate to the cash consideration for the transaction for balances remaining in escrow, fair value of intangible assets and goodwill. The following table summarizes the provisional fair value of identifiable assets acquired and liabilities assumed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Net assets acquired:</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1,000</w:t>
            </w: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w:t>
            </w: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11,999</w:t>
            </w:r>
          </w:p>
        </w:tc>
      </w:t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 assets</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4,615</w:t>
            </w: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Inventories</w:t>
            </w: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27,706</w:t>
            </w:r>
          </w:p>
        </w:tc>
      </w:t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2,219</w:t>
            </w: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w:t>
            </w: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5,867</w:t>
            </w:r>
          </w:p>
        </w:tc>
      </w:t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2,506</w:t>
            </w: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541</w:t>
            </w:r>
          </w:p>
        </w:tc>
      </w:t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Intangibles</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18,100</w:t>
            </w: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3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(7,361)</w:t>
            </w:r>
          </w:p>
        </w:tc>
      </w:t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(5,270)</w:t>
            </w: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(13,955)</w:t>
            </w:r>
          </w:p>
        </w:tc>
      </w:t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(2,963)</w:t>
            </w:r>
          </w:p>
        </w:tc>
      </w:tr>
      <w:tr>
        <w:trPr>
          <w:trHeight w:val="196"/>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(8,980)</w:t>
            </w:r>
          </w:p>
        </w:tc>
      </w:tr>
      <w:tr>
        <w:trPr>
          <w:trHeight w:val="202"/>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of net assets acquired</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8"/>
        </w:trPr>
        <w:tc>
          <w:tcPr>
            <w:tcW w:w="1002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Consideration transferred</w:t>
            </w:r>
          </w:p>
        </w:tc>
        <w:tc>
          <w:tcPr>
            <w:tcW w:w="380" w:type="dxa"/>
            <w:vAlign w:val="bottom"/>
            <w:tcBorders>
              <w:bottom w:val="single" w:sz="8" w:color="auto"/>
            </w:tcBorders>
          </w:tcPr>
          <w:p>
            <w:pPr>
              <w:jc w:val="right"/>
              <w:ind w:right="22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54,500</w:t>
            </w:r>
          </w:p>
        </w:tc>
        <w:tc>
          <w:tcPr>
            <w:tcW w:w="100" w:type="dxa"/>
            <w:vAlign w:val="bottom"/>
            <w:tcBorders>
              <w:bottom w:val="single" w:sz="8" w:color="CCEEFF"/>
            </w:tcBorders>
          </w:tcPr>
          <w:p>
            <w:pPr>
              <w:spacing w:after="0"/>
              <w:rPr>
                <w:sz w:val="18"/>
                <w:szCs w:val="18"/>
                <w:color w:val="auto"/>
              </w:rPr>
            </w:pPr>
          </w:p>
        </w:tc>
      </w:tr>
      <w:tr>
        <w:trPr>
          <w:trHeight w:val="17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 recognized</w:t>
            </w: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18,476</w:t>
            </w:r>
          </w:p>
        </w:tc>
        <w:tc>
          <w:tcPr>
            <w:tcW w:w="100" w:type="dxa"/>
            <w:vAlign w:val="bottom"/>
            <w:shd w:val="clear" w:color="auto" w:fill="CCEEFF"/>
          </w:tcPr>
          <w:p>
            <w:pPr>
              <w:spacing w:after="0"/>
              <w:rPr>
                <w:sz w:val="15"/>
                <w:szCs w:val="15"/>
                <w:color w:val="auto"/>
              </w:rPr>
            </w:pPr>
          </w:p>
        </w:tc>
      </w:tr>
    </w:tbl>
    <w:p>
      <w:pPr>
        <w:spacing w:after="0" w:line="16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Goodwill represents the excess of the preliminary estimated consideration transferred over the fair value of the net tangible and intangible assets acquired that is associated with the excess cash flows that the acquisition is expected to generate in the future and has been allocated to the Company’s Residential Solar Installation and New Homes Business reporting units. The goodwill is tax deductible.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income approach, using the relief from royalty method, was used to value the trademarks, and the cost approach was used for developed technology. Significant assumptions included in the valuation of trademarks include projected revenues, the selected royalty rate, discount rate, and the economic life of the underlying asset. Significant assumptions included in the valuation of the acquired technology include the estimated costs to reconstruct the asset (inclusive of a third-party profit margin) as well as the value of the opportunity cost of foregone returns over the period that the Company has estimated to recreate the asset.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Contract assets and liabilities were measured at fair value using the cost approach which approximates the carrying value at date of acquisition.</w:t>
      </w:r>
    </w:p>
    <w:p>
      <w:pPr>
        <w:spacing w:after="0" w:line="1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SunPower Acquisition contributed $83.8 million and $6.5 million in revenue and income before income taxes, respectively for the period from the acquisition date to fiscal year ended December 29, 2024.</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197" w:name="page198"/>
    <w:bookmarkEnd w:id="197"/>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Unaudited Pro Forma Financial Information</w:t>
      </w:r>
    </w:p>
    <w:p>
      <w:pPr>
        <w:spacing w:after="0" w:line="196" w:lineRule="exact"/>
        <w:rPr>
          <w:sz w:val="20"/>
          <w:szCs w:val="20"/>
          <w:color w:val="auto"/>
        </w:rPr>
      </w:pPr>
    </w:p>
    <w:p>
      <w:pPr>
        <w:ind w:left="9"/>
        <w:spacing w:after="0" w:line="287" w:lineRule="auto"/>
        <w:rPr>
          <w:sz w:val="20"/>
          <w:szCs w:val="20"/>
          <w:color w:val="auto"/>
        </w:rPr>
      </w:pPr>
      <w:r>
        <w:rPr>
          <w:rFonts w:ascii="Times New Roman" w:cs="Times New Roman" w:eastAsia="Times New Roman" w:hAnsi="Times New Roman"/>
          <w:sz w:val="15"/>
          <w:szCs w:val="15"/>
          <w:color w:val="auto"/>
        </w:rPr>
        <w:t>The following unaudited pro forma financial information represents the consolidated financial statements of the Company for the periods presented, as if the acquisition occurred on January 1, 2023.</w:t>
      </w:r>
    </w:p>
    <w:p>
      <w:pPr>
        <w:spacing w:after="0" w:line="134" w:lineRule="exact"/>
        <w:rPr>
          <w:sz w:val="20"/>
          <w:szCs w:val="20"/>
          <w:color w:val="auto"/>
        </w:rPr>
      </w:pPr>
    </w:p>
    <w:p>
      <w:pPr>
        <w:ind w:left="9"/>
        <w:spacing w:after="0" w:line="287" w:lineRule="auto"/>
        <w:rPr>
          <w:sz w:val="20"/>
          <w:szCs w:val="20"/>
          <w:color w:val="auto"/>
        </w:rPr>
      </w:pPr>
      <w:r>
        <w:rPr>
          <w:rFonts w:ascii="Times New Roman" w:cs="Times New Roman" w:eastAsia="Times New Roman" w:hAnsi="Times New Roman"/>
          <w:sz w:val="15"/>
          <w:szCs w:val="15"/>
          <w:color w:val="auto"/>
        </w:rPr>
        <w:t>The unaudited pro forma combined financial information does not give effect to any cost savings, operating synergies or revenue synergies that may result from the Acquisition. The pro forma results do not necessarily reflect the actual results of operations of the combined business (in thousands).</w:t>
      </w:r>
    </w:p>
    <w:p>
      <w:pPr>
        <w:spacing w:after="0" w:line="141"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right"/>
              <w:ind w:right="100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380" w:type="dxa"/>
            <w:vAlign w:val="bottom"/>
            <w:tcBorders>
              <w:top w:val="single" w:sz="8" w:color="auto"/>
              <w:bottom w:val="single" w:sz="8" w:color="auto"/>
            </w:tcBorders>
            <w:gridSpan w:val="4"/>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381,860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697,651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Pro forma net loss from continuing operations</w:t>
            </w: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(283,122)</w:t>
            </w:r>
          </w:p>
        </w:tc>
        <w:tc>
          <w:tcPr>
            <w:tcW w:w="1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(320,589)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(5) Fair Value Measurements</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following table sets forth the Company’s financial assets and liabilities that were measured at fair value, on a recurring basis (in thousands):</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As of December 29, 2024</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0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40" w:type="dxa"/>
            <w:vAlign w:val="bottom"/>
          </w:tcPr>
          <w:p>
            <w:pPr>
              <w:spacing w:after="0"/>
              <w:rPr>
                <w:sz w:val="17"/>
                <w:szCs w:val="17"/>
                <w:color w:val="auto"/>
              </w:rPr>
            </w:pPr>
          </w:p>
        </w:tc>
        <w:tc>
          <w:tcPr>
            <w:tcW w:w="88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7"/>
                <w:szCs w:val="17"/>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3,841</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3,841</w:t>
            </w:r>
          </w:p>
        </w:tc>
      </w:tr>
      <w:tr>
        <w:trPr>
          <w:trHeight w:val="208"/>
        </w:trPr>
        <w:tc>
          <w:tcPr>
            <w:tcW w:w="59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auto"/>
              <w:bottom w:val="single" w:sz="8" w:color="auto"/>
            </w:tcBorders>
          </w:tcPr>
          <w:p>
            <w:pPr>
              <w:jc w:val="right"/>
              <w:ind w:right="6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3,841</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3,841</w:t>
            </w:r>
          </w:p>
        </w:tc>
        <w:tc>
          <w:tcPr>
            <w:tcW w:w="100" w:type="dxa"/>
            <w:vAlign w:val="bottom"/>
            <w:tcBorders>
              <w:top w:val="single" w:sz="8" w:color="CCEEFF"/>
              <w:bottom w:val="single" w:sz="8" w:color="CCEEFF"/>
            </w:tcBorders>
          </w:tcPr>
          <w:p>
            <w:pPr>
              <w:spacing w:after="0"/>
              <w:rPr>
                <w:sz w:val="18"/>
                <w:szCs w:val="18"/>
                <w:color w:val="auto"/>
              </w:rPr>
            </w:pPr>
          </w:p>
        </w:tc>
      </w:tr>
      <w:tr>
        <w:trPr>
          <w:trHeight w:val="17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596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July 2024 derivative liability </w:t>
            </w:r>
            <w:r>
              <w:rPr>
                <w:rFonts w:ascii="Times New Roman" w:cs="Times New Roman" w:eastAsia="Times New Roman" w:hAnsi="Times New Roman"/>
                <w:sz w:val="25"/>
                <w:szCs w:val="25"/>
                <w:color w:val="auto"/>
                <w:vertAlign w:val="superscript"/>
              </w:rPr>
              <w:t>(1)</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34,690</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34,690</w:t>
            </w:r>
          </w:p>
        </w:tc>
      </w:tr>
      <w:tr>
        <w:trPr>
          <w:trHeight w:val="216"/>
        </w:trPr>
        <w:tc>
          <w:tcPr>
            <w:tcW w:w="59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September 2024 derivative liability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62,432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62,432</w:t>
            </w:r>
          </w:p>
        </w:tc>
      </w:tr>
      <w:tr>
        <w:trPr>
          <w:trHeight w:val="216"/>
        </w:trPr>
        <w:tc>
          <w:tcPr>
            <w:tcW w:w="596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Forward purchase agreements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3,494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3,494</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warrants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862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862</w:t>
            </w: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Private placement warrants</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627</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627</w:t>
            </w: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Working capital warrants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72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72</w:t>
            </w: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SAFE Agreement with related party</w:t>
            </w:r>
          </w:p>
        </w:tc>
        <w:tc>
          <w:tcPr>
            <w:tcW w:w="2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384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384</w:t>
            </w: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102,561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00" w:type="dxa"/>
            <w:vAlign w:val="bottom"/>
          </w:tcPr>
          <w:p>
            <w:pPr>
              <w:spacing w:after="0"/>
              <w:rPr>
                <w:sz w:val="17"/>
                <w:szCs w:val="17"/>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40" w:type="dxa"/>
            <w:vAlign w:val="bottom"/>
          </w:tcPr>
          <w:p>
            <w:pPr>
              <w:spacing w:after="0"/>
              <w:rPr>
                <w:sz w:val="17"/>
                <w:szCs w:val="17"/>
                <w:color w:val="auto"/>
              </w:rPr>
            </w:pPr>
          </w:p>
        </w:tc>
        <w:tc>
          <w:tcPr>
            <w:tcW w:w="88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gridSpan w:val="2"/>
          </w:tcPr>
          <w:p>
            <w:pPr>
              <w:spacing w:after="0"/>
              <w:rPr>
                <w:sz w:val="17"/>
                <w:szCs w:val="17"/>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3,823</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3,823</w:t>
            </w:r>
          </w:p>
        </w:tc>
        <w:tc>
          <w:tcPr>
            <w:tcW w:w="80" w:type="dxa"/>
            <w:vAlign w:val="bottom"/>
            <w:shd w:val="clear" w:color="auto" w:fill="CCEEFF"/>
          </w:tcPr>
          <w:p>
            <w:pPr>
              <w:spacing w:after="0"/>
              <w:rPr>
                <w:sz w:val="18"/>
                <w:szCs w:val="18"/>
                <w:color w:val="auto"/>
              </w:rPr>
            </w:pPr>
          </w:p>
        </w:tc>
      </w:tr>
      <w:tr>
        <w:trPr>
          <w:trHeight w:val="208"/>
        </w:trPr>
        <w:tc>
          <w:tcPr>
            <w:tcW w:w="59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auto"/>
              <w:bottom w:val="single" w:sz="8" w:color="auto"/>
            </w:tcBorders>
          </w:tcPr>
          <w:p>
            <w:pPr>
              <w:jc w:val="right"/>
              <w:ind w:right="6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3,823</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3,823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17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Carlyle Warrants</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9,515</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9,515</w:t>
            </w:r>
          </w:p>
        </w:tc>
        <w:tc>
          <w:tcPr>
            <w:tcW w:w="80" w:type="dxa"/>
            <w:vAlign w:val="bottom"/>
          </w:tcPr>
          <w:p>
            <w:pPr>
              <w:spacing w:after="0"/>
              <w:rPr>
                <w:sz w:val="15"/>
                <w:szCs w:val="15"/>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warrants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167</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167</w:t>
            </w:r>
          </w:p>
        </w:tc>
        <w:tc>
          <w:tcPr>
            <w:tcW w:w="80" w:type="dxa"/>
            <w:vAlign w:val="bottom"/>
            <w:shd w:val="clear" w:color="auto" w:fill="CCEEFF"/>
          </w:tcPr>
          <w:p>
            <w:pPr>
              <w:spacing w:after="0"/>
              <w:rPr>
                <w:sz w:val="15"/>
                <w:szCs w:val="15"/>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Private placement warrants</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122</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5"/>
                <w:szCs w:val="15"/>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Working capital warrants</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13</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5"/>
                <w:szCs w:val="15"/>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Replacement warrants</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1,310</w:t>
            </w: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1,310</w:t>
            </w:r>
          </w:p>
        </w:tc>
        <w:tc>
          <w:tcPr>
            <w:tcW w:w="80" w:type="dxa"/>
            <w:vAlign w:val="bottom"/>
          </w:tcPr>
          <w:p>
            <w:pPr>
              <w:spacing w:after="0"/>
              <w:rPr>
                <w:sz w:val="15"/>
                <w:szCs w:val="15"/>
                <w:color w:val="auto"/>
              </w:rPr>
            </w:pPr>
          </w:p>
        </w:tc>
      </w:tr>
      <w:tr>
        <w:trPr>
          <w:trHeight w:val="248"/>
        </w:trPr>
        <w:tc>
          <w:tcPr>
            <w:tcW w:w="59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 xml:space="preserve">Forward purchase agreements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3,831</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3,831</w:t>
            </w:r>
          </w:p>
        </w:tc>
        <w:tc>
          <w:tcPr>
            <w:tcW w:w="80" w:type="dxa"/>
            <w:vAlign w:val="bottom"/>
            <w:shd w:val="clear" w:color="auto" w:fill="CCEEFF"/>
          </w:tcPr>
          <w:p>
            <w:pPr>
              <w:spacing w:after="0"/>
              <w:rPr>
                <w:sz w:val="21"/>
                <w:szCs w:val="21"/>
                <w:color w:val="auto"/>
              </w:rPr>
            </w:pPr>
          </w:p>
        </w:tc>
      </w:tr>
      <w:tr>
        <w:trPr>
          <w:trHeight w:val="168"/>
        </w:trPr>
        <w:tc>
          <w:tcPr>
            <w:tcW w:w="596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auto"/>
              <w:bottom w:val="single" w:sz="8" w:color="auto"/>
            </w:tcBorders>
          </w:tcPr>
          <w:p>
            <w:pPr>
              <w:jc w:val="right"/>
              <w:ind w:right="6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167</w:t>
            </w: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135</w:t>
            </w: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14,656</w:t>
            </w:r>
          </w:p>
        </w:tc>
        <w:tc>
          <w:tcPr>
            <w:tcW w:w="20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14,958</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9" w:hanging="269"/>
        <w:spacing w:after="0"/>
        <w:tabs>
          <w:tab w:leader="none" w:pos="269"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portion of these balances are with related parties. Refer to Note 15 - Borrowings and Derivative Liabilities for details.</w:t>
      </w:r>
    </w:p>
    <w:p>
      <w:pPr>
        <w:spacing w:after="0" w:line="191"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portion of these balances are with related parties. Refer to Note 6 - Forward Purchase Agreements for details.</w:t>
      </w:r>
    </w:p>
    <w:p>
      <w:pPr>
        <w:spacing w:after="0" w:line="192" w:lineRule="exact"/>
        <w:rPr>
          <w:sz w:val="20"/>
          <w:szCs w:val="20"/>
          <w:color w:val="auto"/>
        </w:rPr>
      </w:pPr>
    </w:p>
    <w:p>
      <w:pPr>
        <w:ind w:left="9"/>
        <w:spacing w:after="0" w:line="287" w:lineRule="auto"/>
        <w:rPr>
          <w:sz w:val="20"/>
          <w:szCs w:val="20"/>
          <w:color w:val="auto"/>
        </w:rPr>
      </w:pPr>
      <w:r>
        <w:rPr>
          <w:rFonts w:ascii="Times New Roman" w:cs="Times New Roman" w:eastAsia="Times New Roman" w:hAnsi="Times New Roman"/>
          <w:sz w:val="15"/>
          <w:szCs w:val="15"/>
          <w:color w:val="auto"/>
        </w:rPr>
        <w:t>Subsequent to issuance, changes in the fair value of liability classified warrants, forward purchase agreements and SAFEs are recorded within other income (expense), net in the Company’s consolidated statements of operations and comprehensive loss.</w:t>
      </w:r>
    </w:p>
    <w:p>
      <w:pPr>
        <w:spacing w:after="0" w:line="3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58" w:right="3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5"/>
          <w:szCs w:val="15"/>
          <w:i w:val="1"/>
          <w:iCs w:val="1"/>
          <w:color w:val="auto"/>
        </w:rPr>
        <w:t>Derivative liabilities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issued derivative liabilities in conjunction with the issuance of certain convertible notes in July 2024 and September 2024 (refer to Note 15 - Borrowings and Derivative Liabilities). The Company valued the derivative liabilities as of their issuance date and as of December 29, 2024 using a binomial lattice model, which includes level 3 unobservable inputs. The key inputs used were dividend yield, the Company’s common stock price, volatility, risk-free rate and the expected term of the derivative liabilities. The derivative liability valuation included the following inputs as of December 29,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2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July</w:t>
            </w:r>
          </w:p>
        </w:tc>
      </w:tr>
      <w:tr>
        <w:trPr>
          <w:trHeight w:val="203"/>
        </w:trPr>
        <w:tc>
          <w:tcPr>
            <w:tcW w:w="4960" w:type="dxa"/>
            <w:vAlign w:val="bottom"/>
            <w:tcBorders>
              <w:bottom w:val="single" w:sz="8" w:color="CCEEFF"/>
            </w:tcBorders>
          </w:tcPr>
          <w:p>
            <w:pPr>
              <w:spacing w:after="0"/>
              <w:rPr>
                <w:sz w:val="17"/>
                <w:szCs w:val="17"/>
                <w:color w:val="auto"/>
              </w:rPr>
            </w:pPr>
          </w:p>
        </w:tc>
        <w:tc>
          <w:tcPr>
            <w:tcW w:w="3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Notes</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140" w:type="dxa"/>
            <w:vAlign w:val="bottom"/>
            <w:tcBorders>
              <w:bottom w:val="single" w:sz="8" w:color="CCEEFF"/>
            </w:tcBorders>
          </w:tcPr>
          <w:p>
            <w:pPr>
              <w:spacing w:after="0"/>
              <w:rPr>
                <w:sz w:val="17"/>
                <w:szCs w:val="17"/>
                <w:color w:val="auto"/>
              </w:rPr>
            </w:pPr>
          </w:p>
        </w:tc>
      </w:tr>
      <w:tr>
        <w:trPr>
          <w:trHeight w:val="18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Coupon rate</w:t>
            </w:r>
          </w:p>
        </w:tc>
        <w:tc>
          <w:tcPr>
            <w:tcW w:w="3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12.0%</w:t>
            </w:r>
          </w:p>
        </w:tc>
      </w:tr>
      <w:tr>
        <w:trPr>
          <w:trHeight w:val="182"/>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Conversion rate</w:t>
            </w:r>
          </w:p>
        </w:tc>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467.84</w:t>
            </w: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595.24</w:t>
            </w:r>
          </w:p>
        </w:tc>
      </w:tr>
      <w:tr>
        <w:trPr>
          <w:trHeight w:val="18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price</w:t>
            </w:r>
          </w:p>
        </w:tc>
        <w:tc>
          <w:tcPr>
            <w:tcW w:w="3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2.14</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1.68</w:t>
            </w:r>
          </w:p>
        </w:tc>
      </w:tr>
      <w:tr>
        <w:trPr>
          <w:trHeight w:val="182"/>
        </w:trPr>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price</w:t>
            </w:r>
          </w:p>
        </w:tc>
        <w:tc>
          <w:tcPr>
            <w:tcW w:w="3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1.81</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1.81</w:t>
            </w:r>
          </w:p>
        </w:tc>
      </w:tr>
      <w:tr>
        <w:trPr>
          <w:trHeight w:val="18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3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0.0%</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Carlyle Warrants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As part of the Company’s amended and restated warrant agreement with CRSEF Solis Holdings, LLC and its affiliates (“Carlyle”), the Company issued Carlyle a warrant to purchase shares of Company Common Stock at a price per share of $0.01. Refer to Note 14 - Warrants for further details. In connection with an exchange of debt effective July 1, 2024, as discussed in Note 15 - Borrowings and Derivative Liabilities, the number of shares expected to be issued in connection with the Carlyle Warrant became fixed and the Carlyle Warrant was reclassified from liability to equity. Accordingly, the Carlyle Warrant is not subject to a fair value measurement as of December 29,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The Company valued the Carlyle Warrants as of December 31, 2023, based on a Black-Scholes Option Pricing Method, which included the following inputs: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45"/>
        </w:trPr>
        <w:tc>
          <w:tcPr>
            <w:tcW w:w="1000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93"/>
        </w:trPr>
        <w:tc>
          <w:tcPr>
            <w:tcW w:w="1000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100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40" w:type="dxa"/>
            <w:vAlign w:val="bottom"/>
            <w:tcBorders>
              <w:bottom w:val="single" w:sz="8" w:color="CCEEFF"/>
            </w:tcBorders>
          </w:tcPr>
          <w:p>
            <w:pPr>
              <w:spacing w:after="0"/>
              <w:rPr>
                <w:sz w:val="17"/>
                <w:szCs w:val="17"/>
                <w:color w:val="auto"/>
              </w:rPr>
            </w:pPr>
          </w:p>
        </w:tc>
      </w:tr>
      <w:tr>
        <w:trPr>
          <w:trHeight w:val="182"/>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w w:val="95"/>
              </w:rPr>
              <w:t>7.0 years</w:t>
            </w:r>
          </w:p>
        </w:tc>
        <w:tc>
          <w:tcPr>
            <w:tcW w:w="140" w:type="dxa"/>
            <w:vAlign w:val="bottom"/>
            <w:shd w:val="clear" w:color="auto" w:fill="CCEEFF"/>
          </w:tcPr>
          <w:p>
            <w:pPr>
              <w:spacing w:after="0"/>
              <w:rPr>
                <w:sz w:val="15"/>
                <w:szCs w:val="15"/>
                <w:color w:val="auto"/>
              </w:rPr>
            </w:pPr>
          </w:p>
        </w:tc>
      </w:tr>
      <w:tr>
        <w:trPr>
          <w:trHeight w:val="182"/>
        </w:trPr>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77%</w:t>
            </w:r>
          </w:p>
        </w:tc>
      </w:tr>
      <w:tr>
        <w:trPr>
          <w:trHeight w:val="182"/>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3.92%</w:t>
            </w:r>
          </w:p>
        </w:tc>
      </w:tr>
      <w:tr>
        <w:trPr>
          <w:trHeight w:val="197"/>
        </w:trPr>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0.00%</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Public Warrants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public warrants are measured at fair value on a recurring basis. The public warrants were valued based on the closing price of the publicly traded instrument.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Private Placement and Working Capital Warrants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private placement and working capital warrants are measured at fair value. The Company valued the private placement and working capital warrants, based on a Black-Scholes Option Pricing Method, which included the following inputs: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0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93"/>
        </w:trPr>
        <w:tc>
          <w:tcPr>
            <w:tcW w:w="1000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December 29,</w:t>
            </w:r>
          </w:p>
        </w:tc>
      </w:tr>
      <w:tr>
        <w:trPr>
          <w:trHeight w:val="203"/>
        </w:trPr>
        <w:tc>
          <w:tcPr>
            <w:tcW w:w="100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40" w:type="dxa"/>
            <w:vAlign w:val="bottom"/>
            <w:tcBorders>
              <w:bottom w:val="single" w:sz="8" w:color="CCEEFF"/>
            </w:tcBorders>
          </w:tcPr>
          <w:p>
            <w:pPr>
              <w:spacing w:after="0"/>
              <w:rPr>
                <w:sz w:val="17"/>
                <w:szCs w:val="17"/>
                <w:color w:val="auto"/>
              </w:rPr>
            </w:pPr>
          </w:p>
        </w:tc>
      </w:tr>
      <w:tr>
        <w:trPr>
          <w:trHeight w:val="182"/>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1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w w:val="97"/>
              </w:rPr>
              <w:t>3.56 years</w:t>
            </w:r>
          </w:p>
        </w:tc>
        <w:tc>
          <w:tcPr>
            <w:tcW w:w="140" w:type="dxa"/>
            <w:vAlign w:val="bottom"/>
            <w:shd w:val="clear" w:color="auto" w:fill="CCEEFF"/>
          </w:tcPr>
          <w:p>
            <w:pPr>
              <w:spacing w:after="0"/>
              <w:rPr>
                <w:sz w:val="15"/>
                <w:szCs w:val="15"/>
                <w:color w:val="auto"/>
              </w:rPr>
            </w:pPr>
          </w:p>
        </w:tc>
      </w:tr>
      <w:tr>
        <w:trPr>
          <w:trHeight w:val="182"/>
        </w:trPr>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68.1%</w:t>
            </w:r>
          </w:p>
        </w:tc>
      </w:tr>
      <w:tr>
        <w:trPr>
          <w:trHeight w:val="182"/>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4.39%</w:t>
            </w:r>
          </w:p>
        </w:tc>
      </w:tr>
      <w:tr>
        <w:trPr>
          <w:trHeight w:val="197"/>
        </w:trPr>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0.00%</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the private placement and working capital warrants were valued using observable inputs for similar publicly traded instruments.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5"/>
          <w:szCs w:val="15"/>
          <w:i w:val="1"/>
          <w:iCs w:val="1"/>
          <w:color w:val="auto"/>
        </w:rPr>
        <w:t>Forward Purchase Agreement Liabilities</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FPAs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75"/>
        </w:trPr>
        <w:tc>
          <w:tcPr>
            <w:tcW w:w="8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40" w:type="dxa"/>
            <w:vAlign w:val="bottom"/>
          </w:tcPr>
          <w:p>
            <w:pPr>
              <w:spacing w:after="0"/>
              <w:rPr>
                <w:sz w:val="15"/>
                <w:szCs w:val="15"/>
                <w:color w:val="auto"/>
              </w:rPr>
            </w:pPr>
          </w:p>
        </w:tc>
      </w:tr>
      <w:tr>
        <w:trPr>
          <w:trHeight w:val="203"/>
        </w:trPr>
        <w:tc>
          <w:tcPr>
            <w:tcW w:w="86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VWAP</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40" w:type="dxa"/>
            <w:vAlign w:val="bottom"/>
            <w:shd w:val="clear" w:color="auto" w:fill="CCEEFF"/>
          </w:tcPr>
          <w:p>
            <w:pPr>
              <w:spacing w:after="0"/>
              <w:rPr>
                <w:sz w:val="15"/>
                <w:szCs w:val="15"/>
                <w:color w:val="auto"/>
              </w:rPr>
            </w:pPr>
          </w:p>
        </w:tc>
      </w:tr>
      <w:tr>
        <w:trPr>
          <w:trHeight w:val="182"/>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Simulation period</w:t>
            </w:r>
          </w:p>
        </w:tc>
        <w:tc>
          <w:tcPr>
            <w:tcW w:w="8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0.55 years</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1.55 years</w:t>
            </w: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4.28%</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4.48%</w:t>
            </w:r>
          </w:p>
        </w:tc>
      </w:tr>
      <w:tr>
        <w:trPr>
          <w:trHeight w:val="197"/>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8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117%</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95%</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SAFE Agreement</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SAFE Agreement was valued based on a conversion probability of 50% based on historical SAFE agreements and a 50% discount rate at the time of conversion as of December 29,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Replacement Warrants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There were no replacement warrants as of December 29, 2024. The Company valued the Replacement Warrants as of December 31, 2023, based on a Black-Scholes Option Pricing Method, which included the following inputs: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93"/>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32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8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years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78.5%</w:t>
            </w:r>
          </w:p>
        </w:tc>
      </w:tr>
      <w:tr>
        <w:trPr>
          <w:trHeight w:val="18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5.4%</w:t>
            </w:r>
          </w:p>
        </w:tc>
      </w:tr>
      <w:tr>
        <w:trPr>
          <w:trHeight w:val="197"/>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w:t>
            </w:r>
          </w:p>
        </w:tc>
      </w:tr>
      <w:tr>
        <w:trPr>
          <w:trHeight w:val="350"/>
        </w:trPr>
        <w:tc>
          <w:tcPr>
            <w:tcW w:w="866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The following table sets forth the Company’s financial liabilities that were not measured at fair value, on a non-recurring basis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3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As of December 29, 2024</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3"/>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00"/>
              <w:spacing w:after="0" w:line="164"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140" w:type="dxa"/>
            <w:vAlign w:val="bottom"/>
          </w:tcPr>
          <w:p>
            <w:pPr>
              <w:spacing w:after="0"/>
              <w:rPr>
                <w:sz w:val="14"/>
                <w:szCs w:val="14"/>
                <w:color w:val="auto"/>
              </w:rPr>
            </w:pPr>
          </w:p>
        </w:tc>
        <w:tc>
          <w:tcPr>
            <w:tcW w:w="1220" w:type="dxa"/>
            <w:vAlign w:val="bottom"/>
            <w:gridSpan w:val="2"/>
          </w:tcPr>
          <w:p>
            <w:pPr>
              <w:jc w:val="right"/>
              <w:ind w:right="480"/>
              <w:spacing w:after="0" w:line="164" w:lineRule="exact"/>
              <w:rPr>
                <w:sz w:val="20"/>
                <w:szCs w:val="20"/>
                <w:color w:val="auto"/>
              </w:rPr>
            </w:pPr>
            <w:r>
              <w:rPr>
                <w:rFonts w:ascii="Times New Roman" w:cs="Times New Roman" w:eastAsia="Times New Roman" w:hAnsi="Times New Roman"/>
                <w:sz w:val="15"/>
                <w:szCs w:val="15"/>
                <w:b w:val="1"/>
                <w:bCs w:val="1"/>
                <w:color w:val="auto"/>
              </w:rPr>
              <w:t>Estimated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4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0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3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12% Notes</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17,965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21,390</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21,390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21,390</w:t>
            </w:r>
          </w:p>
        </w:tc>
      </w:tr>
      <w:tr>
        <w:trPr>
          <w:trHeight w:val="182"/>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12% Notes - related parties</w:t>
            </w:r>
          </w:p>
        </w:tc>
        <w:tc>
          <w:tcPr>
            <w:tcW w:w="1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24,632</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33,323</w:t>
            </w:r>
          </w:p>
        </w:tc>
        <w:tc>
          <w:tcPr>
            <w:tcW w:w="2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33,323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33,323</w:t>
            </w:r>
          </w:p>
        </w:tc>
      </w:tr>
      <w:tr>
        <w:trPr>
          <w:trHeight w:val="18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7% Notes</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5,636</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77,245</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77,245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77,245</w:t>
            </w:r>
          </w:p>
        </w:tc>
      </w:tr>
      <w:tr>
        <w:trPr>
          <w:trHeight w:val="196"/>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7% Notes - related parties</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476</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8,583</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8,583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8,583</w:t>
            </w:r>
          </w:p>
        </w:tc>
      </w:tr>
      <w:tr>
        <w:trPr>
          <w:trHeight w:val="185"/>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48,709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140,541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140,541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As of December 29, 2024, the 12% Notes and the 7% Notes were fair valued using a binomial lattice model, which includes Level 3, unobservable inputs. The key inputs used are consistent with those used to fair value the derivative liabilities as discussed under Derivative liabilities above.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 Forward Purchase Agreements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July 2023, FACT and Legacy Complete Solaria, Inc. entered into FPAs with each of (i) Meteora; (ii) Polar, and (iii) Sandia (each individually, a “Seller”, and together, the “FPA Sellers”). In connection with the FPAs, the Company recognized other expense of $30.7 million in the fiscal year ended December 31, 2023 in connection with the issuance of 5,670,000 shares of the Company’s common stock to the related party FPA Sellers.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00" w:name="page201"/>
    <w:bookmarkEnd w:id="200"/>
    <w:p>
      <w:pPr>
        <w:jc w:val="both"/>
        <w:spacing w:after="0" w:line="264" w:lineRule="auto"/>
        <w:rPr>
          <w:sz w:val="20"/>
          <w:szCs w:val="20"/>
          <w:color w:val="auto"/>
        </w:rPr>
      </w:pPr>
      <w:r>
        <w:rPr>
          <w:rFonts w:ascii="Times New Roman" w:cs="Times New Roman" w:eastAsia="Times New Roman" w:hAnsi="Times New Roman"/>
          <w:sz w:val="15"/>
          <w:szCs w:val="15"/>
          <w:color w:val="auto"/>
        </w:rPr>
        <w:t>Pursuant to the terms of the FPAs, the FPA Sellers may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key terms of the forward contracts are as follows:</w:t>
      </w:r>
    </w:p>
    <w:p>
      <w:pPr>
        <w:spacing w:after="0" w:line="192" w:lineRule="exact"/>
        <w:rPr>
          <w:sz w:val="20"/>
          <w:szCs w:val="20"/>
          <w:color w:val="auto"/>
        </w:rPr>
      </w:pPr>
    </w:p>
    <w:p>
      <w:pPr>
        <w:jc w:val="both"/>
        <w:ind w:left="540" w:hanging="276"/>
        <w:spacing w:after="0" w:line="264" w:lineRule="auto"/>
        <w:tabs>
          <w:tab w:leader="none" w:pos="5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p>
      <w:pPr>
        <w:spacing w:after="0" w:line="151" w:lineRule="exact"/>
        <w:rPr>
          <w:rFonts w:ascii="Times New Roman" w:cs="Times New Roman" w:eastAsia="Times New Roman" w:hAnsi="Times New Roman"/>
          <w:sz w:val="15"/>
          <w:szCs w:val="15"/>
          <w:color w:val="auto"/>
        </w:rPr>
      </w:pPr>
    </w:p>
    <w:p>
      <w:pPr>
        <w:jc w:val="both"/>
        <w:ind w:left="540" w:hanging="276"/>
        <w:spacing w:after="0" w:line="260" w:lineRule="auto"/>
        <w:tabs>
          <w:tab w:leader="none" w:pos="5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Company Common Stock, with a per share price based on the volume-weighted average price (“VWAP”)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p>
      <w:pPr>
        <w:spacing w:after="0" w:line="153" w:lineRule="exact"/>
        <w:rPr>
          <w:rFonts w:ascii="Times New Roman" w:cs="Times New Roman" w:eastAsia="Times New Roman" w:hAnsi="Times New Roman"/>
          <w:sz w:val="15"/>
          <w:szCs w:val="15"/>
          <w:color w:val="auto"/>
        </w:rPr>
      </w:pPr>
    </w:p>
    <w:p>
      <w:pPr>
        <w:jc w:val="both"/>
        <w:ind w:left="540" w:hanging="276"/>
        <w:spacing w:after="0" w:line="264" w:lineRule="auto"/>
        <w:tabs>
          <w:tab w:leader="none" w:pos="5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Price is less than the then applicable Reset Price.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The Company entered into four separate FPAs, three of which, associated with the obligation to issue 6,300,000 Shares, were entered into prior to the closing of the Mergers. Upon signing the FPAs, the Company incurred an obligation to issue a fixed number of shares to the FPA Sellers contingent upon the closing of the Mergers in addition to the terms and conditions associated with the settlement of the FPAs. The Company accounted for the contingent obligation to issue shares in accordance with ASC 815,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 and recorded a liability and other income (expense), net based on the fair value of the obligation upon the signing of the FPAs. The liability was extinguished in July 2023 upon the issuance of Company Common Stock to the FPA sellers.</w:t>
      </w:r>
    </w:p>
    <w:p>
      <w:pPr>
        <w:spacing w:after="0" w:line="1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 xml:space="preserve">Additionally, in accordance with ASC 480, </w:t>
      </w:r>
      <w:r>
        <w:rPr>
          <w:rFonts w:ascii="Times New Roman" w:cs="Times New Roman" w:eastAsia="Times New Roman" w:hAnsi="Times New Roman"/>
          <w:sz w:val="15"/>
          <w:szCs w:val="15"/>
          <w:i w:val="1"/>
          <w:iCs w:val="1"/>
          <w:color w:val="auto"/>
        </w:rPr>
        <w:t>Distinguishing Liabilities from Equity</w:t>
      </w:r>
      <w:r>
        <w:rPr>
          <w:rFonts w:ascii="Times New Roman" w:cs="Times New Roman" w:eastAsia="Times New Roman" w:hAnsi="Times New Roman"/>
          <w:sz w:val="15"/>
          <w:szCs w:val="15"/>
          <w:color w:val="auto"/>
        </w:rPr>
        <w:t>, the Company determined that the forward contract is a financial instrument other than a share that represents or is indexed to obligations to repurchase the issuer’s equity shares by transferring assets, referred to herein as the “forward purchase liability” on its consolidated balance sheets. The Company initially measured the forward purchase liability at fair value and has subsequently remeasured it at fair value with changes in fair value recognized in earnings.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As of the closing of the Mergers and issuance of the Company Common Stock underlying the FPAs, the fair value of the prepaid FPAs was an asset balance of $0.1 million and was recorded on the Company’s consolidated balance sheets and within Other income (expense), net on the consolidated statements of operations and comprehensive loss.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December 18, 2023, the Company and the FPA Sellers entered into separate amendments to the FPA (the “Amendments”). The Amendments lowered the reset floor price of each FPA from $5.00 to $3.00 and allow the Company to raise up to $10.0 million of equity from existing stockholders without triggering certain anti-dilution provisions contained in the FPA;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01" w:name="page202"/>
    <w:bookmarkEnd w:id="201"/>
    <w:p>
      <w:pPr>
        <w:jc w:val="both"/>
        <w:spacing w:after="0" w:line="264" w:lineRule="auto"/>
        <w:rPr>
          <w:sz w:val="20"/>
          <w:szCs w:val="20"/>
          <w:color w:val="auto"/>
        </w:rPr>
      </w:pPr>
      <w:r>
        <w:rPr>
          <w:rFonts w:ascii="Times New Roman" w:cs="Times New Roman" w:eastAsia="Times New Roman" w:hAnsi="Times New Roman"/>
          <w:sz w:val="15"/>
          <w:szCs w:val="15"/>
          <w:color w:val="auto"/>
        </w:rPr>
        <w:t>On May 7 and 8, 2024, respectively, the Company entered into and executed separate amendments to the FPAs (collectively the “Second Amendments”) with Sandia (the “Sandia Second Amendment”) and Polar (the “Polar Second Amendment”). The Second Amendments lowered the reset price of each FPA from $3.00 to $1.00 per share and amended the VWAP Trigger Event provision to read as “After December 31, 2024, an event that occurs if the VWAP Price, for any 20 trading days during a 30 consecutive trading day-period, is below $1.00 per Share”. The Sandia Second Amendment is not effective until the Company executes similar amendments with both Polar and Meteora.</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June 14, 2024, the Company entered into and executed an amendment to the FPA with Sandia (the “Sandia Third Amendment”).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On July 17, 2024, the Company entered into an amendment to the FPA with Polar pursuant to which the Company and Polar agreed that Section 2 (Most Favored Nation) of the FPA is applicable to all 2,450,000 shares subject to the FPA.</w:t>
      </w:r>
    </w:p>
    <w:p>
      <w:pPr>
        <w:spacing w:after="0" w:line="13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Through the date of issuance of the Company Common Stock in satisfaction of the Company’s obligation to issue shares around the closing of the Mergers, the Company recorded $35.5 million to Other expense, in the fiscal year ended December 31, 2023, net associated with the issuance of 6,720,000 shares of Company Common Stock in association with the FPAs.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FPA liability balance was $3.5 million and $3.8 million, as of December 29, 2024 and December 31, 2023, respectively. The Company concluded that $1.3 million and $3.2 million of the FPA liability was with related parties as of December 29, 2024 and December 31, 2023, respectively. The change in the fair value of the forward purchase liabilities amounted to income of $0.3 million and expense of $3.9 million for the fiscal years ended December 29, 2024 and December 31, 2023, respectively. The change in the fair value of the FPA liability with related parties was income of $0.1 million and expense of $8.7 million ($9.1 million of expense upon issuance, net of $0.4 million of income) in the fiscal years ended December 29, 2024 and December 31, 2023,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(7) Prepaid Expenses and Other Current Assets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 and other current assets consist of the following (in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Inventory deposits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Deferred costs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3,759</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sales commissions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4,185</w:t>
            </w: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1,040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1,016</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prepaid expenses and other current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 Goodwill and Other Intangible Assets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September 30, 2024, the Company completed the SunPower Acquisition. Goodwill presented on the Company’s consolidated financial statements represents Goodwill recognized from the SunPower Acquisition. The goodwill recognized was assigned to the Residential Solar Installation and New Homes Business reportable segments as $18.3 million and $0.2 million, respectively. The Company performed a qualitative assessment of goodwill and determined that at the acquisition date and the date at which the Company performed an impairment analysis, there were no relevant events or circumstances that would result in the reportable segment being less than its carrying amount. The Company concluded that as of December 29, 2024, there is no impairment.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01"/>
        </w:trPr>
        <w:tc>
          <w:tcPr>
            <w:tcW w:w="7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Intangible Assets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4"/>
        </w:trPr>
        <w:tc>
          <w:tcPr>
            <w:tcW w:w="7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represents our other intangible assets with finite useful lives as of December 29, 2024 (in thousands):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5"/>
        </w:trPr>
        <w:tc>
          <w:tcPr>
            <w:tcW w:w="732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Gross Carrying</w:t>
            </w: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Net Book</w:t>
            </w:r>
          </w:p>
        </w:tc>
      </w:tr>
      <w:tr>
        <w:trPr>
          <w:trHeight w:val="203"/>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6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Value</w:t>
            </w:r>
          </w:p>
        </w:tc>
      </w:tr>
      <w:tr>
        <w:trPr>
          <w:trHeight w:val="182"/>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Trademark - Blue Raven Solar</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8,400</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w w:val="79"/>
              </w:rPr>
              <w:t>(210)</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8,190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Trademark - SunPower</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5,200</w:t>
            </w:r>
          </w:p>
        </w:tc>
        <w:tc>
          <w:tcPr>
            <w:tcW w:w="120" w:type="dxa"/>
            <w:vAlign w:val="bottom"/>
          </w:tcPr>
          <w:p>
            <w:pPr>
              <w:spacing w:after="0"/>
              <w:rPr>
                <w:sz w:val="15"/>
                <w:szCs w:val="15"/>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(130)</w:t>
            </w:r>
          </w:p>
        </w:tc>
        <w:tc>
          <w:tcPr>
            <w:tcW w:w="1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5,070</w:t>
            </w:r>
          </w:p>
        </w:tc>
        <w:tc>
          <w:tcPr>
            <w:tcW w:w="80" w:type="dxa"/>
            <w:vAlign w:val="bottom"/>
          </w:tcPr>
          <w:p>
            <w:pPr>
              <w:spacing w:after="0"/>
              <w:rPr>
                <w:sz w:val="15"/>
                <w:szCs w:val="15"/>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Developed technology</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(375)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4,125</w:t>
            </w:r>
          </w:p>
        </w:tc>
        <w:tc>
          <w:tcPr>
            <w:tcW w:w="80" w:type="dxa"/>
            <w:vAlign w:val="bottom"/>
            <w:shd w:val="clear" w:color="auto" w:fill="CCEEFF"/>
          </w:tcPr>
          <w:p>
            <w:pPr>
              <w:spacing w:after="0"/>
              <w:rPr>
                <w:sz w:val="18"/>
                <w:szCs w:val="18"/>
                <w:color w:val="auto"/>
              </w:rPr>
            </w:pPr>
          </w:p>
        </w:tc>
      </w:tr>
      <w:tr>
        <w:trPr>
          <w:trHeight w:val="168"/>
        </w:trPr>
        <w:tc>
          <w:tcPr>
            <w:tcW w:w="7320" w:type="dxa"/>
            <w:vAlign w:val="bottom"/>
            <w:tcBorders>
              <w:top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tcPr>
          <w:p>
            <w:pPr>
              <w:jc w:val="right"/>
              <w:ind w:right="2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18,100</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ind w:left="740"/>
              <w:spacing w:after="0" w:line="165" w:lineRule="exact"/>
              <w:rPr>
                <w:sz w:val="20"/>
                <w:szCs w:val="20"/>
                <w:color w:val="auto"/>
              </w:rPr>
            </w:pPr>
            <w:r>
              <w:rPr>
                <w:rFonts w:ascii="Times New Roman" w:cs="Times New Roman" w:eastAsia="Times New Roman" w:hAnsi="Times New Roman"/>
                <w:sz w:val="15"/>
                <w:szCs w:val="15"/>
                <w:color w:val="auto"/>
                <w:w w:val="94"/>
              </w:rPr>
              <w:t>(715</w:t>
            </w:r>
          </w:p>
        </w:tc>
        <w:tc>
          <w:tcPr>
            <w:tcW w:w="220" w:type="dxa"/>
            <w:vAlign w:val="bottom"/>
            <w:tcBorders>
              <w:top w:val="single" w:sz="8" w:color="CCEEFF"/>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auto"/>
            </w:tcBorders>
          </w:tcPr>
          <w:p>
            <w:pPr>
              <w:jc w:val="right"/>
              <w:ind w:right="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17,385</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Aggregate amortization expense for intangible assets was $0.7 million and zero for the fiscal years ended December 29, 2024, and December 31, 2023, respectively. Amortization expense is recognized in general and administrative expenses in the consolidated statement of operations. No impairment loss was recorded for intangible assets for the fiscal year 2024. The weighted average remaining life of these intangible assets is 8.1 years as of December 29,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The estimated amortization expense related to intangible assets with finite useful lives is as follows (in thousands):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Estimated</w:t>
            </w:r>
          </w:p>
        </w:tc>
        <w:tc>
          <w:tcPr>
            <w:tcW w:w="0" w:type="dxa"/>
            <w:vAlign w:val="bottom"/>
          </w:tcPr>
          <w:p>
            <w:pPr>
              <w:spacing w:after="0"/>
              <w:rPr>
                <w:sz w:val="1"/>
                <w:szCs w:val="1"/>
                <w:color w:val="auto"/>
              </w:rPr>
            </w:pPr>
          </w:p>
        </w:tc>
      </w:tr>
      <w:tr>
        <w:trPr>
          <w:trHeight w:val="182"/>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0" w:type="dxa"/>
            <w:vAlign w:val="bottom"/>
          </w:tcPr>
          <w:p>
            <w:pPr>
              <w:spacing w:after="0"/>
              <w:rPr>
                <w:sz w:val="1"/>
                <w:szCs w:val="1"/>
                <w:color w:val="auto"/>
              </w:rPr>
            </w:pPr>
          </w:p>
        </w:tc>
      </w:tr>
      <w:tr>
        <w:trPr>
          <w:trHeight w:val="182"/>
        </w:trPr>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2,860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2,485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1,360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6,460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17,385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(9) Property and Equipment, Net</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 consist of the following (in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Internal-use software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Manufacturing equipment</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and equipment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724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Vehicles</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5,174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property and equipment</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6,409</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7,928</w:t>
            </w: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(3,611)</w:t>
            </w:r>
          </w:p>
        </w:tc>
        <w:tc>
          <w:tcPr>
            <w:tcW w:w="0" w:type="dxa"/>
            <w:vAlign w:val="bottom"/>
          </w:tcPr>
          <w:p>
            <w:pPr>
              <w:spacing w:after="0"/>
              <w:rPr>
                <w:sz w:val="1"/>
                <w:szCs w:val="1"/>
                <w:color w:val="auto"/>
              </w:rPr>
            </w:pPr>
          </w:p>
        </w:tc>
      </w:tr>
      <w:tr>
        <w:trPr>
          <w:trHeight w:val="168"/>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5,493</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4,317</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Depreciation and amortization expense on totaled $2.0 million and $0.9 million for the fiscal years ended December 29, 2024 and December 31, 2023. Finance leases are included within vehicles and makes up $3.9 million of the total balance as of fiscal year ended December 29, 2024.</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recognized a total of $3.8 million on impairment and loss on disposal of property and equipment for the fiscal year ended December 29, 2024 consisting primarily of $3.4 million relating to its proprietary HelioTrackTM software system. The Company impaired the value of its HelioTrackTM software as this software has no future use following the completion of the migration to software acquired in the SunPower Acquisition. There were no impairment charges on tangible assets recognized for the fiscal year ended December 31, 2023.</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(10) Accrued Expenses and Other Current Liabilities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 and other current liabilities consist of the following (in thousands):</w:t>
            </w:r>
          </w:p>
        </w:tc>
        <w:tc>
          <w:tcPr>
            <w:tcW w:w="100" w:type="dxa"/>
            <w:vAlign w:val="bottom"/>
          </w:tcPr>
          <w:p>
            <w:pPr>
              <w:spacing w:after="0"/>
              <w:rPr>
                <w:sz w:val="24"/>
                <w:szCs w:val="24"/>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vMerge w:val="continue"/>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8,028</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Installation costs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6,177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Term loan and revolving loan amendment final payment fees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2,400</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legal settlements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7,700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7,700</w:t>
            </w: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Accrued taxes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769</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931</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rebates and credits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7,641</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677</w:t>
            </w: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1,412</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607</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liabilities, current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2,053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Accrued warranty, current</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2,531</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1,433</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financing fees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4,674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Accrued interest</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1,982</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interest due to related parties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2,541</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 accrued liabilities</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3,954</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10,153</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accrued expenses and other current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56,081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 Employee Benefit Plan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sponsors a 401(k) defined contribution and profit-sharing plan (“401(k) Plan”) for its eligible employees. This 401(k) Plan provides for tax-deferred 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fiscal years ended December 29, 2024 and December 31, 2023.</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04" w:name="page205"/>
    <w:bookmarkEnd w:id="204"/>
    <w:tbl>
      <w:tblPr>
        <w:tblLayout w:type="fixed"/>
        <w:tblInd w:w="9"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(12) Other Income (Expense), Net</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 net consist of the following (in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right"/>
              <w:ind w:right="722"/>
              <w:spacing w:after="0"/>
              <w:rPr>
                <w:sz w:val="20"/>
                <w:szCs w:val="20"/>
                <w:color w:val="auto"/>
              </w:rPr>
            </w:pPr>
            <w:r>
              <w:rPr>
                <w:rFonts w:ascii="Times New Roman" w:cs="Times New Roman" w:eastAsia="Times New Roman" w:hAnsi="Times New Roman"/>
                <w:sz w:val="15"/>
                <w:szCs w:val="15"/>
                <w:b w:val="1"/>
                <w:bCs w:val="1"/>
                <w:color w:val="auto"/>
              </w:rPr>
              <w:t>Fiscal Year Ended</w:t>
            </w:r>
          </w:p>
        </w:tc>
      </w:tr>
      <w:tr>
        <w:trPr>
          <w:trHeight w:val="175"/>
        </w:trPr>
        <w:tc>
          <w:tcPr>
            <w:tcW w:w="8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of redeemable convertible preferred stock warrant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8,513</w:t>
            </w:r>
          </w:p>
        </w:tc>
        <w:tc>
          <w:tcPr>
            <w:tcW w:w="100" w:type="dxa"/>
            <w:vAlign w:val="bottom"/>
            <w:shd w:val="clear" w:color="auto" w:fill="CCEEFF"/>
          </w:tcPr>
          <w:p>
            <w:pPr>
              <w:spacing w:after="0"/>
              <w:rPr>
                <w:sz w:val="15"/>
                <w:szCs w:val="15"/>
                <w:color w:val="auto"/>
              </w:rPr>
            </w:pP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Change in fair value of Carlyle Warrants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2,869</w:t>
            </w:r>
          </w:p>
        </w:tc>
        <w:tc>
          <w:tcPr>
            <w:tcW w:w="100" w:type="dxa"/>
            <w:vAlign w:val="bottom"/>
          </w:tcPr>
          <w:p>
            <w:pPr>
              <w:spacing w:after="0"/>
              <w:rPr>
                <w:sz w:val="18"/>
                <w:szCs w:val="18"/>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14,373</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of FACT public, private placement and working capital warrants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(1,258)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6,424</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Loss on conversion of SAFE agreements to common stock with related party</w:t>
            </w: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(1,250)</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of SAFE Agreement with related party</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616</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Loss on sale of equity securities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(4,154)</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CS Solis debt extinguishment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(10,338)</w:t>
            </w: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Bonus shares issued in connection with the Mergers </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(2,394)</w:t>
            </w:r>
          </w:p>
        </w:tc>
      </w:tr>
      <w:tr>
        <w:trPr>
          <w:trHeight w:val="216"/>
        </w:trPr>
        <w:tc>
          <w:tcPr>
            <w:tcW w:w="8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Issuance of forward purchase agreements </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76</w:t>
            </w: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Change in fair value of forward purchase agreement liabilities </w:t>
            </w:r>
            <w:r>
              <w:rPr>
                <w:rFonts w:ascii="Times New Roman" w:cs="Times New Roman" w:eastAsia="Times New Roman" w:hAnsi="Times New Roman"/>
                <w:sz w:val="25"/>
                <w:szCs w:val="25"/>
                <w:color w:val="auto"/>
                <w:vertAlign w:val="superscript"/>
              </w:rPr>
              <w:t>(4)</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337</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(3,906)</w:t>
            </w:r>
          </w:p>
        </w:tc>
      </w:tr>
      <w:tr>
        <w:trPr>
          <w:trHeight w:val="216"/>
        </w:trPr>
        <w:tc>
          <w:tcPr>
            <w:tcW w:w="8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Loss on issuance of shares in connection with the forward purchase agreements </w:t>
            </w:r>
            <w:r>
              <w:rPr>
                <w:rFonts w:ascii="Times New Roman" w:cs="Times New Roman" w:eastAsia="Times New Roman" w:hAnsi="Times New Roman"/>
                <w:sz w:val="25"/>
                <w:szCs w:val="25"/>
                <w:color w:val="auto"/>
                <w:vertAlign w:val="superscript"/>
              </w:rPr>
              <w:t>(5)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(35,490)</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Loss on discontinued Solaria business and other, net</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(2,966)</w:t>
            </w:r>
          </w:p>
        </w:tc>
      </w:tr>
      <w:tr>
        <w:trPr>
          <w:trHeight w:val="216"/>
        </w:trPr>
        <w:tc>
          <w:tcPr>
            <w:tcW w:w="8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Loss on issuance of derivative liability </w:t>
            </w:r>
            <w:r>
              <w:rPr>
                <w:rFonts w:ascii="Times New Roman" w:cs="Times New Roman" w:eastAsia="Times New Roman" w:hAnsi="Times New Roman"/>
                <w:sz w:val="25"/>
                <w:szCs w:val="25"/>
                <w:color w:val="auto"/>
                <w:vertAlign w:val="superscript"/>
              </w:rPr>
              <w:t>(6)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(24,688)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Gain on remeasurement of derivative liabilities </w:t>
            </w:r>
            <w:r>
              <w:rPr>
                <w:rFonts w:ascii="Times New Roman" w:cs="Times New Roman" w:eastAsia="Times New Roman" w:hAnsi="Times New Roman"/>
                <w:sz w:val="25"/>
                <w:szCs w:val="25"/>
                <w:color w:val="auto"/>
                <w:vertAlign w:val="superscript"/>
              </w:rPr>
              <w:t>(7)</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33,986</w:t>
            </w:r>
          </w:p>
        </w:tc>
        <w:tc>
          <w:tcPr>
            <w:tcW w:w="100" w:type="dxa"/>
            <w:vAlign w:val="bottom"/>
          </w:tcPr>
          <w:p>
            <w:pPr>
              <w:spacing w:after="0"/>
              <w:rPr>
                <w:sz w:val="18"/>
                <w:szCs w:val="18"/>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financing costs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(3,769)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 net</w:t>
            </w: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(221)</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(29,862</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9" w:hanging="269"/>
        <w:spacing w:after="0"/>
        <w:tabs>
          <w:tab w:leader="none" w:pos="269"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Deemed to be a related party in the fiscal year ended December 29, 2024. Refer to Note 15 - Borrowings and Derivative Liabilities for details.</w:t>
      </w:r>
    </w:p>
    <w:p>
      <w:pPr>
        <w:spacing w:after="0" w:line="191"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$0.7 million of other expense for the fiscal year ended December 31, 2023, for bonus shares issued to related parties in connection with the Mergers.</w:t>
      </w:r>
    </w:p>
    <w:p>
      <w:pPr>
        <w:spacing w:after="0" w:line="191"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$0.4 million of other income for the fiscal year ended December 31, 2023, for forward purchase agreements entered into with related parties.</w:t>
      </w:r>
    </w:p>
    <w:p>
      <w:pPr>
        <w:spacing w:after="0" w:line="191" w:lineRule="exact"/>
        <w:rPr>
          <w:rFonts w:ascii="Times New Roman" w:cs="Times New Roman" w:eastAsia="Times New Roman" w:hAnsi="Times New Roman"/>
          <w:sz w:val="15"/>
          <w:szCs w:val="15"/>
          <w:color w:val="auto"/>
        </w:rPr>
      </w:pPr>
    </w:p>
    <w:p>
      <w:pPr>
        <w:ind w:left="269" w:hanging="269"/>
        <w:spacing w:after="0" w:line="287" w:lineRule="auto"/>
        <w:tabs>
          <w:tab w:leader="none" w:pos="269"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income of $0.1 million and $9.1 million of other expenses for the fiscal years ended December 29, 2024, and December 31, 2023, for the change in fair value of FPAs entered into with related parties.</w:t>
      </w:r>
    </w:p>
    <w:p>
      <w:pPr>
        <w:spacing w:after="0" w:line="13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$30.7 million of other expense the fiscal year ended December 31, 2023 for shares issued to related parties in connection with the forward purchase agreements.</w:t>
      </w:r>
    </w:p>
    <w:p>
      <w:pPr>
        <w:spacing w:after="0" w:line="191" w:lineRule="exact"/>
        <w:rPr>
          <w:rFonts w:ascii="Times New Roman" w:cs="Times New Roman" w:eastAsia="Times New Roman" w:hAnsi="Times New Roman"/>
          <w:sz w:val="15"/>
          <w:szCs w:val="15"/>
          <w:color w:val="auto"/>
        </w:rPr>
      </w:pPr>
    </w:p>
    <w:p>
      <w:pPr>
        <w:ind w:left="269" w:hanging="269"/>
        <w:spacing w:after="0" w:line="287" w:lineRule="auto"/>
        <w:tabs>
          <w:tab w:leader="none" w:pos="269"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 loss of $3.0 million on the issuance of a derivative liability with a related party in the fiscal year ended December 29, 2024. Refer to Note 15 - Borrowings and Derivative Liabilities for details.</w:t>
      </w:r>
    </w:p>
    <w:p>
      <w:pPr>
        <w:spacing w:after="0" w:line="133" w:lineRule="exact"/>
        <w:rPr>
          <w:rFonts w:ascii="Times New Roman" w:cs="Times New Roman" w:eastAsia="Times New Roman" w:hAnsi="Times New Roman"/>
          <w:sz w:val="15"/>
          <w:szCs w:val="15"/>
          <w:color w:val="auto"/>
        </w:rPr>
      </w:pPr>
    </w:p>
    <w:p>
      <w:pPr>
        <w:ind w:left="269" w:hanging="269"/>
        <w:spacing w:after="0" w:line="287" w:lineRule="auto"/>
        <w:tabs>
          <w:tab w:leader="none" w:pos="269"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 gain of $0.3 million on the change in the fair value of derivative liabilities with related parties in the fiscal year ended December 29, 2024. Refer to Note 15 - Borrowings and Derivative Liabilities for details.</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(13) Common Stock</w:t>
      </w:r>
    </w:p>
    <w:p>
      <w:pPr>
        <w:spacing w:after="0" w:line="196"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The Company’s authorized capital stock comprises 1,000,000,000 shares of common stock and 10,000,000 shares of preferred stock as of December 29, 2024. No preferred stock has been issued and none are outstanding as of December 29, 2024.</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Common Stock Purchase Agreements</w:t>
      </w:r>
    </w:p>
    <w:p>
      <w:pPr>
        <w:spacing w:after="0" w:line="196"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On December 18, 2023, the Company entered into separate common stock purchase agreements (the “Purchase Agreements”) with the Rodgers Massey Freedom and Free Markets Charitable Trust and the Rodgers Massey Revocable Living Trust (each a “Purchaser”, and together, the “Purchasers”). Pursuant to the terms of the Purchase Agreements, each Purchaser purchased 1,838,235 shares of common stock of the Company, par value $0.0001, (the “Shares”), at a price per share of $1.36, representing an aggregate purchase price of $5.0 million. The Purchasers paid for the shares in cash. Thurman J. Rodgers is a trustee of each Purchaser, Executive Chairman of the Company’s board of directors and Chief Executive Officer of the Company (“Rodgers” or “CEO”).</w:t>
      </w:r>
    </w:p>
    <w:p>
      <w:pPr>
        <w:spacing w:after="0" w:line="33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58" w:right="319" w:bottom="1440" w:gutter="0" w:footer="0" w:header="0"/>
        </w:sectPr>
      </w:pPr>
    </w:p>
    <w:bookmarkStart w:id="205" w:name="page206"/>
    <w:bookmarkEnd w:id="205"/>
    <w:p>
      <w:pPr>
        <w:jc w:val="both"/>
        <w:spacing w:after="0" w:line="261" w:lineRule="auto"/>
        <w:rPr>
          <w:sz w:val="20"/>
          <w:szCs w:val="20"/>
          <w:color w:val="auto"/>
        </w:rPr>
      </w:pPr>
      <w:r>
        <w:rPr>
          <w:rFonts w:ascii="Times New Roman" w:cs="Times New Roman" w:eastAsia="Times New Roman" w:hAnsi="Times New Roman"/>
          <w:sz w:val="15"/>
          <w:szCs w:val="15"/>
          <w:color w:val="auto"/>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 Under the White Lion Amended SPA, the Company issued a total of 2.9 million shares of common stock for net proceeds of $6.7 million in the fiscal year ended December 29,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The Company has reserved shares of common stock for issuance related to the following:</w:t>
            </w: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tcPr>
          <w:p>
            <w:pPr>
              <w:spacing w:after="0"/>
              <w:rPr>
                <w:sz w:val="17"/>
                <w:szCs w:val="17"/>
                <w:color w:val="auto"/>
              </w:rPr>
            </w:pPr>
          </w:p>
        </w:tc>
        <w:tc>
          <w:tcPr>
            <w:tcW w:w="3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warrants</w:t>
            </w:r>
          </w:p>
        </w:tc>
        <w:tc>
          <w:tcPr>
            <w:tcW w:w="3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31,670,265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27,637,266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2,628,996</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2,628,996</w:t>
            </w:r>
          </w:p>
        </w:tc>
        <w:tc>
          <w:tcPr>
            <w:tcW w:w="0" w:type="dxa"/>
            <w:vAlign w:val="bottom"/>
          </w:tcPr>
          <w:p>
            <w:pPr>
              <w:spacing w:after="0"/>
              <w:rPr>
                <w:sz w:val="1"/>
                <w:szCs w:val="1"/>
                <w:color w:val="auto"/>
              </w:rPr>
            </w:pPr>
          </w:p>
        </w:tc>
      </w:tr>
      <w:tr>
        <w:trPr>
          <w:trHeight w:val="18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 and RSUs, issued and outstanding</w:t>
            </w:r>
          </w:p>
        </w:tc>
        <w:tc>
          <w:tcPr>
            <w:tcW w:w="3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11,979,368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11,774,743</w:t>
            </w:r>
          </w:p>
        </w:tc>
        <w:tc>
          <w:tcPr>
            <w:tcW w:w="0" w:type="dxa"/>
            <w:vAlign w:val="bottom"/>
          </w:tcPr>
          <w:p>
            <w:pPr>
              <w:spacing w:after="0"/>
              <w:rPr>
                <w:sz w:val="1"/>
                <w:szCs w:val="1"/>
                <w:color w:val="auto"/>
              </w:rPr>
            </w:pPr>
          </w:p>
        </w:tc>
      </w:tr>
      <w:tr>
        <w:trPr>
          <w:trHeight w:val="182"/>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Stock options and RSUs, authorized for future issuance</w:t>
            </w: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2,577,895</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3,850,462</w:t>
            </w:r>
          </w:p>
        </w:tc>
        <w:tc>
          <w:tcPr>
            <w:tcW w:w="0" w:type="dxa"/>
            <w:vAlign w:val="bottom"/>
          </w:tcPr>
          <w:p>
            <w:pPr>
              <w:spacing w:after="0"/>
              <w:rPr>
                <w:sz w:val="1"/>
                <w:szCs w:val="1"/>
                <w:color w:val="auto"/>
              </w:rPr>
            </w:pPr>
          </w:p>
        </w:tc>
      </w:tr>
      <w:tr>
        <w:trPr>
          <w:trHeight w:val="18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SAFE Agreement</w:t>
            </w:r>
          </w:p>
        </w:tc>
        <w:tc>
          <w:tcPr>
            <w:tcW w:w="3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2,750,000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Forward purchase agreements</w:t>
            </w: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6,720,000</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58,579,636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546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shares reserved</w:t>
            </w:r>
          </w:p>
        </w:tc>
        <w:tc>
          <w:tcPr>
            <w:tcW w:w="3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116,906,160</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45,891,467</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(14) Warrants</w:t>
            </w: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vMerge w:val="continue"/>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4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Liability-classified warrants</w:t>
            </w: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Liability classified warrants are as follows (in thousands):</w:t>
            </w: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tcBorders>
              <w:bottom w:val="single" w:sz="8" w:color="CCEEFF"/>
            </w:tcBorders>
          </w:tcPr>
          <w:p>
            <w:pPr>
              <w:spacing w:after="0"/>
              <w:rPr>
                <w:sz w:val="17"/>
                <w:szCs w:val="17"/>
                <w:color w:val="auto"/>
              </w:rPr>
            </w:pPr>
          </w:p>
        </w:tc>
        <w:tc>
          <w:tcPr>
            <w:tcW w:w="3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Carlyle Warrant</w:t>
            </w:r>
          </w:p>
        </w:tc>
        <w:tc>
          <w:tcPr>
            <w:tcW w:w="3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Replacement warrants</w:t>
            </w: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1,310</w:t>
            </w:r>
          </w:p>
        </w:tc>
        <w:tc>
          <w:tcPr>
            <w:tcW w:w="0" w:type="dxa"/>
            <w:vAlign w:val="bottom"/>
          </w:tcPr>
          <w:p>
            <w:pPr>
              <w:spacing w:after="0"/>
              <w:rPr>
                <w:sz w:val="1"/>
                <w:szCs w:val="1"/>
                <w:color w:val="auto"/>
              </w:rPr>
            </w:pPr>
          </w:p>
        </w:tc>
      </w:tr>
      <w:tr>
        <w:trPr>
          <w:trHeight w:val="18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warrants</w:t>
            </w:r>
          </w:p>
        </w:tc>
        <w:tc>
          <w:tcPr>
            <w:tcW w:w="3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862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167</w:t>
            </w:r>
          </w:p>
        </w:tc>
        <w:tc>
          <w:tcPr>
            <w:tcW w:w="0" w:type="dxa"/>
            <w:vAlign w:val="bottom"/>
          </w:tcPr>
          <w:p>
            <w:pPr>
              <w:spacing w:after="0"/>
              <w:rPr>
                <w:sz w:val="1"/>
                <w:szCs w:val="1"/>
                <w:color w:val="auto"/>
              </w:rPr>
            </w:pPr>
          </w:p>
        </w:tc>
      </w:tr>
      <w:tr>
        <w:trPr>
          <w:trHeight w:val="182"/>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Private placements warrants</w:t>
            </w: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627</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21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Working capital warrants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68"/>
        </w:trPr>
        <w:tc>
          <w:tcPr>
            <w:tcW w:w="546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liability classified warrants</w:t>
            </w:r>
          </w:p>
        </w:tc>
        <w:tc>
          <w:tcPr>
            <w:tcW w:w="3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1,561</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11,127</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54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jc w:val="right"/>
              <w:ind w:right="2966"/>
              <w:spacing w:after="0"/>
              <w:rPr>
                <w:sz w:val="20"/>
                <w:szCs w:val="20"/>
                <w:color w:val="auto"/>
              </w:rPr>
            </w:pPr>
            <w:r>
              <w:rPr>
                <w:rFonts w:ascii="Times New Roman" w:cs="Times New Roman" w:eastAsia="Times New Roman" w:hAnsi="Times New Roman"/>
                <w:sz w:val="15"/>
                <w:szCs w:val="15"/>
                <w:color w:val="auto"/>
                <w:w w:val="98"/>
              </w:rPr>
              <w:t>F-70</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62" w:right="3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5"/>
          <w:szCs w:val="15"/>
          <w:i w:val="1"/>
          <w:iCs w:val="1"/>
          <w:color w:val="auto"/>
        </w:rPr>
        <w:t>Series D-7 Warrants (Converted to Common Stock Warrants “Replacement Warrants”)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November 2022, the Company issued warrants to purchase 656,630 shares of Series D-7 preferred stock (the “Series D-7 warrants”) in conjunction with the Business Combination. The warrant contained two tranches. The first tranche of 518,752 shares of Series D-7 preferred stock was exercisable at an exercise price of $2.50 per share upon consummation of a merger transaction, or at an exercise price of $2.04 per share upon remaining private and had an expiration date of April 2024. The second tranche of 137,878 shares of Series D-7 preferred stock was exercisable at an exercise price of $5.00 per share upon consummation of a merger transaction, or at an exercise price of $4.09 per share upon remaining private and had an expiration date of April 2024. The fair value of the Series D-7 warrants was $2.4 million as of July 18, 2023 when the warrants were reclassified from redeemable convertible preferred stock warrant liability to additional paid-in capital, as the exercise price of the warrants was fixed at $2.50 per share of Company Common Stock for the first tranche and $5.00 per share of Company Common Stock for the second tranche upon the closing of the Mergers.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October 2023, the Company entered into an Assignment and Acceptance Agreement (“Assignment Agreement”), (refer to Note 15 - Borrowings and Derivative Liabilities). In connection with the Assignment Agreement, the Company also entered into the First Amendment to Warrant to Purchase Stock Agreements with the holders of the Series D-7 warrants. Pursuant to the terms of the agreement, the warrants to purchase 1,376,414 shares of Series D-7 preferred stock converted into warrants to purchase 656,630 shares of common stock (the “Replacement Warrants”). As a result of the warrant amendment, the Company reclassified the Replacement Warrants from equity to liability. The Replacement Warrants were remeasured to fair value on the amendment effective date and the Company recorded subsequent changes in fair value within Other income (expense), net in its consolidated statements of operations and comprehensive loss.</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Replacement Warrants expired in April 2024 and the Company released the $1.3 million liability recognized in connection with the warranty liability. The $1.3 million of income was classified in Other income (expense), net within its consolidated statements of operations and comprehensive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Public, Private Placement, and Working Capital Warrants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conjunction with the Mergers, the Company, as accounting acquirer, was deemed to assume 6,266,667 warrants to purchase FACT Class A Ordinary Shares that were held by the sponsor at an exercise price of $11.50 (“Private Placement Warrants”) and 8,625,000 warrants to purchase FACT’s shareholders FACT Class A Ordinary Shares at an exercise price of $11.50 (“Public Warrants”). Subsequent to the Mergers, the Private Placement Warrants and Public Warrants are exercisable for shares of Company Common Stock and meet liability classification requirements since the warrants may be required to be settled in cash under a tender offer. In addition, Private Placement Warrants are potentially subject to a different settlement amount as a result of being held by the Sponsor which precludes the Private Placement Warrants from being considered indexed to the entity’s own stock. Therefore, these warrants are classified as liabilities on the consolidated balance sheets.</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fair values of the warrant liabilities were $1.5 million and $0.3 million as of December 29, 2024, and December 31, 2023, respectively. The Company recorded a $1.2 million and $6.4 million increase in the fair value of these warrants for the fiscal years ended December 29, 2024 and December 31, 2023, respectively. These changes were recorded in Other income (expense), net in the Company’s consolidated statements of operations and comprehensive loss.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Additionally, at the closing of the Mergers, the Company issued 716,668 Working Capital warrants, which have identical terms as the Private Placement Warrants to the sponsor in satisfaction of certain liabilities of FACT. The warrants were fair valued at $0.3 million upon the closing of the Mergers, which was recorded in warrant liability on the Company’s consolidated balance sheets. As of December 29, 2024 and December 31, 2023, the Working Capital warrants had a fair value of $0.08 million and $0.01 million, respectively and the Company recorded the change in fair value of less than $0.07 million and $0.1 million in Other income (expense), net within the Company’s consolidated statements of operations and comprehensive loss in the years ended December 29, 2024 and December 31, 2023, respectively.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5"/>
          <w:szCs w:val="15"/>
          <w:i w:val="1"/>
          <w:iCs w:val="1"/>
          <w:color w:val="auto"/>
        </w:rPr>
        <w:t>Previous Liability Classified Warrant Now Classified as Equity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Carlyle Warrant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February 2022, as part of a debt financing from Carlyle (“CS Solis Debt”) (refer to Note 15 - Borrowings and Derivative Liabilities), the Company issued a warrant to Carlyle to purchase 2,886,952 shares of common stock (“Carlyle Warrant”). The warrant contained two tranches, the first of which was immediately exercisable for 1,995,879 shares of Legacy Complete Solaria common stock. The second tranche, which was determined to be a separate unit of account, expired on December 31, 2022 prior to becoming exercisable. At issuance, the relative fair value of the warrant was determined to be $3.4 million using the Black-Scholes model and was initially recorded within additional paid-in capital as it met the conditions for equity classification. The Carlyle Warrant has an exercise price of $0.01 per share.</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July 2023, and in connection with the closing of the Mergers, the Carlyle debt and warrants were modified. Based on the exchange ratio included in the Mergers, the 1,995,879 outstanding warrants to purchase Legacy Complete Solaria Common Stock prior to modification were exchanged into warrants to purchase 1,995,879 shares of Company Common Stock. As part of the modification, the warrant, which expires on July 18, 2030, provides Carlyle with the right to purchase shares of Company Common Stock based on (a) the greater of (i) 1,995,879 shares and (ii) the number of shares equal to 2.795% of the Company’s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Company Common Stock at a price of $0.01 per share. Of the additional warrants that become exercisable after the modification, the tranches of 350,000 warrants vesting ten days after the date of the agreement and 150,000 warrants vesting thirty days after the date of the agreement were exercisable as of October 31, 2023.</w:t>
      </w:r>
    </w:p>
    <w:p>
      <w:pPr>
        <w:spacing w:after="0" w:line="15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In December 2023, Carlyle was issued an additional warrant to purchase an additional 2,190,604 shares of the Company’s common stock related to an anti-dilution provision within the CS Solis Debt that provides for such additional warrants under such circumstances as provided within the CS Solis Debt.</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modification of the warrant resulted in the reclassification of previously equity-classified warrants to liability classification, which was accounted for in accordance with ASC 815 and ASC 718, Compensation - Stock Compensation. The fair value of the warrant liability was determined based on its intrinsic value, given a nominal exercise price. At issuance, the relative fair value of the warrant was determined to be $20.4 million using the Black-Scholes model with the following weighted average assumptions: expected term of 7 years; expected volatility of 77.0%; risk-free interest rate of 3.9%; and no dividend yield. The Company recorded the fair value of the modified warrants as a warrant liability of $20.4 million, the pre-modification fair value of the warrants as a reduction to additional paid-in capital of $10.9 million and an expense of $9.5 million to Other income (expense), net in the fiscal year ended December 31, 2023, equal to the incremental value of the warrants upon the modification. As of December 31, 2023, the fair value of the warrant was $9.5 million, and the Company recorded an expense of $14.4 million as other income (expense), net on the consolidated statement of operations and comprehensive loss.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July 1, 2024, in connection with the Exchange Agreement (as defined in Note 15 - Borrowings and Derivative Liabilities), the Carlyle Warrant was modified, and the modification fixed the number of shares of the Company’s common stock that may be issued upon exercise of the Carlyle Warrant at 4,936,483. At the modification date, the Carlyle Warrant had a fair value of $7.3 million. At the modification date, the Company recognized $0.7 million of expense related to the remeasurement of the liability which was classified within “Gain on Troubled Debt Restructuring” within the Company’s consolidated statement of operations and comprehensive loss. The modification of the warrant resulted in the reclassification of the previously liability-classified warrant to equity classification, resulting in an increase to additional paid-in capital of $7.3 million, a reduction in the warrant liability of $7.3 million.</w:t>
      </w:r>
    </w:p>
    <w:p>
      <w:pPr>
        <w:spacing w:after="0" w:line="15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Company recorded income of $2.9 million and $14.4 million within Other income (expense), net in its consolidated statements of operations and comprehensive loss for the fiscal years ended December 29, 2024 and December 31, 2023, respectively, related to the Carlyle Warrant. The warrant remains outstanding as of December 29, 2024.</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5"/>
          <w:szCs w:val="15"/>
          <w:i w:val="1"/>
          <w:iCs w:val="1"/>
          <w:color w:val="auto"/>
        </w:rPr>
        <w:t>Equity Classified Warrants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Series B Warrants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February 2016, the Company issued a warrant to purchase 5,054 shares of Series B preferred stock (the “Series B warrant”) in connection with a 2016 credit facility. The Series B warrant was immediately exercisable at an exercise price of $4.30 per share and has an expiration date of February 2026. The relative fair value of the Series B warrant at issuance was recorded as a debt issuance cost within other noncurrent liabilities upon issuance. The fair value of the Series B warrant was less than $0.1 million as of July 18, 2023, when the Series B warrant was reclassified from warrant liability to additional paid-in capital, upon the warrant becoming exercisable into shares of Company common stock upon the close of the Mergers. Prior to its reclassification during 2023, changes in the fair value of the liability-classified warrants were recorded in Other income (expense), net in the Company’s consolidated statement of operations and comprehensive loss for the fiscal year ended December 31, 2023. The Series B warrant is not remeasured in future periods as it meets the conditions for equity classification. The warrants remain outstanding as of December 29,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Series C Warrants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July 2016, the Company issued a warrant to purchase 148,477 shares of Series C preferred stock (the “Series C warrant”) in connection with the Series C financing. The Series C warrant agreement also provided for an additional number of Series C shares calculated on a monthly basis commencing on June 2016 based on the principal balance outstanding of the notes payable outstanding. The maximum number of shares exercisable under the Series C warrant agreement was 482,969 shares of Series C preferred stock. The Series C Warrant was immediately exercisable at an exercise price of $1.00 per share and has an expiration date of July 2026. The fair value of the Series C Warrant was $2.3 million as of July 18, 2023, when the Series C warrant was reclassified from redeemable convertible preferred stock warrant liability to additional paid-in capital, as the warrant became exercisable into shares of Company common stock upon the close of the Mergers. The Series C warrant is not remeasured in future periods as it meets the conditions for equity classification. The warrants remain outstanding as of December 29,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Series C-1 Warrants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January 2020, the Company issued a warrant to purchase 173,067 shares of common stock in conjunction with the Series C-1 preferred stock financing. The warrant was immediately exercisable at an exercise price of $0.01 per share and has an expiration date of January 2030. The warrant remains outstanding as of December 29, 2024. At issuance, the relative fair value of the warrant was determined to be $0.1 million using the Black-Scholes. The fair value of the warrant was recorded within additional paid-in capital on the Company’s consolidated balance sheets. The warrant is not remeasured in future periods as it meets the conditions for equity classification.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SVB Common Stock Warrants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May and August 2021, the Company issued warrants to purchase 2,473 and 2,525 shares of common stock, respectively, in conjunction with the Fifth and Sixth Amendments to the Loan and Security Agreement (“Loan Agreement”) with Silicon Valley Bank (“SVB”). These warrants are immediately exercisable at exercise prices of $0.38 and $0.62 per share, respectively, and have expiration dates in 2033. The warrants remain outstanding as of December 29, 2024. The fair value of the warrant was recorded within additional paid-in-capital on the accompanying consolidated balance sheets. The warrants are not remeasured in future periods as they meet the conditions for equity classification.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Promissory Note Common Stock Warrants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October 2021, the Company issued a warrant to purchase 50,000 shares of the Company’s common stock in connection with the issuance of a short-term promissory note. As of December 29, 2024, the warrant for 24,148 shares of the Company’s common stock remains unexercised. The warrant was immediately exercisable at an exercise price of $0.01 per share and has an expiration date of October 2031. The warrant remains outstanding as of December 29, 2024. The fair value of the warrant was recorded within additional paid-in capital on the Company’s consolidated balance sheets. The warrant is not remeasured in future periods as it meets the conditions for equity classification.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5"/>
          <w:szCs w:val="15"/>
          <w:u w:val="single" w:color="auto"/>
          <w:color w:val="auto"/>
        </w:rPr>
        <w:t>July 2023 Common Stock Warrants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July 2023, the Company issued a warrant to a third-party service provider to purchase 38,981 shares of the Company’s common stock in exchange for services provided in obtaining financing at the Closing of the Mergers. The warrant was immediately exercisable at a price of $0.01 per share and has an expiration date of July 2028. At issuance, the fair value of the warrant was determined to be $0.2 million, based on the intrinsic value of the warrant and the $0.01 per share exercise price. As the warrant is accounted for as an equity issuance cost, the fair value of the warrant was recorded within additional paid-in capital on the Company’s consolidated balance sheet. The warrant is not remeasured in future periods as it meets the conditions for equity classification.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Warrant Consideration</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July 2023, in connection with the Mergers, the Company issued 6,266,572 warrants to purchase Company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paid-in capital, net of the issuance costs of the Mergers. As of December 29, 2024, this warrant remains outstanding. The warrant is not remeasured in future periods as it meets the conditions for equity classification.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Ayna Warrant</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June 17, 2024, a warrant to purchase shares of the Company’s common stock (“Ayna Warrant”) was issued to Ayna.AI LLC (“Ayna”) for the purchase of 6,000,000 shares of the Company’s common stock at an exercise price per share of $0.01, subject to the provisions and upon the terms and conditions set forth in the Ayna Warrant. The Ayna Warrant expires on June 17, 2029. The issuance of the Ayna Warrant by the Company to Ayna is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provides services in connection with the anticipated return of the Company to cash-flow positive performance. The Ayna Warrant became fully exercisable for the 6,000,000 shares on September 9, 2024 and Anya exercised the Ayna Warrant in full for cash in January 2025.</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lieu of exercising the Ayna Warrant for cash, Ayna may from time to time convert the Ayna Warrant, in whole or in part, into a number of shares of the Company’s common stock determined by dividing (a) the aggregate fair market value of the shares of the Company’s common stock or other securities otherwise issuable upon exercise of the Ayna Warrant minus the aggregate warrant price of such shares of the Company’s common stock by (b) the fair market value (“Ayna Warrant FMV”) of one share of the Company’s common stock.</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If the Company’s shares of common stock are traded regularly in a public market, the Ayna Warrant FMV shall be the weighted average price for the 30 trading days ending on the trading day immediately before Ayna delivers its notice of exercise to the Company. If the Company’s shares of common stock are not regularly traded in a public market, the Company’s Board of Directors shall determine that the Ayna Warrant FMV in its reasonable good faith judgment. The foregoing notwithstanding, if Ayna advises the Company’s Board of Directors in writing that Ayna disagrees with such determination, then the Company and Ayna shall promptly agree upon a reputable investment banking firm or a third party independent appraiser to undertake such valuation. If the valuation of such investment banking firm is greater than that determined by the Board of Directors, then all fees and expenses of such investment banking firm shall be paid by the Company. In all other circumstances, such fee and expenses shall be paid by Ayna.</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At issuance, the fair value of the Ayna Warrant was determined to be $9.2 million, based on the intrinsic value of the Ayna Warrant and the $0.01 per share exercise price. As the Ayna Warrant is accounted for as stock-based compensation under ASC 718, the Ayna Warrant is recorded within additional paid-in capital on the consolidated balance sheets. The Ayna Warrant is not remeasured in future periods as it meets the conditions for equity classification. As the Ayna statement of work period is different than the date of the warrant agreement, the differences in dates cause an accrued expense for services rendered by Ayna. The Company recognized expenses incurred to date of $9.2 million for the fiscal year ended December 29, 2024, within General and administrative expenses on the Company’s consolidated statement of operations. The full amount of the Ayna Warrant, $9.2 million, was recorded within additional paid-in-capital as of December 29, 2024.</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5"/>
          <w:szCs w:val="15"/>
          <w:u w:val="single" w:color="auto"/>
          <w:color w:val="auto"/>
        </w:rPr>
        <w:t>Cantor Warrant</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July 2024, the Company issued a warrant (“Cantor Warrant”) to a third-party service provider to purchase 3,066,141 shares of the Company’s common stock in exchange for services provided in the issuance of the 12% Notes (refer to Note 15 - Borrowings and Derivative Liabilities).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Exchange Agreement and reduced the gain on the troubled debt restructuring (refer to Note 15 - Borrowings and Derivative Liabilities). The fair value of this warrant was derived using the Black-Scholes model with the following assumptions: expected volatility of 55%; risk-free interest rate of 4.2%; expected term of 5 years; and no dividend yield. The fair value of this warrant was recorded within additional paid-in capital on the Company’s consolidated balance sheets and is not remeasured in future periods as it meets the conditions for equity classification.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(15) Borrowings and Derivative Liabilities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The Company’s borrowings and derivative liabilities consisted of the following (in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12% Notes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12% Notes derivative liability</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13,563</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12% Notes - related parties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24,632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July 2024 derivative liability - related parties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21,127</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7% Notes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5,636</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7% Notes derivative liability</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55,474</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7% Notes - related party</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476</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7% Notes - derivative liability - related party</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6,958</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2018 Bridge Notes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11,031</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Revolver Loan</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5,168</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Secured Credit Facility</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12,158</w:t>
            </w: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Polar Settlement Agreement</w:t>
            </w:r>
          </w:p>
        </w:tc>
        <w:tc>
          <w:tcPr>
            <w:tcW w:w="100" w:type="dxa"/>
            <w:vAlign w:val="bottom"/>
          </w:tcPr>
          <w:p>
            <w:pPr>
              <w:spacing w:after="0"/>
              <w:rPr>
                <w:sz w:val="17"/>
                <w:szCs w:val="17"/>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300</w:t>
            </w:r>
          </w:p>
        </w:tc>
      </w:tr>
      <w:tr>
        <w:trPr>
          <w:trHeight w:val="182"/>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Notes payable</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147,331</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28,657</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Debt in CS Solis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33,280</w:t>
            </w: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notes payable and convertible notes,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61,937</w:t>
            </w:r>
          </w:p>
        </w:tc>
      </w:tr>
      <w:tr>
        <w:trPr>
          <w:trHeight w:val="16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Less current portion</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(1,500</w:t>
            </w:r>
          </w:p>
        </w:tc>
        <w:tc>
          <w:tcPr>
            <w:tcW w:w="220" w:type="dxa"/>
            <w:vAlign w:val="bottom"/>
            <w:tcBorders>
              <w:top w:val="single" w:sz="8" w:color="CCEEFF"/>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(61,937</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85"/>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Notes payable and convertible notes, net of current portion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145,831</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12% Senior Unsecured Convertible Notes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In July 2024, the Company issued $46.0 million of senior unsecured convertible notes (“12% Notes”) to various lenders. Of the 12% Notes, $18.0 million were issued to a related party affiliated with the Company’s Chief Executive Officer and a director, Rodgers Massey Revocable Living Trust, $18.0 million were issued in exchange for the cancellation of indebtedness as discussed below of which $10.0 million were issued to Carlyle which was also deemed to be a related party in the fiscal year ended December 29, 2024. The 12% Notes bear interest at 12% per annum, and the principal is payable in full at maturity on July 1, 2029. The interest is payable in cash on January 1 and July 1 of each year, beginning on July 1, 2025. Upon default, principal and interest become immediately due and payable. The interest rate increases by 3% in the event of default. The 12% Notes are convertible into the Company’s common stock at the option of the holder at a conversion rate of $1.68 per share. Holders of 12% Notes may convert at any time. The 12% Notes may be declared due and payable at the option of the holder upon event of default and upon a qualifying change of control event. The conversion option is required to be bifurcated as a derivative liability, and the Company recorded a derivative liability of $28.7 million on the issuance date with a corresponding debt discount. In connection with the issuance of the 12% Notes, the Company issued the Cantor Warrant, as described in Note 14 - Warrants, to purchase shares of the Company’s common stock. At issuance, the Cantor Warrant had a fair value of $1.4 million, of which $0.9 million was recorded as a debt discount, and $0.5 million was included in the calculation of the Company’s gain on the troubled debt restructuring, as discussed above. As of December 29, 2024, the carrying amount of the convertible 12% Notes inclusive of the fair value of the derivative liability was $77.3 million, which reflects a derivative liability of $34.7 million and convertible notes of $70.4 million, less an unamortized debt discount of $27.8 million.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11" w:name="page212"/>
    <w:bookmarkEnd w:id="211"/>
    <w:p>
      <w:pPr>
        <w:jc w:val="both"/>
        <w:spacing w:after="0" w:line="260" w:lineRule="auto"/>
        <w:rPr>
          <w:sz w:val="20"/>
          <w:szCs w:val="20"/>
          <w:color w:val="auto"/>
        </w:rPr>
      </w:pPr>
      <w:r>
        <w:rPr>
          <w:rFonts w:ascii="Times New Roman" w:cs="Times New Roman" w:eastAsia="Times New Roman" w:hAnsi="Times New Roman"/>
          <w:sz w:val="15"/>
          <w:szCs w:val="15"/>
          <w:color w:val="auto"/>
        </w:rPr>
        <w:t>Interest expense recognized on the 12% Notes was $2.8 million and zero in the fiscal years ended December 29, 2024 and December 31, 2023, respectively. Of the total interest expense, related party interest expense was $1.7 million and zero in the fiscal years ended December 29, 2024 and December 31, 2023, respectively. Debt discount expense recognized on the 12% Notes was $1.8 million and zero in the fiscal years ended December 29, 2024 and December 31, 2023, respectively. Of the total debt discount expense, related party expense was $1.1 million and zero in the fiscal years ended December 29, 2024, and December 31, 2023, respectively. There are no financial covenants. The 12% Notes are not in default. However, due to the Company’s delayed filing of its Form 10K for the year ended December 29, 2024, the Company will be required to pay incremental default interest of 0.5% beginning April 16, 2025, which will cease upon the Company’s filing of its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effective interest rate is 33.4% and 31.7% on the 12% Notes’ principal amounts of $28.0 million and $18.0 million,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29, 2024, $1.3 million and $1.6 million of contingent interest which is payable upon default is included in the 12% Notes and 12% Notes - related parties,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7% Senior Unsecured Convertible Notes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September 2024, the Company issued $66.8 million of senior unsecured convertible notes to various lenders (the “7% Notes”), $4.0 million of which were issued to Rodgers Family Freedom and Free Markets Charitable Trust (“Massey Charitable Trust”), a related party and $4.0 million were issued to Rodgers Massey Revocable Living Trust (collectively with Massey Charitable Trust, “Massey Trusts”), also a related party. The 7% Notes bear interest at 7% per annum, and the principal is payable in full at maturity on July 1, 2029. The interest is payable in cash on January 1 and July 1 of each year, beginning on July 1, 2025. Upon default, principal and interest become immediately due and payable. The 7% Notes are convertible into shares of the Company’s common stock at the option of the holder at a conversion rate of $2.14 per common share. Holders of 7% Notes may convert at any time. The 7% Notes may be declared due and payable at the option of the holder upon event of default and upon a qualifying change of control event. The conversion option is required to be bifurcated as a derivative liability, and the Company recorded a derivative liability of $91.5 million on the issuance date. As the fair value of the derivative liability exceeds the proceeds received, the Company recorded a corresponding financing loss of $24.7 million and debt discount for $66.8 million as of the issuance date. In December 2024, the Company issued an additional $13.0 million of 7% Notes for cash. The Company recognized a $10.9 million debt discount in connection with these additional proceeds.</w:t>
      </w:r>
    </w:p>
    <w:p>
      <w:pPr>
        <w:spacing w:after="0" w:line="15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As of December 29, 2024, the carrying amount of the 7% Notes inclusive of the fair value of the derivative liability was $68.5 million, which reflects a derivative liability of $62.4 million and convertible notes of $79.8 million, less an unamortized debt discount of $73.7 million.</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Interest expense recognized on the 7% Notes was $1.4 million and zero in the fiscal years ended December 29, 2024 and December 31, 2023, respectively. Of the total interest expense, related party interest expense was $0.2 million and zero in the fiscal years ended December 29, 2024 and 2023, respectively. Debt discount expense recognized on the 7% Notes was $4.0 million and zero in the fiscal years ended December 29, 2024 and December 31, 2023, respectively. Of the total debt discount expense, related party expense was $0.5 million and zero in the fiscal years ended December 29, 2024, and December 31, 2023, respectively. There are no financial covenants. The 7% Notes are not in default. However, due to the Company’s delayed filing of its Form 10K for the year ended December 29, 2024, the Company will be required to pay incremental default interest of 0.5% beginning April 16, 2025, which will cease upon the Company’s filing of its Form 10K.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12" w:name="page213"/>
    <w:bookmarkEnd w:id="212"/>
    <w:p>
      <w:pPr>
        <w:ind w:left="9"/>
        <w:spacing w:after="0"/>
        <w:rPr>
          <w:sz w:val="20"/>
          <w:szCs w:val="20"/>
          <w:color w:val="auto"/>
        </w:rPr>
      </w:pPr>
      <w:r>
        <w:rPr>
          <w:rFonts w:ascii="Times New Roman" w:cs="Times New Roman" w:eastAsia="Times New Roman" w:hAnsi="Times New Roman"/>
          <w:sz w:val="15"/>
          <w:szCs w:val="15"/>
          <w:color w:val="auto"/>
        </w:rPr>
        <w:t>The effective interest rate is 27.6% and 47.3% on the 7% Notes’ principal amounts of $66.8 million and $13.0 million, respectively.</w:t>
      </w:r>
    </w:p>
    <w:p>
      <w:pPr>
        <w:spacing w:after="0" w:line="1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Exchange Agreement</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On July 1, 2024, the Company entered into an Exchange Agreement (the “Exchange Agreement”) with Carlyle and Kline Hill (as defined below) providing for:</w:t>
      </w:r>
    </w:p>
    <w:p>
      <w:pPr>
        <w:spacing w:after="0" w:line="192" w:lineRule="exact"/>
        <w:rPr>
          <w:sz w:val="20"/>
          <w:szCs w:val="20"/>
          <w:color w:val="auto"/>
        </w:rPr>
      </w:pPr>
    </w:p>
    <w:p>
      <w:pPr>
        <w:jc w:val="both"/>
        <w:ind w:left="269" w:hanging="269"/>
        <w:spacing w:after="0" w:line="270" w:lineRule="auto"/>
        <w:tabs>
          <w:tab w:leader="none" w:pos="269"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p>
      <w:pPr>
        <w:spacing w:after="0" w:line="146"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a note for the principal amount of $10.0 million to Carlyle as part of the 12% Notes;</w:t>
      </w:r>
    </w:p>
    <w:p>
      <w:pPr>
        <w:spacing w:after="0" w:line="191" w:lineRule="exact"/>
        <w:rPr>
          <w:rFonts w:ascii="Times New Roman" w:cs="Times New Roman" w:eastAsia="Times New Roman" w:hAnsi="Times New Roman"/>
          <w:sz w:val="15"/>
          <w:szCs w:val="15"/>
          <w:color w:val="auto"/>
        </w:rPr>
      </w:pPr>
    </w:p>
    <w:p>
      <w:pPr>
        <w:jc w:val="both"/>
        <w:ind w:left="269" w:hanging="269"/>
        <w:spacing w:after="0" w:line="270" w:lineRule="auto"/>
        <w:tabs>
          <w:tab w:leader="none" w:pos="269"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the 2018 Bridge Notes, the revolving loan and the secured credit facility, and the satisfaction of all obligations owed to Kline Hill by the Company under the terminated debt instruments;</w:t>
      </w:r>
    </w:p>
    <w:p>
      <w:pPr>
        <w:spacing w:after="0" w:line="146"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a note for the principal amount of $8.0 million to Kline Hill as part of the 12% Notes; and</w:t>
      </w:r>
    </w:p>
    <w:p>
      <w:pPr>
        <w:spacing w:after="0" w:line="191"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1,500,000 shares of common stock, par value $0.0001 per share, of the Company (the “Common Stock”) to Kline Hill (the “Shares”).</w:t>
      </w:r>
    </w:p>
    <w:p>
      <w:pPr>
        <w:spacing w:after="0" w:line="1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2018 Bridge Notes</w:t>
      </w:r>
    </w:p>
    <w:p>
      <w:pPr>
        <w:spacing w:after="0" w:line="196"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In 2018, Solaria issued senior subordinated convertible secured notes (“2018 Notes”) totaling approximately $3.4 million in exchange for cash. The 2018 Notes were secured by substantially all of the assets of Solaria, bore interest at the rate of 8% per annum, and the investors were entitled to receive twice the face value of the 2018 Notes at maturity. In connection with an amendment in 2021 to extend the maturity date of the 2018 Notes, Solaria issued warrants to purchase shares of Series E-1 redeemable convertible preferred stock of Solaria. The warrants were exercisable immediately in whole or in part at and expire on December 13, 2031. As part of the Business Combination with the Company, the outstanding warrants issued were assumed by the parent company, the Company (which at such time had the name Complete Solaria, Inc.).</w:t>
      </w:r>
    </w:p>
    <w:p>
      <w:pPr>
        <w:spacing w:after="0" w:line="155"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In December 2022, the Company entered into an amendment to the 2018 Notes further extending the maturity date from December 13, 2022 to December 13, 2023 in exchange for an increased repayment premium from 110% to 120% of the principal and accrued interest at the time of repayment. The amendment represented a troubled debt restructuring as the Company was experiencing financial difficulty, and the amended terms resulted in a concession to the Company. As the future undiscounted cash payments under the modified terms exceeded the carrying amount of the 2018 Notes on the date of modification, the modification was accounted for prospectively. The incremental repayment premium was being amortized to interest expense using the effective interest rate method.</w:t>
      </w:r>
    </w:p>
    <w:p>
      <w:pPr>
        <w:spacing w:after="0" w:line="155" w:lineRule="exact"/>
        <w:rPr>
          <w:sz w:val="20"/>
          <w:szCs w:val="20"/>
          <w:color w:val="auto"/>
        </w:rPr>
      </w:pPr>
    </w:p>
    <w:p>
      <w:pPr>
        <w:jc w:val="both"/>
        <w:ind w:left="9"/>
        <w:spacing w:after="0" w:line="260" w:lineRule="auto"/>
        <w:rPr>
          <w:sz w:val="20"/>
          <w:szCs w:val="20"/>
          <w:color w:val="auto"/>
        </w:rPr>
      </w:pPr>
      <w:r>
        <w:rPr>
          <w:rFonts w:ascii="Times New Roman" w:cs="Times New Roman" w:eastAsia="Times New Roman" w:hAnsi="Times New Roman"/>
          <w:sz w:val="15"/>
          <w:szCs w:val="15"/>
          <w:color w:val="auto"/>
        </w:rPr>
        <w:t>The 2018 Bridge Notes were settled as part of the Exchange Agreement. In connection with the Exchange Agreement, the balance of the 2018 Bridge Notes was exchanged for the 12% Notes. In July 2024, the Company issued the principal amount of $8.0 million of its 12% Notes and 1,500,000 shares of the Company’s common stock in exchange for the cancellation of all indebtedness with Kline Hill. At the date of the cancellation, such indebtedness was comprised of the 2018 Notes of $11.7 million, the portion of the Revolving Loan balance assigned to Kline Hill of $3.9 million, and the Secured Credit Facility balance of $13.1 million. The Company concluded that the exchange represented a troubled debt restructuring as the Company was experiencing financial difficulty, and the new terms of the 12% Notes resulted in a concession to the Company. As the carrying amount of the debt exceeded the future undiscounted cash payments under the new terms on the date of the exchange, the Company recorded a gain on the troubled debt restructuring of $9.8 million.</w:t>
      </w:r>
    </w:p>
    <w:p>
      <w:pPr>
        <w:spacing w:after="0" w:line="15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Interest expense recognized on the 2018 Bridge Notes was $0.7 million and $1.2 million, for the fiscal year ended December 29, 2024 and December 31, 2023, respectively.</w:t>
      </w:r>
    </w:p>
    <w:p>
      <w:pPr>
        <w:spacing w:after="0" w:line="3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62" w:right="3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5"/>
          <w:szCs w:val="15"/>
          <w:i w:val="1"/>
          <w:iCs w:val="1"/>
          <w:color w:val="auto"/>
        </w:rPr>
        <w:t>Revolving Loan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October 2020, Solaria entered into a loan agreement (“SCI Loan Agreement”) with Structural Capital Investments III, LP (“SCI”).</w:t>
      </w:r>
    </w:p>
    <w:p>
      <w:pPr>
        <w:spacing w:after="0" w:line="1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SCI Loan Agreement was comprised of two facilities, a term loan (the “Term Loan”) and a revolving loan (the “Revolving Loan”) (together “Original Agreement”) for $5.0 million each with a maturity date of October 31, 2023. The Term Loan was repaid prior to the acquisition of Solaria by Complete Solar.</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Revolving Loan had a term of thirty-six months, with the principal due at the end of the term and an annual interest rate of 7.75% or Prime rate plus 4.5%, whichever was higher. The SCI Loan Agreement required the Company to meet certain financial covenants relating to the maintenance of specified restricted cash balance, achieve specified revenue targets and maintain specified contribution margins (“Financial Covenants”) over the term of the Revolving Loan. The Revolving Loan was collateralized by substantially all assets and property of the Company.</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Solaria had historically issued warrants to purchase shares of Series E-1 redeemable convertible preferred stock of Solaria (“SCI Series E-1 warrants”). The warrants were fully exercisable in whole or in part at any time during the term of the Original agreement. As part of the Business Combination with Complete Solar, all the outstanding SCI Series E-1 warrants were assumed by the parent company, the Company (which at such time had the name Complete Solaria, Inc.).</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October 2023, the Company entered into an Assignment Agreement whereby Structural Capital Investments III, LP assigned the SCI debt to Kline Hill and Rodgers Massey Revocable Living Trust for a total purchase price of $5.0 million. The Company identified this arrangement as a related party transaction, as discussed in Note 23 - Related Party Transactions. A portion of the SCI Revolving Loan was cancelled as part of the Exchange Agreement. In connection with the Exchange Agreement, the principal amount of $3.5 million of the Revolving Loan was exchanged for the 12% Notes. The principal portion of the Revolving Loan owing to the Rodgers Massey Revocable Living Trust of $1.5 million (plus accrued interest) remains outstanding as of December 29, 2024. The outstanding amount is due on demand plus accrued interest.</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Interest expense recognized for the fiscal years ended December 29, 2024 and December 31, 2023, was $0.5 million and $0.5 million, respectively. Related party interest was $0.2 million in the year ended December 29, 2024. There are no financial covenants.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Secured Credit Facility</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December 2022, the Company entered into a secured credit facility agreement with Kline Hill Partners IV SPV LLC and Kline Hill Partners Opportunity IV SPV LLC (“Secured Credit Facility”). The Secured Credit Facility agreement allowed the Company to borrow up to 70% of the net amount of its eligible vendor purchase orders with a maximum amount of $10.0 million at any point in time. The purchase orders were backed by relevant customer sales orders which served as collateral. The amounts drawn under the Secured Credit Facility were eligible to be reborrowed provided that the aggregate borrowing did not exceed $20.0 million. The repayment terms under the Secured Credit Facility were (i) the borrowed amount multiplied by 1.15x if repaid within 75 days and (ii) the borrowed amount multiplied by 1.175x if repaid after 75 days. The Company could have repaid any borrowed amount without premium or penalty. Under the original terms, the Secured Credit Facility agreement was due to mature in April 2023. The Company set the balance outstanding as part of the Exchange Agreement, whereby the balance of $13.1 million of the Secured Credit Facility was exchanged for the 12% Notes.</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Secured Credit Facility outstanding was zero and $12.2 million, including accrued financing cost of $4.5 million as of December 29, 2024 and December 31, 2023, respectively. The Company recognized interest expense of $1.0 million and $3.5 million related to the Secured Credit Facility during the fiscal years ended December 29, 2024 and December 31, 2023,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Polar Settlement Agreement</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September 2023, in connection with the Mergers, the Company entered into a settlement and release agreement with Polar Multi-Strategy Master Fund (“Polar”) for the settlement of a working capital loan that had been made by Polar to the Sponsor, prior to the closing of the Mergers. The settlement agreement required the Company to pay Polar $0.5 million in ten equal monthly installments and did not accrue interest. The balance outstanding was $0.3 million as of December 31, 2023. The remaining balance owed to Polar was paid in full in the fiscal year ended December 29, 2024.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5"/>
          <w:szCs w:val="15"/>
          <w:i w:val="1"/>
          <w:iCs w:val="1"/>
          <w:color w:val="auto"/>
        </w:rPr>
        <w:t>Debt in CS Solis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As part of the Reorganization described in Note 1(a) Organization - Description of Business, the Company received cash and recorded debt for an investment by Carlyle. The investment was made pursuant to a subscription agreement, under which Carlyle contributed $25.6 million in exchange for 100 Class B Membership Units of CS Solis and the Company contributed the net assets of the Company in exchange for 100 Class A Membership Units. The Class B Membership Units were mandatorily redeemable by the Company on the three-year anniversary of the effective date of the CS Solis amended and restated LLC agreement (February 14, 2025). The Class B Membership Units accrued interest that was payable upon redemption at a rate of 10.5% (which was structured as a dividend payable based on 25% of the investment amount measured quarterly), compounded annually, and subject to increases in the event the Company declared any dividends. In connection with the investment by Carlyle, the Company issued to Carlyle a warrant to purchase 5,978,960 shares of the Company’s common stock at a price of $0.01 per share, of which, the purchase of 4,132,513 shares of the Company’s common stock is immediately exercisable. The Company has accounted for the mandatorily redeemable investment from Carlyle in accordance with ASC 480 and recorded the investment as a liability, which was accreted to its redemption value under the effective interest method. The Company recorded the warrants as a discount to the liability.</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July 17 and July 18, 2023, and in connection with obtaining consent for the Mergers, Legacy the Company, FACT and Carlyle entered into an Amended and Restated Consent to the Business Combination Agreement (“Carlyle Debt Modification Agreement”) and an amended and restated warrant agreement (“Carlyle Warrant Amendment”), which modified the terms of the mandatorily redeemable investment made by Carlyle in Legacy Complete Solaria.</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Carlyle Debt Modification Agreement accelerated the redemption date of the investment to March 31, 2024 subsequent to the modification. The acceleration of the redemption date of the investment resulted in the total redemption amount to be 1.3 times the principal at December 31, 2023. The redemption amount increased to 1.4 times the original investment as of March 31, 2024. Additionally, as part of the amendment, the parties entered into an amended and restated warrant agreement. As part of the Carlyle Warrant Amendment, the Company issued Carlyle a warrant to purchase up to 2,745,879 shares of Company Common Stock at a price per share of $0.01, which is inclusive of the outstanding warrant to purchase 1,995,879 shares at the time of modification. The warrant, which expires on July 18, 2030, provides Carlyle with the right to purchase shares of Company Common Stock based on (a) the greater of (i) 1,995,879 shares and (ii) the number of shares equal to 2.795% of the Company’s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Company Common Stock at a price of $0.01 per share. The warrants are classified as liabilities under ASC 815 and are recorded within warrant liability on the Company’s consolidated statements of operations and comprehensive loss.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accounted for the modification of the long-term debt due CS Solis as a debt extinguishment in accordance with ASC 480 and ASC 470. As a result of the extinguishment, the Company recorded a loss on extinguishment, of $10.3 million, which is recorded within other income (expense), net in the consolidated statements of operations and comprehensive loss in the fiscal year ended December 31, 2023. The Company had a liability of $33.3 million in short-term debt due CS Solis on the consolidated balance sheet as of December 31, 2023. The Company recorded accretion of the liability as interest expense of $7.2 million for the fiscal year ended December 31, 2023, and made payments of interest expense of $0.6 million during the fiscal year ended December 31, 2023 Prior to the modification, during the fiscal years ended December 31, 2023 the Company recorded amortization of issuance costs as interest expense of $0.7 million.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 determined that the Carlyle was a related party beginning in 2024. In July 2024, the Company issued $10.0 million of senior unsecured convertible notes in exchange for the cancellation of all indebtedness with CS Solis of $37.2 million. The Company concluded that the exchange represented a troubled debt restructuring as the Company was experiencing financial difficulty, and the new terms under the convertible notes resulted in a concession to the Company. As the carrying amount of the debt exceeded the future undiscounted cash payments under the new terms on the date of the exchange, the Company recorded a gain on the troubled debt restructuring of $12.5 million. The convertible notes have the same terms and conditions as the other convertible notes issued in July 2024 described above.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215" w:name="page216"/>
    <w:bookmarkEnd w:id="215"/>
    <w:p>
      <w:pPr>
        <w:jc w:val="both"/>
        <w:spacing w:after="0" w:line="287" w:lineRule="auto"/>
        <w:rPr>
          <w:sz w:val="20"/>
          <w:szCs w:val="20"/>
          <w:color w:val="auto"/>
        </w:rPr>
      </w:pPr>
      <w:r>
        <w:rPr>
          <w:rFonts w:ascii="Times New Roman" w:cs="Times New Roman" w:eastAsia="Times New Roman" w:hAnsi="Times New Roman"/>
          <w:sz w:val="15"/>
          <w:szCs w:val="15"/>
          <w:color w:val="auto"/>
        </w:rPr>
        <w:t>For the fiscal years ended December 29, 2024 and December 31, 2023, the Company recorded accretion of the liability as interest expense of $3.9 million and $2.7 million, respectively, and made no payments of interest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fiscal years ended December 29, 2024 and December 31, 2023, the Company recorded amortization of issuance costs as interest expense of zero and $0.7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2022 Convertible Notes</w:t>
      </w:r>
    </w:p>
    <w:p>
      <w:pPr>
        <w:spacing w:after="0" w:line="196" w:lineRule="exact"/>
        <w:rPr>
          <w:sz w:val="20"/>
          <w:szCs w:val="20"/>
          <w:color w:val="auto"/>
        </w:rPr>
      </w:pPr>
    </w:p>
    <w:p>
      <w:pPr>
        <w:jc w:val="both"/>
        <w:ind w:firstLine="3"/>
        <w:spacing w:after="0" w:line="257" w:lineRule="auto"/>
        <w:rPr>
          <w:sz w:val="20"/>
          <w:szCs w:val="20"/>
          <w:color w:val="auto"/>
        </w:rPr>
      </w:pPr>
      <w:r>
        <w:rPr>
          <w:rFonts w:ascii="Times New Roman" w:cs="Times New Roman" w:eastAsia="Times New Roman" w:hAnsi="Times New Roman"/>
          <w:sz w:val="15"/>
          <w:szCs w:val="15"/>
          <w:color w:val="auto"/>
        </w:rPr>
        <w:t>In connection with the Original Business Combination Agreement, the Company raised a series of convertible notes (“2022 Convertible Notes”) during the fiscal year ended December 31, 2022 with an aggregate purchase price of $12.0 million, and during the fiscal year ended December 31, 2023 for an additional total purchase price of $21.3 million. Of the $33.3 million 2022 Convertible Notes issued, $12.1 million was issued to five related parties. Additionally, as part of the acquisition of Solaria, the Company assumed a note from an existing investor for its fair value of $6.7 million. The note contained the same terms as the other 2022 Convertible Notes. The Company did not incur significant issuance costs associated with the 2022 Convertible Notes. The 2022 Convertible Notes accrued interest at a rate of 5% per annum. Immediately prior to the closing of the Mergers, the 2022 Convertible Notes were converted into the number of shares of common stock of the Company equal to (x) the principal amount together with all accrued interest of the 2022 Convertible Notes divided by 0.75, divided by (y) the price of a share of common stock of the Company used to determine the conversion ratio in the Amended and Restated Business Combination Agreement. This resulted in the issuance of 5,316,460 shares of Company common stock to the noteholders and no debt remains outstanding associated with the 2022 Convertible Notes as of December 31, 2023.</w:t>
      </w:r>
    </w:p>
    <w:p>
      <w:pPr>
        <w:spacing w:after="0" w:line="343" w:lineRule="exact"/>
        <w:rPr>
          <w:sz w:val="20"/>
          <w:szCs w:val="20"/>
          <w:color w:val="auto"/>
        </w:rPr>
      </w:pPr>
    </w:p>
    <w:p>
      <w:pPr>
        <w:jc w:val="both"/>
        <w:ind w:firstLine="3"/>
        <w:spacing w:after="0" w:line="287" w:lineRule="auto"/>
        <w:rPr>
          <w:sz w:val="20"/>
          <w:szCs w:val="20"/>
          <w:color w:val="auto"/>
        </w:rPr>
      </w:pPr>
      <w:r>
        <w:rPr>
          <w:rFonts w:ascii="Times New Roman" w:cs="Times New Roman" w:eastAsia="Times New Roman" w:hAnsi="Times New Roman"/>
          <w:sz w:val="15"/>
          <w:szCs w:val="15"/>
          <w:color w:val="auto"/>
        </w:rPr>
        <w:t>The Company recognized interest expense of $0.7 million related to the 2022 Convertible Notes during the fiscal year ended December 31, 2023. Of this interest expense, $0.4 million was with related parties.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(16) SAFE Agreements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First SAFE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On January 31, 2024, the Company entered into a Simple Agreement for Future Equity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spacing w:after="0" w:line="1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On April 21, 2024, the Company entered into an amendment (“First SAFE Amendment”) that converted the First SAFE investment of $1.5 million into 4,166,667 shares of the Company’s common stock based on a conversion price of $0.36 per share, defined in the First SAFE Amendment as the product of (i) $0.45, the closing price of the Company’s common stock on April 19, 2024, multiplied by (ii) 80%. Upon conversion, the Company recorded a debit to SAFE Agreement of $1.5 million, a credit to Additional paid-in-capital of $1.9 million and recognized expense of $0.4 million within Other income (expense), net in its consolidated statement of operations for the fiscal year ended December 29, 2024.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5"/>
          <w:szCs w:val="15"/>
          <w:i w:val="1"/>
          <w:iCs w:val="1"/>
          <w:color w:val="auto"/>
        </w:rPr>
        <w:t>Second SAFE</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at a per share conversion price which was equal to the lower of (i) the Second SAFE Price, and (ii) 80% of the price per share of the Company’s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(ii) 80%.</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On April 21, 2024, the Company entered into an amendment (“Second SAFE Amendment”) that converted the Second SAFE investment of $3.5 million into 9,722,222 shares of the Company’s common stock based on a conversion price of $0.36 per share, defined in the Second SAFE Amendment as the product of (i) $0.45, the closing price of the Company’s common stock on April 19, 2024, multiplied by (ii) 80%. Upon conversion, the Company recorded a debit to SAFE Agreement of $3.5 million, a credit to Additional paid-in-capital of $4.4 million and recognized expense of $0.9 million within Other income (expense), net in its consolidated statement of operations for the fiscal year ended December 29,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Third SAFE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29, 2024, the Company estimated the fair value of the Third SAFE at $0.4 million based upon the assumptions disclosed in Note 5 - Fair Value Measurements.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(17) Stock-Based Compensation</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Company Common Stock may be issued under the 2023 Plan. In addition, the number of shares of Company Common Stock reserved for issuance under the 2023 Plan will automatically increase on January 1 of each year, starting on January 1, 2024 and ending on January 1, 2033, in an amount equal to the lesser of (1) 4% of the total number of shares of the Company’s Common Stock outstanding on December 31 of the preceding year, or (2) a lesser number of shares of Company Common Stock determined by the Company’s Board prior to the date of the increase. The maximum number of shares of Company Common Stock that may be issued on the exercise of incentive stock options (“ISOs”) under the 2023 Plan is three times the number of shares available for issuance upon the 2023 Plan becoming effective (or 26,289,966 shares).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217" w:name="page218"/>
    <w:bookmarkEnd w:id="217"/>
    <w:p>
      <w:pPr>
        <w:jc w:val="both"/>
        <w:spacing w:after="0" w:line="270" w:lineRule="auto"/>
        <w:rPr>
          <w:sz w:val="20"/>
          <w:szCs w:val="20"/>
          <w:color w:val="auto"/>
        </w:rPr>
      </w:pPr>
      <w:r>
        <w:rPr>
          <w:rFonts w:ascii="Times New Roman" w:cs="Times New Roman" w:eastAsia="Times New Roman" w:hAnsi="Times New Roman"/>
          <w:sz w:val="15"/>
          <w:szCs w:val="15"/>
          <w:color w:val="auto"/>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2023 Incentive Equity Plan of the Company (“2023 Plan”), “the Plans”).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29, 2024 are also generally recognized under the cliff vesting schedule that is recognized equally over the vesting period of five years.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The information below summarizes the stock option activity under the Plans.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4"/>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ind w:left="188"/>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8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ind w:left="188"/>
              <w:spacing w:after="0"/>
              <w:rPr>
                <w:sz w:val="20"/>
                <w:szCs w:val="20"/>
                <w:color w:val="auto"/>
              </w:rPr>
            </w:pPr>
            <w:r>
              <w:rPr>
                <w:rFonts w:ascii="Times New Roman" w:cs="Times New Roman" w:eastAsia="Times New Roman" w:hAnsi="Times New Roman"/>
                <w:sz w:val="15"/>
                <w:szCs w:val="15"/>
                <w:b w:val="1"/>
                <w:bCs w:val="1"/>
                <w:color w:val="auto"/>
              </w:rPr>
              <w:t>Exercise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Contractual</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Intrinsic</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860" w:type="dxa"/>
            <w:vAlign w:val="bottom"/>
          </w:tcPr>
          <w:p>
            <w:pPr>
              <w:jc w:val="center"/>
              <w:ind w:left="188"/>
              <w:spacing w:after="0"/>
              <w:rPr>
                <w:sz w:val="20"/>
                <w:szCs w:val="20"/>
                <w:color w:val="auto"/>
              </w:rPr>
            </w:pPr>
            <w:r>
              <w:rPr>
                <w:rFonts w:ascii="Times New Roman" w:cs="Times New Roman" w:eastAsia="Times New Roman" w:hAnsi="Times New Roman"/>
                <w:sz w:val="15"/>
                <w:szCs w:val="15"/>
                <w:b w:val="1"/>
                <w:bCs w:val="1"/>
                <w:color w:val="auto"/>
              </w:rPr>
              <w:t>Price per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60" w:type="dxa"/>
            <w:vAlign w:val="bottom"/>
          </w:tcPr>
          <w:p>
            <w:pPr>
              <w:jc w:val="center"/>
              <w:ind w:left="188"/>
              <w:spacing w:after="0"/>
              <w:rPr>
                <w:sz w:val="20"/>
                <w:szCs w:val="20"/>
                <w:color w:val="auto"/>
              </w:rPr>
            </w:pPr>
            <w:r>
              <w:rPr>
                <w:rFonts w:ascii="Times New Roman" w:cs="Times New Roman" w:eastAsia="Times New Roman" w:hAnsi="Times New Roman"/>
                <w:sz w:val="15"/>
                <w:szCs w:val="15"/>
                <w:b w:val="1"/>
                <w:bCs w:val="1"/>
                <w:color w:val="auto"/>
                <w:w w:val="95"/>
              </w:rPr>
              <w:t>Share</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6"/>
              </w:rPr>
              <w:t>(Years)</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182"/>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11,716,646</w:t>
            </w:r>
          </w:p>
        </w:tc>
        <w:tc>
          <w:tcPr>
            <w:tcW w:w="2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1"/>
              </w:rPr>
              <w:t>3.48</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6,121,251</w:t>
            </w:r>
          </w:p>
        </w:tc>
        <w:tc>
          <w:tcPr>
            <w:tcW w:w="8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0.93</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exercised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(398,883)</w:t>
            </w:r>
          </w:p>
        </w:tc>
        <w:tc>
          <w:tcPr>
            <w:tcW w:w="8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0.77</w:t>
            </w:r>
          </w:p>
        </w:tc>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Options canceled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(7,441,781)</w:t>
            </w:r>
          </w:p>
        </w:tc>
        <w:tc>
          <w:tcPr>
            <w:tcW w:w="86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0.17</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Outstanding-December 29,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9,997,233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2.77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CCEEFF"/>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6,356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Vested and expected to vest- December 29, 2024</w:t>
            </w:r>
          </w:p>
        </w:tc>
        <w:tc>
          <w:tcPr>
            <w:tcW w:w="1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2.77</w:t>
            </w:r>
          </w:p>
        </w:tc>
        <w:tc>
          <w:tcPr>
            <w:tcW w:w="20" w:type="dxa"/>
            <w:vAlign w:val="bottom"/>
            <w:vMerge w:val="restart"/>
          </w:tcPr>
          <w:p>
            <w:pPr>
              <w:spacing w:after="0" w:line="20" w:lineRule="exact"/>
              <w:rPr>
                <w:sz w:val="1"/>
                <w:szCs w:val="1"/>
                <w:color w:val="auto"/>
              </w:rPr>
            </w:pPr>
          </w:p>
        </w:tc>
        <w:tc>
          <w:tcPr>
            <w:tcW w:w="13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5.29</w:t>
            </w:r>
          </w:p>
        </w:tc>
        <w:tc>
          <w:tcPr>
            <w:tcW w:w="80" w:type="dxa"/>
            <w:vAlign w:val="bottom"/>
          </w:tcPr>
          <w:p>
            <w:pPr>
              <w:spacing w:after="0" w:line="20" w:lineRule="exact"/>
              <w:rPr>
                <w:sz w:val="1"/>
                <w:szCs w:val="1"/>
                <w:color w:val="auto"/>
              </w:rPr>
            </w:pP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6,356</w:t>
            </w:r>
          </w:p>
        </w:tc>
        <w:tc>
          <w:tcPr>
            <w:tcW w:w="0" w:type="dxa"/>
            <w:vAlign w:val="bottom"/>
          </w:tcPr>
          <w:p>
            <w:pPr>
              <w:spacing w:after="0" w:line="20" w:lineRule="exact"/>
              <w:rPr>
                <w:sz w:val="1"/>
                <w:szCs w:val="1"/>
                <w:color w:val="auto"/>
              </w:rPr>
            </w:pPr>
          </w:p>
        </w:tc>
      </w:tr>
      <w:tr>
        <w:trPr>
          <w:trHeight w:val="219"/>
        </w:trPr>
        <w:tc>
          <w:tcPr>
            <w:tcW w:w="5960" w:type="dxa"/>
            <w:vAlign w:val="bottom"/>
            <w:tcBorders>
              <w:bottom w:val="single" w:sz="8" w:color="CCEEFF"/>
            </w:tcBorders>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9,997,233</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1340" w:type="dxa"/>
            <w:vAlign w:val="bottom"/>
            <w:tcBorders>
              <w:bottom w:val="single" w:sz="8" w:color="CCEEFF"/>
            </w:tcBorders>
            <w:gridSpan w:val="3"/>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960" w:type="dxa"/>
            <w:vAlign w:val="bottom"/>
            <w:tcBorders>
              <w:bottom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Vested and exercisable- December 29,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4,264,705</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3.54</w:t>
            </w:r>
          </w:p>
        </w:tc>
        <w:tc>
          <w:tcPr>
            <w:tcW w:w="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200"/>
              <w:spacing w:after="0" w:line="166" w:lineRule="exact"/>
              <w:rPr>
                <w:sz w:val="20"/>
                <w:szCs w:val="20"/>
                <w:color w:val="auto"/>
              </w:rPr>
            </w:pPr>
            <w:r>
              <w:rPr>
                <w:rFonts w:ascii="Times New Roman" w:cs="Times New Roman" w:eastAsia="Times New Roman" w:hAnsi="Times New Roman"/>
                <w:sz w:val="15"/>
                <w:szCs w:val="15"/>
                <w:color w:val="auto"/>
              </w:rPr>
              <w:t>3.75</w:t>
            </w: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00"/>
              <w:spacing w:after="0" w:line="166" w:lineRule="exact"/>
              <w:rPr>
                <w:sz w:val="20"/>
                <w:szCs w:val="20"/>
                <w:color w:val="auto"/>
              </w:rPr>
            </w:pPr>
            <w:r>
              <w:rPr>
                <w:rFonts w:ascii="Times New Roman" w:cs="Times New Roman" w:eastAsia="Times New Roman" w:hAnsi="Times New Roman"/>
                <w:sz w:val="15"/>
                <w:szCs w:val="15"/>
                <w:color w:val="auto"/>
              </w:rPr>
              <w:t>1,857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The information below summarizes the RSU activity.</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0" w:type="dxa"/>
            <w:vAlign w:val="bottom"/>
          </w:tcPr>
          <w:p>
            <w:pPr>
              <w:spacing w:after="0"/>
              <w:rPr>
                <w:sz w:val="1"/>
                <w:szCs w:val="1"/>
                <w:color w:val="auto"/>
              </w:rPr>
            </w:pPr>
          </w:p>
        </w:tc>
      </w:tr>
      <w:tr>
        <w:trPr>
          <w:trHeight w:val="182"/>
        </w:trPr>
        <w:tc>
          <w:tcPr>
            <w:tcW w:w="5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3"/>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RSUs</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0" w:type="dxa"/>
            <w:vAlign w:val="bottom"/>
          </w:tcPr>
          <w:p>
            <w:pPr>
              <w:spacing w:after="0"/>
              <w:rPr>
                <w:sz w:val="1"/>
                <w:szCs w:val="1"/>
                <w:color w:val="auto"/>
              </w:rPr>
            </w:pPr>
          </w:p>
        </w:tc>
      </w:tr>
      <w:tr>
        <w:trPr>
          <w:trHeight w:val="182"/>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at December 31, 2023</w:t>
            </w:r>
          </w:p>
        </w:tc>
        <w:tc>
          <w:tcPr>
            <w:tcW w:w="1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58,097</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2,593,097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1.78</w:t>
            </w: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 and released</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(669,059)</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1.73</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5"/>
                <w:szCs w:val="15"/>
                <w:color w:val="auto"/>
              </w:rPr>
              <w:t>Cancelled or forfeited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at December 29, 2024</w:t>
            </w: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1,982,135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aggregate fair value of the Company’s stock options vested during 2024 and 2023 was $1.9 million and $3.8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Determination of Fair Value</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estimated the grant-date fair value of stock options using the Black-Scholes-Merton option-pricing model. The determination of the fair value of each stock award using this option-pricing model is affected by the Company’s assumptions regarding a number of complex and subjective variables. These variables include, but are not limited to, the expected stock price volatility over the term of the awards. Stock-based compensation is measured at the grant date based on the fair value of the award and is recognized as expense on a straight-line basis over the requisite service period, which is generally the vesting period of the respective award.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97"/>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assumptions were used to calculate the fair value of stock-based compensation:</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78"/>
        </w:trPr>
        <w:tc>
          <w:tcPr>
            <w:tcW w:w="8580" w:type="dxa"/>
            <w:vAlign w:val="bottom"/>
          </w:tcPr>
          <w:p>
            <w:pPr>
              <w:spacing w:after="0"/>
              <w:rPr>
                <w:sz w:val="24"/>
                <w:szCs w:val="24"/>
                <w:color w:val="auto"/>
              </w:rPr>
            </w:pPr>
          </w:p>
        </w:tc>
        <w:tc>
          <w:tcPr>
            <w:tcW w:w="2680" w:type="dxa"/>
            <w:vAlign w:val="bottom"/>
            <w:gridSpan w:val="4"/>
          </w:tcPr>
          <w:p>
            <w:pPr>
              <w:jc w:val="right"/>
              <w:ind w:right="840"/>
              <w:spacing w:after="0"/>
              <w:rPr>
                <w:sz w:val="20"/>
                <w:szCs w:val="20"/>
                <w:color w:val="auto"/>
              </w:rPr>
            </w:pPr>
            <w:r>
              <w:rPr>
                <w:rFonts w:ascii="Times New Roman" w:cs="Times New Roman" w:eastAsia="Times New Roman" w:hAnsi="Times New Roman"/>
                <w:sz w:val="15"/>
                <w:szCs w:val="15"/>
                <w:b w:val="1"/>
                <w:bCs w:val="1"/>
                <w:color w:val="auto"/>
              </w:rPr>
              <w:t>Fiscal Year Ended</w:t>
            </w:r>
          </w:p>
        </w:tc>
      </w:tr>
      <w:tr>
        <w:trPr>
          <w:trHeight w:val="175"/>
        </w:trPr>
        <w:tc>
          <w:tcPr>
            <w:tcW w:w="8580" w:type="dxa"/>
            <w:vAlign w:val="bottom"/>
          </w:tcPr>
          <w:p>
            <w:pPr>
              <w:spacing w:after="0"/>
              <w:rPr>
                <w:sz w:val="15"/>
                <w:szCs w:val="15"/>
                <w:color w:val="auto"/>
              </w:rPr>
            </w:pPr>
          </w:p>
        </w:tc>
        <w:tc>
          <w:tcPr>
            <w:tcW w:w="14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1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80" w:type="dxa"/>
            <w:vAlign w:val="bottom"/>
          </w:tcPr>
          <w:p>
            <w:pPr>
              <w:spacing w:after="0"/>
              <w:rPr>
                <w:sz w:val="15"/>
                <w:szCs w:val="15"/>
                <w:color w:val="auto"/>
              </w:rPr>
            </w:pPr>
          </w:p>
        </w:tc>
      </w:tr>
      <w:tr>
        <w:trPr>
          <w:trHeight w:val="203"/>
        </w:trPr>
        <w:tc>
          <w:tcPr>
            <w:tcW w:w="85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bottom w:val="single" w:sz="8" w:color="CCEEFF"/>
            </w:tcBorders>
          </w:tcPr>
          <w:p>
            <w:pPr>
              <w:spacing w:after="0"/>
              <w:rPr>
                <w:sz w:val="17"/>
                <w:szCs w:val="17"/>
                <w:color w:val="auto"/>
              </w:rPr>
            </w:pPr>
          </w:p>
        </w:tc>
      </w:tr>
      <w:tr>
        <w:trPr>
          <w:trHeight w:val="182"/>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 (in years)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5.00 - 6.32</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5.50 - 6.32</w:t>
            </w:r>
          </w:p>
        </w:tc>
        <w:tc>
          <w:tcPr>
            <w:tcW w:w="180" w:type="dxa"/>
            <w:vAlign w:val="bottom"/>
            <w:shd w:val="clear" w:color="auto" w:fill="CCEEFF"/>
          </w:tcPr>
          <w:p>
            <w:pPr>
              <w:spacing w:after="0"/>
              <w:rPr>
                <w:sz w:val="15"/>
                <w:szCs w:val="15"/>
                <w:color w:val="auto"/>
              </w:rPr>
            </w:pPr>
          </w:p>
        </w:tc>
      </w:tr>
      <w:tr>
        <w:trPr>
          <w:trHeight w:val="182"/>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58.45% - 62.39%</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77.0%</w:t>
            </w:r>
          </w:p>
        </w:tc>
      </w:tr>
      <w:tr>
        <w:trPr>
          <w:trHeight w:val="182"/>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3.81% - 4.71%</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1.7% - 4.7%</w:t>
            </w:r>
          </w:p>
        </w:tc>
      </w:tr>
      <w:tr>
        <w:trPr>
          <w:trHeight w:val="197"/>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Expected dividends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0.0%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0.0%</w:t>
            </w:r>
          </w:p>
        </w:tc>
      </w:tr>
    </w:tbl>
    <w:p>
      <w:pPr>
        <w:spacing w:after="0" w:line="1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i w:val="1"/>
          <w:iCs w:val="1"/>
          <w:color w:val="auto"/>
        </w:rPr>
        <w:t xml:space="preserve">Expected term </w:t>
      </w:r>
      <w:r>
        <w:rPr>
          <w:rFonts w:ascii="Times New Roman" w:cs="Times New Roman" w:eastAsia="Times New Roman" w:hAnsi="Times New Roman"/>
          <w:sz w:val="15"/>
          <w:szCs w:val="15"/>
          <w:color w:val="auto"/>
        </w:rPr>
        <w:t>- The Company uses the simplified method to calculate the expected term of stock option grants to employees as the Company does not have sufficient comparable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historical exercise data to provide a reasonable basis upon which to estimate the expected term of stock options granted to employees. The expected term equals the arithmetic average of the vesting term and the original contractual term of the option (generally 10 years).</w:t>
      </w:r>
    </w:p>
    <w:p>
      <w:pPr>
        <w:spacing w:after="0" w:line="1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i w:val="1"/>
          <w:iCs w:val="1"/>
          <w:color w:val="auto"/>
        </w:rPr>
        <w:t xml:space="preserve">Expected volatility </w:t>
      </w:r>
      <w:r>
        <w:rPr>
          <w:rFonts w:ascii="Times New Roman" w:cs="Times New Roman" w:eastAsia="Times New Roman" w:hAnsi="Times New Roman"/>
          <w:sz w:val="15"/>
          <w:szCs w:val="15"/>
          <w:color w:val="auto"/>
        </w:rPr>
        <w:t>- Due to the Company’s limited operating history and a lack of company specific historical and implied volatility data, the Company has based its estimate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expected volatility on the historical volatility of a group of peer companies that are publicly traded. The historical volatility data was computed using the daily closing prices for the selected companies’ shares during the equivalent period of the calculated expected term of the stock-based awards.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Risk-free interest rate </w:t>
      </w:r>
      <w:r>
        <w:rPr>
          <w:rFonts w:ascii="Times New Roman" w:cs="Times New Roman" w:eastAsia="Times New Roman" w:hAnsi="Times New Roman"/>
          <w:sz w:val="15"/>
          <w:szCs w:val="15"/>
          <w:color w:val="auto"/>
        </w:rPr>
        <w:t>- The risk-free rate assumption is based on U.S. Treasury instruments with maturities similar to the expected term of the Company’s stock options.</w:t>
      </w:r>
    </w:p>
    <w:p>
      <w:pPr>
        <w:spacing w:after="0" w:line="192"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i w:val="1"/>
          <w:iCs w:val="1"/>
          <w:color w:val="auto"/>
        </w:rPr>
        <w:t xml:space="preserve">Expected dividends </w:t>
      </w:r>
      <w:r>
        <w:rPr>
          <w:rFonts w:ascii="Times New Roman" w:cs="Times New Roman" w:eastAsia="Times New Roman" w:hAnsi="Times New Roman"/>
          <w:sz w:val="15"/>
          <w:szCs w:val="15"/>
          <w:color w:val="auto"/>
        </w:rPr>
        <w:t>- The Company has not issued any dividends in its history and does not expect to issue dividends over the life of the options and therefore has estimated the dividend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yield to be zero.</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Fair value of common stock </w:t>
      </w:r>
      <w:r>
        <w:rPr>
          <w:rFonts w:ascii="Times New Roman" w:cs="Times New Roman" w:eastAsia="Times New Roman" w:hAnsi="Times New Roman"/>
          <w:sz w:val="15"/>
          <w:szCs w:val="15"/>
          <w:color w:val="auto"/>
        </w:rPr>
        <w:t>- Prior to the Mergers, fair value of the shares of common stock underlying the stock-based awards has historically been determined by the Board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Directors, with input from management. Because there has been no public market for the Company’s common stock prior to the Mergers, the Board of Directors has determined the fair value of the common stock on the grant-date of the stock-based award by considering a number of objective and subjective factors. Such factors include a valuation of the Company’s common stock performed by an unrelated third-party specialist, valuations of comparable companies, sales of the Company’s redeemable convertible preferred stock to unrelated third-parties, operating and financial performance, the lack of liquidity of the Company’s capital stock, as well as general and industry-specific economic outlooks. For financial reporting purposes, the Company considers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w:t>
      </w:r>
    </w:p>
    <w:p>
      <w:pPr>
        <w:spacing w:after="0" w:line="15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Subsequent to the Mergers, the fair value of the shares of common stock underlying the stock-based awards is based on the price of the Company’s common stock in the open market on the date of the grant.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following table summarizes stock-based compensation expense and its allocation within the accompanying consolidated statements of operations and comprehensive loss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ind w:left="540"/>
              <w:spacing w:after="0"/>
              <w:rPr>
                <w:sz w:val="20"/>
                <w:szCs w:val="20"/>
                <w:color w:val="auto"/>
              </w:rPr>
            </w:pPr>
            <w:r>
              <w:rPr>
                <w:rFonts w:ascii="Times New Roman" w:cs="Times New Roman" w:eastAsia="Times New Roman" w:hAnsi="Times New Roman"/>
                <w:sz w:val="15"/>
                <w:szCs w:val="15"/>
                <w:b w:val="1"/>
                <w:bCs w:val="1"/>
                <w:color w:val="auto"/>
              </w:rPr>
              <w:t>Fiscal Year Ended</w:t>
            </w:r>
          </w:p>
        </w:tc>
      </w:tr>
      <w:tr>
        <w:trPr>
          <w:trHeight w:val="175"/>
        </w:trPr>
        <w:tc>
          <w:tcPr>
            <w:tcW w:w="4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r>
      <w:tr>
        <w:trPr>
          <w:trHeight w:val="203"/>
        </w:trPr>
        <w:tc>
          <w:tcPr>
            <w:tcW w:w="4120" w:type="dxa"/>
            <w:vAlign w:val="bottom"/>
            <w:tcBorders>
              <w:bottom w:val="single" w:sz="8" w:color="CCEEFF"/>
            </w:tcBorders>
          </w:tcPr>
          <w:p>
            <w:pPr>
              <w:spacing w:after="0"/>
              <w:rPr>
                <w:sz w:val="17"/>
                <w:szCs w:val="17"/>
                <w:color w:val="auto"/>
              </w:rPr>
            </w:pPr>
          </w:p>
        </w:tc>
        <w:tc>
          <w:tcPr>
            <w:tcW w:w="45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45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shd w:val="clear" w:color="auto" w:fill="CCEEFF"/>
          </w:tcPr>
          <w:p>
            <w:pPr>
              <w:spacing w:after="0"/>
              <w:rPr>
                <w:sz w:val="15"/>
                <w:szCs w:val="15"/>
                <w:color w:val="auto"/>
              </w:rPr>
            </w:pPr>
          </w:p>
        </w:tc>
      </w:tr>
      <w:tr>
        <w:trPr>
          <w:trHeight w:val="182"/>
        </w:trPr>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rPr>
              <w:t>Sales and marketing</w:t>
            </w: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598</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487</w:t>
            </w:r>
          </w:p>
        </w:tc>
      </w:tr>
      <w:tr>
        <w:trPr>
          <w:trHeight w:val="18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4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2,312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2,252</w:t>
            </w:r>
          </w:p>
        </w:tc>
      </w:tr>
      <w:tr>
        <w:trPr>
          <w:trHeight w:val="196"/>
        </w:trPr>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rPr>
              <w:t>Loss from discontinued operations, net of tax</w:t>
            </w:r>
          </w:p>
        </w:tc>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2,376</w:t>
            </w:r>
          </w:p>
        </w:tc>
      </w:tr>
      <w:tr>
        <w:trPr>
          <w:trHeight w:val="185"/>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stock-based compensation expense</w:t>
            </w:r>
          </w:p>
        </w:tc>
        <w:tc>
          <w:tcPr>
            <w:tcW w:w="45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3"/>
        </w:trPr>
        <w:tc>
          <w:tcPr>
            <w:tcW w:w="41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2"/>
          </w:tcPr>
          <w:p>
            <w:pPr>
              <w:jc w:val="right"/>
              <w:ind w:right="2966"/>
              <w:spacing w:after="0"/>
              <w:rPr>
                <w:sz w:val="20"/>
                <w:szCs w:val="20"/>
                <w:color w:val="auto"/>
              </w:rPr>
            </w:pPr>
            <w:r>
              <w:rPr>
                <w:rFonts w:ascii="Times New Roman" w:cs="Times New Roman" w:eastAsia="Times New Roman" w:hAnsi="Times New Roman"/>
                <w:sz w:val="15"/>
                <w:szCs w:val="15"/>
                <w:color w:val="auto"/>
              </w:rPr>
              <w:t>F-83</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63" w:right="3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5"/>
          <w:szCs w:val="15"/>
          <w:color w:val="auto"/>
        </w:rPr>
        <w:t>As of December 29, 2024, there was a total of $15.1 million and $4.2 million unrecognized stock-based compensation costs related to service-based options and RSUs,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Such compensation cost is expected to be recognized over a weighted-average period of approximately 2.2 years and 4.7 years, respectively.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2024 and 2023, the Company’s board of directors approved the modification to accelerate the vesting of 788,192 and 52,167 options, respectively, for employees that were terminated. Additionally, the board of directors approved an extension of the post termination exercise period for 4,343,172 and 280,412 vested options of terminated employees in the years ended December 29, 2024, and December 31, 2023, respectively. In connection with the modifications, the Company recorded incremental stock-based compensation expense of $0.7 million and $0.1 million in the fiscal years ended December 29, 2024, and December 31, 2023,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(18) Employee Stock Purchase Plan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adopted the Employee Stock Purchase Plan (the “ESPP Plan”) in connection with the consummation of the Mergers in July 2023. All qualified employees may voluntarily enroll to purchase the Company’s common stock through payroll deductions at a price equal to 85% of the lower of the fair market values of the stock of the offering periods or the applicable purchase date. As of December 29, 2024, 2,628,996 shares were reserved for future issuance under the ESPP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(19) Commitments and Contingencies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 leases its facilities under non-cancelable operating lease agreements. The Company leases vehicles under finance lease agreements. Operating and financing lease activity for the fiscal years ended December 29, 2024 and 2023 is as follows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5"/>
                <w:szCs w:val="15"/>
                <w:b w:val="1"/>
                <w:bCs w:val="1"/>
                <w:color w:val="auto"/>
              </w:rPr>
              <w:t>Fiscal Year Ended</w:t>
            </w:r>
          </w:p>
        </w:tc>
      </w:tr>
      <w:tr>
        <w:trPr>
          <w:trHeight w:val="175"/>
        </w:trPr>
        <w:tc>
          <w:tcPr>
            <w:tcW w:w="48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40" w:type="dxa"/>
            <w:vAlign w:val="bottom"/>
          </w:tcPr>
          <w:p>
            <w:pPr>
              <w:spacing w:after="0"/>
              <w:rPr>
                <w:sz w:val="15"/>
                <w:szCs w:val="15"/>
                <w:color w:val="auto"/>
              </w:rPr>
            </w:pPr>
          </w:p>
        </w:tc>
      </w:tr>
      <w:tr>
        <w:trPr>
          <w:trHeight w:val="203"/>
        </w:trPr>
        <w:tc>
          <w:tcPr>
            <w:tcW w:w="48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Pr>
          <w:p>
            <w:pPr>
              <w:spacing w:after="0"/>
              <w:rPr>
                <w:sz w:val="17"/>
                <w:szCs w:val="17"/>
                <w:color w:val="auto"/>
              </w:rPr>
            </w:pPr>
          </w:p>
        </w:tc>
      </w:tr>
      <w:tr>
        <w:trPr>
          <w:trHeight w:val="167"/>
        </w:trPr>
        <w:tc>
          <w:tcPr>
            <w:tcW w:w="486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Lease cost</w:t>
            </w:r>
          </w:p>
        </w:tc>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7"/>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cost:</w:t>
            </w:r>
          </w:p>
        </w:tc>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right-of-use assets</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r>
      <w:tr>
        <w:trPr>
          <w:trHeight w:val="19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38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7"/>
                <w:szCs w:val="17"/>
                <w:color w:val="auto"/>
              </w:rPr>
            </w:pPr>
          </w:p>
        </w:tc>
      </w:tr>
      <w:tr>
        <w:trPr>
          <w:trHeight w:val="182"/>
        </w:trPr>
        <w:tc>
          <w:tcPr>
            <w:tcW w:w="486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r>
      <w:tr>
        <w:trPr>
          <w:trHeight w:val="182"/>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cost</w:t>
            </w: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1,380</w:t>
            </w:r>
          </w:p>
        </w:tc>
        <w:tc>
          <w:tcPr>
            <w:tcW w:w="140" w:type="dxa"/>
            <w:vAlign w:val="bottom"/>
          </w:tcPr>
          <w:p>
            <w:pPr>
              <w:spacing w:after="0"/>
              <w:rPr>
                <w:sz w:val="15"/>
                <w:szCs w:val="15"/>
                <w:color w:val="auto"/>
              </w:rPr>
            </w:pPr>
          </w:p>
        </w:tc>
      </w:tr>
      <w:tr>
        <w:trPr>
          <w:trHeight w:val="21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Variable lease cost</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342</w:t>
            </w:r>
          </w:p>
        </w:tc>
      </w:tr>
      <w:tr>
        <w:trPr>
          <w:trHeight w:val="208"/>
        </w:trPr>
        <w:tc>
          <w:tcPr>
            <w:tcW w:w="48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lease cost</w:t>
            </w:r>
          </w:p>
        </w:tc>
        <w:tc>
          <w:tcPr>
            <w:tcW w:w="38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1,633</w:t>
            </w: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1,722</w:t>
            </w:r>
          </w:p>
        </w:tc>
        <w:tc>
          <w:tcPr>
            <w:tcW w:w="140" w:type="dxa"/>
            <w:vAlign w:val="bottom"/>
            <w:tcBorders>
              <w:top w:val="single" w:sz="8" w:color="CCEEFF"/>
              <w:bottom w:val="single" w:sz="8" w:color="CCEEFF"/>
            </w:tcBorders>
          </w:tcPr>
          <w:p>
            <w:pPr>
              <w:spacing w:after="0"/>
              <w:rPr>
                <w:sz w:val="18"/>
                <w:szCs w:val="18"/>
                <w:color w:val="auto"/>
              </w:rPr>
            </w:pPr>
          </w:p>
        </w:tc>
      </w:tr>
      <w:tr>
        <w:trPr>
          <w:trHeight w:val="17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information</w:t>
            </w:r>
          </w:p>
        </w:tc>
        <w:tc>
          <w:tcPr>
            <w:tcW w:w="3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2"/>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Finance leases</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r>
      <w:tr>
        <w:trPr>
          <w:trHeight w:val="182"/>
        </w:trPr>
        <w:tc>
          <w:tcPr>
            <w:tcW w:w="4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leases</w:t>
            </w: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140" w:type="dxa"/>
            <w:vAlign w:val="bottom"/>
          </w:tcPr>
          <w:p>
            <w:pPr>
              <w:spacing w:after="0"/>
              <w:rPr>
                <w:sz w:val="15"/>
                <w:szCs w:val="15"/>
                <w:color w:val="auto"/>
              </w:rPr>
            </w:pPr>
          </w:p>
        </w:tc>
      </w:tr>
      <w:tr>
        <w:trPr>
          <w:trHeight w:val="18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remaining lease term (in years):</w:t>
            </w:r>
          </w:p>
        </w:tc>
        <w:tc>
          <w:tcPr>
            <w:tcW w:w="3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2"/>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leases</w:t>
            </w: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r>
      <w:tr>
        <w:trPr>
          <w:trHeight w:val="18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3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2.48</w:t>
            </w:r>
          </w:p>
        </w:tc>
      </w:tr>
      <w:tr>
        <w:trPr>
          <w:trHeight w:val="182"/>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discount rate:</w:t>
            </w: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Leases</w:t>
            </w:r>
          </w:p>
        </w:tc>
        <w:tc>
          <w:tcPr>
            <w:tcW w:w="3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15.57%</w:t>
            </w:r>
          </w:p>
        </w:tc>
      </w:tr>
      <w:tr>
        <w:trPr>
          <w:trHeight w:val="534"/>
        </w:trPr>
        <w:tc>
          <w:tcPr>
            <w:tcW w:w="48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jc w:val="right"/>
              <w:ind w:right="2926"/>
              <w:spacing w:after="0"/>
              <w:rPr>
                <w:sz w:val="20"/>
                <w:szCs w:val="20"/>
                <w:color w:val="auto"/>
              </w:rPr>
            </w:pPr>
            <w:r>
              <w:rPr>
                <w:rFonts w:ascii="Times New Roman" w:cs="Times New Roman" w:eastAsia="Times New Roman" w:hAnsi="Times New Roman"/>
                <w:sz w:val="15"/>
                <w:szCs w:val="15"/>
                <w:color w:val="auto"/>
              </w:rPr>
              <w:t>F-84</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62" w:right="319" w:bottom="1440" w:gutter="0" w:footer="0" w:header="0"/>
        </w:sectPr>
      </w:pPr>
    </w:p>
    <w:bookmarkStart w:id="220" w:name="page221"/>
    <w:bookmarkEnd w:id="2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Future minimum lease payments under non-cancellable leases are as follows as of December 29, 2024 (in thousands):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Finance</w:t>
            </w:r>
          </w:p>
        </w:tc>
        <w:tc>
          <w:tcPr>
            <w:tcW w:w="140" w:type="dxa"/>
            <w:vAlign w:val="bottom"/>
          </w:tcPr>
          <w:p>
            <w:pPr>
              <w:spacing w:after="0"/>
              <w:rPr>
                <w:sz w:val="24"/>
                <w:szCs w:val="24"/>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Operating</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Leases</w:t>
            </w:r>
          </w:p>
        </w:tc>
        <w:tc>
          <w:tcPr>
            <w:tcW w:w="140" w:type="dxa"/>
            <w:vAlign w:val="bottom"/>
          </w:tcPr>
          <w:p>
            <w:pPr>
              <w:spacing w:after="0"/>
              <w:rPr>
                <w:sz w:val="17"/>
                <w:szCs w:val="17"/>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Leases</w:t>
            </w: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Fiscal year ending</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2,285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1,687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1,749</w:t>
            </w:r>
          </w:p>
        </w:tc>
        <w:tc>
          <w:tcPr>
            <w:tcW w:w="1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undiscounted liabilities</w:t>
            </w: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4,281</w:t>
            </w: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4,093</w:t>
            </w: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(352)</w:t>
            </w: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(413)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 lease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3,929</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3,680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As of December 29, 2024, the Company’s consolidated balance sheet classified the current portion of finance lease liabilities of $2.1 million and operating lease liabilities of $1.4 million within Accrued expenses and other current liabilities and the noncurrent portion of finance lease liabilities of $1.8 million and operating lease liabilities of $2.3 million within Other long-term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Warranty Provision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Activity by period relating to the Company’s warranty provision was as follows (in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0" w:type="dxa"/>
            <w:vAlign w:val="bottom"/>
          </w:tcPr>
          <w:p>
            <w:pPr>
              <w:spacing w:after="0"/>
              <w:rPr>
                <w:sz w:val="1"/>
                <w:szCs w:val="1"/>
                <w:color w:val="auto"/>
              </w:rPr>
            </w:pPr>
          </w:p>
        </w:tc>
      </w:tr>
      <w:tr>
        <w:trPr>
          <w:trHeight w:val="175"/>
        </w:trPr>
        <w:tc>
          <w:tcPr>
            <w:tcW w:w="8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Warranty provision,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Warranty liability from Business Combination</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582</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Accruals for new warranties issued</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695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2,968</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Settlements</w:t>
            </w: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(158)</w:t>
            </w:r>
          </w:p>
        </w:tc>
        <w:tc>
          <w:tcPr>
            <w:tcW w:w="1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(2,100)</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Warranty provision,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Warranty provision, current</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80" w:type="dxa"/>
            <w:vAlign w:val="bottom"/>
            <w:vMerge w:val="continue"/>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2,531</w:t>
            </w:r>
          </w:p>
        </w:tc>
        <w:tc>
          <w:tcPr>
            <w:tcW w:w="2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Warranty provision, noncurrent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3,437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3,416</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Agreements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will not have a material adverse effect on the business, financial position, results of operations, or cash flows of 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Legal Matters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recorded $7.7 million and $7.7 million as a loss contingency in accrued expenses and other current liabilities on its consolidated balance sheets as of December 29, 2024 and December 31, 2023, respectively.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5"/>
          <w:szCs w:val="15"/>
          <w:b w:val="1"/>
          <w:bCs w:val="1"/>
          <w:i w:val="1"/>
          <w:iCs w:val="1"/>
          <w:color w:val="auto"/>
        </w:rPr>
        <w:t>SolarPark Litigation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consolidated financial statements as the likelihood of a loss is not probable at this time.</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March 16, 2023, SolarPark filed a complaint against Solaria and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Solaria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Since then, SolarPark has been reviewing the documents, and the case has remained stayed.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liability has been recorded in the Company’s consolidated financial statements as the likelihood of a loss is not probable at this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Siemens Litigation</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July 22, 2021, Siemens Government Technologies, Inc. (“Siemens Government Technologies”) filed a lawsuit against Solaria Corporation in Fairfax Circuit Court (the “Court”) in Fairfax, Virginia. On July 27, 2023, Siemens Government Technologies, moved to amend the complaint to add Siemens Industry Inc. as a co-plaintiff. This motion was granted on August 25, 2023. On October 23,2023,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On February 22, 2024, the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The Company has appealed these judgments.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222" w:name="page223"/>
    <w:bookmarkEnd w:id="222"/>
    <w:p>
      <w:pPr>
        <w:jc w:val="both"/>
        <w:spacing w:after="0" w:line="270" w:lineRule="auto"/>
        <w:rPr>
          <w:sz w:val="20"/>
          <w:szCs w:val="20"/>
          <w:color w:val="auto"/>
        </w:rPr>
      </w:pPr>
      <w:r>
        <w:rPr>
          <w:rFonts w:ascii="Times New Roman" w:cs="Times New Roman" w:eastAsia="Times New Roman" w:hAnsi="Times New Roman"/>
          <w:sz w:val="15"/>
          <w:szCs w:val="15"/>
          <w:color w:val="auto"/>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The court heard the motion by submission on April 3, 2025, but has not yet issued a ruling.</w:t>
      </w:r>
    </w:p>
    <w:p>
      <w:pPr>
        <w:spacing w:after="0" w:line="14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The Company recognized $6.9 million as a legal loss related to this litigation in 2023, and in 2024, the Company recorded an additional accrual for $2.0 million for attorneys’ fees, expenses, and pre-judgment interest, in accrued expenses and other current liabilities within its consolidated balance sheet as of December 29, 2024. This legal loss was recognized in loss from discontinued operations, net of tax on the consolidated statements of operations and comprehensive loss. The Company recorded a liability of $6.9 million as a legal loss related to this litigation, excluding amounts for attorneys’ fees and costs, in accrued expenses and other current liabilities within its consolidated balance sheets at each of December 29, 2024 and December 31,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Letters of Credit</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had $3.5 million of outstanding letters of credit related to normal business transactions as of December 29, 2024.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as of December 29, 2024 and December 31, 2023,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 Income Taxes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loss from continuing operations before provision for income taxes for the fiscal years ended December 29, 2024 and December 31, 2023, was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5"/>
          </w:tcPr>
          <w:p>
            <w:pPr>
              <w:jc w:val="right"/>
              <w:ind w:right="722"/>
              <w:spacing w:after="0"/>
              <w:rPr>
                <w:sz w:val="20"/>
                <w:szCs w:val="20"/>
                <w:color w:val="auto"/>
              </w:rPr>
            </w:pPr>
            <w:r>
              <w:rPr>
                <w:rFonts w:ascii="Times New Roman" w:cs="Times New Roman" w:eastAsia="Times New Roman" w:hAnsi="Times New Roman"/>
                <w:sz w:val="15"/>
                <w:szCs w:val="15"/>
                <w:b w:val="1"/>
                <w:bCs w:val="1"/>
                <w:color w:val="auto"/>
              </w:rPr>
              <w:t>Fiscal Year Ended</w:t>
            </w:r>
          </w:p>
        </w:tc>
      </w:tr>
      <w:tr>
        <w:trPr>
          <w:trHeight w:val="163"/>
        </w:trPr>
        <w:tc>
          <w:tcPr>
            <w:tcW w:w="30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42"/>
              <w:spacing w:after="0" w:line="164" w:lineRule="exact"/>
              <w:rPr>
                <w:sz w:val="20"/>
                <w:szCs w:val="20"/>
                <w:color w:val="auto"/>
              </w:rPr>
            </w:pPr>
            <w:r>
              <w:rPr>
                <w:rFonts w:ascii="Times New Roman" w:cs="Times New Roman" w:eastAsia="Times New Roman" w:hAnsi="Times New Roman"/>
                <w:sz w:val="15"/>
                <w:szCs w:val="15"/>
                <w:b w:val="1"/>
                <w:bCs w:val="1"/>
                <w:color w:val="auto"/>
              </w:rPr>
              <w:t>December 29,</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6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4"/>
                <w:szCs w:val="14"/>
                <w:color w:val="auto"/>
              </w:rPr>
            </w:pPr>
          </w:p>
        </w:tc>
      </w:tr>
      <w:tr>
        <w:trPr>
          <w:trHeight w:val="203"/>
        </w:trPr>
        <w:tc>
          <w:tcPr>
            <w:tcW w:w="3020" w:type="dxa"/>
            <w:vAlign w:val="bottom"/>
            <w:tcBorders>
              <w:bottom w:val="single" w:sz="8" w:color="CCEEFF"/>
            </w:tcBorders>
          </w:tcPr>
          <w:p>
            <w:pPr>
              <w:spacing w:after="0"/>
              <w:rPr>
                <w:sz w:val="17"/>
                <w:szCs w:val="17"/>
                <w:color w:val="auto"/>
              </w:rPr>
            </w:pPr>
          </w:p>
        </w:tc>
        <w:tc>
          <w:tcPr>
            <w:tcW w:w="56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Domestic</w:t>
            </w:r>
          </w:p>
        </w:tc>
        <w:tc>
          <w:tcPr>
            <w:tcW w:w="56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(54,444)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(94,222)</w:t>
            </w:r>
          </w:p>
        </w:tc>
        <w:tc>
          <w:tcPr>
            <w:tcW w:w="100" w:type="dxa"/>
            <w:vAlign w:val="bottom"/>
            <w:shd w:val="clear" w:color="auto" w:fill="CCEEFF"/>
          </w:tcPr>
          <w:p>
            <w:pPr>
              <w:spacing w:after="0"/>
              <w:rPr>
                <w:sz w:val="15"/>
                <w:szCs w:val="15"/>
                <w:color w:val="auto"/>
              </w:rPr>
            </w:pPr>
          </w:p>
        </w:tc>
      </w:tr>
      <w:tr>
        <w:trPr>
          <w:trHeight w:val="196"/>
        </w:trPr>
        <w:tc>
          <w:tcPr>
            <w:tcW w:w="3020" w:type="dxa"/>
            <w:vAlign w:val="bottom"/>
          </w:tcPr>
          <w:p>
            <w:pPr>
              <w:spacing w:after="0"/>
              <w:rPr>
                <w:sz w:val="20"/>
                <w:szCs w:val="20"/>
                <w:color w:val="auto"/>
              </w:rPr>
            </w:pPr>
            <w:r>
              <w:rPr>
                <w:rFonts w:ascii="Times New Roman" w:cs="Times New Roman" w:eastAsia="Times New Roman" w:hAnsi="Times New Roman"/>
                <w:sz w:val="15"/>
                <w:szCs w:val="15"/>
                <w:color w:val="auto"/>
              </w:rPr>
              <w:t>Foreign</w:t>
            </w:r>
          </w:p>
        </w:tc>
        <w:tc>
          <w:tcPr>
            <w:tcW w:w="5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(1,995)</w:t>
            </w:r>
          </w:p>
        </w:tc>
      </w:tr>
      <w:tr>
        <w:trPr>
          <w:trHeight w:val="185"/>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56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(54,444</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(96,217</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0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3"/>
        </w:trPr>
        <w:tc>
          <w:tcPr>
            <w:tcW w:w="30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jc w:val="right"/>
              <w:ind w:right="2946"/>
              <w:spacing w:after="0"/>
              <w:rPr>
                <w:sz w:val="20"/>
                <w:szCs w:val="20"/>
                <w:color w:val="auto"/>
              </w:rPr>
            </w:pPr>
            <w:r>
              <w:rPr>
                <w:rFonts w:ascii="Times New Roman" w:cs="Times New Roman" w:eastAsia="Times New Roman" w:hAnsi="Times New Roman"/>
                <w:sz w:val="15"/>
                <w:szCs w:val="15"/>
                <w:color w:val="auto"/>
              </w:rPr>
              <w:t>F-87</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62" w:right="319" w:bottom="1440" w:gutter="0" w:footer="0" w:header="0"/>
        </w:sectPr>
      </w:pPr>
    </w:p>
    <w:bookmarkStart w:id="223" w:name="page224"/>
    <w:bookmarkEnd w:id="223"/>
    <w:p>
      <w:pPr>
        <w:jc w:val="both"/>
        <w:spacing w:after="0" w:line="287" w:lineRule="auto"/>
        <w:rPr>
          <w:sz w:val="20"/>
          <w:szCs w:val="20"/>
          <w:color w:val="auto"/>
        </w:rPr>
      </w:pPr>
      <w:r>
        <w:rPr>
          <w:rFonts w:ascii="Times New Roman" w:cs="Times New Roman" w:eastAsia="Times New Roman" w:hAnsi="Times New Roman"/>
          <w:sz w:val="15"/>
          <w:szCs w:val="15"/>
          <w:color w:val="auto"/>
        </w:rPr>
        <w:t>The following is a reconciliation of the Company’s income tax applied at the federal statutory income tax rate compared to the income tax provision in its consolidated statements of operations for continuing operations. Certain prior year amounts have been reclassified to conform to the current year presentation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5"/>
          </w:tcPr>
          <w:p>
            <w:pPr>
              <w:jc w:val="right"/>
              <w:ind w:right="722"/>
              <w:spacing w:after="0"/>
              <w:rPr>
                <w:sz w:val="20"/>
                <w:szCs w:val="20"/>
                <w:color w:val="auto"/>
              </w:rPr>
            </w:pPr>
            <w:r>
              <w:rPr>
                <w:rFonts w:ascii="Times New Roman" w:cs="Times New Roman" w:eastAsia="Times New Roman" w:hAnsi="Times New Roman"/>
                <w:sz w:val="15"/>
                <w:szCs w:val="15"/>
                <w:b w:val="1"/>
                <w:bCs w:val="1"/>
                <w:color w:val="auto"/>
              </w:rPr>
              <w:t>Fiscal Year Ended</w:t>
            </w:r>
          </w:p>
        </w:tc>
      </w:tr>
      <w:tr>
        <w:trPr>
          <w:trHeight w:val="163"/>
        </w:trPr>
        <w:tc>
          <w:tcPr>
            <w:tcW w:w="86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380"/>
              <w:spacing w:after="0" w:line="164" w:lineRule="exact"/>
              <w:rPr>
                <w:sz w:val="20"/>
                <w:szCs w:val="20"/>
                <w:color w:val="auto"/>
              </w:rPr>
            </w:pPr>
            <w:r>
              <w:rPr>
                <w:rFonts w:ascii="Times New Roman" w:cs="Times New Roman" w:eastAsia="Times New Roman" w:hAnsi="Times New Roman"/>
                <w:sz w:val="15"/>
                <w:szCs w:val="15"/>
                <w:b w:val="1"/>
                <w:bCs w:val="1"/>
                <w:color w:val="auto"/>
              </w:rPr>
              <w:t>December 29,</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6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4"/>
                <w:szCs w:val="14"/>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Statutory federal income tax</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(20,206)</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State income taxes, net of federal tax benefits</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(2,444)</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7,833</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compensation</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1,102</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637</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Fair value adjustments</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(980)</w:t>
            </w:r>
          </w:p>
        </w:tc>
        <w:tc>
          <w:tcPr>
            <w:tcW w:w="80" w:type="dxa"/>
            <w:vAlign w:val="bottom"/>
          </w:tcPr>
          <w:p>
            <w:pPr>
              <w:spacing w:after="0"/>
              <w:rPr>
                <w:sz w:val="15"/>
                <w:szCs w:val="15"/>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(5,540)</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Nondeductible items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1,332</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141</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Debt extinguishment</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(6,571)</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2,171</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earnings taxed at different rates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419</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Forward purchase agreements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9,780</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changes in tax rates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706</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Prior year adjustments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2,058</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16,171</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3,145</w:t>
            </w: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7"/>
                <w:szCs w:val="17"/>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1,600</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Provision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Significant components of our deferred tax assets and liabilities are as follows. Certain prior year amounts have been reclassified to conform to the current year presentation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gridSpan w:val="2"/>
          </w:tcPr>
          <w:p>
            <w:pPr>
              <w:spacing w:after="0"/>
              <w:rPr>
                <w:sz w:val="15"/>
                <w:szCs w:val="15"/>
                <w:color w:val="auto"/>
              </w:rPr>
            </w:pPr>
          </w:p>
        </w:tc>
      </w:tr>
      <w:tr>
        <w:trPr>
          <w:trHeight w:val="203"/>
        </w:trPr>
        <w:tc>
          <w:tcPr>
            <w:tcW w:w="8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Deferred income tax assets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operating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34,749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17,957</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Debt derivatives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24,591</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Bad debt reserve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431</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2,799</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Stock based compensation</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452</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3,060</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liability</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1,512</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 reserves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3,381</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3,764</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carryover</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7,005</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5,503</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Intangibles</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1,279</w:t>
            </w: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Capitalized research and development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824</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w:t>
            </w:r>
          </w:p>
        </w:tc>
        <w:tc>
          <w:tcPr>
            <w:tcW w:w="80" w:type="dxa"/>
            <w:vAlign w:val="bottom"/>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Pr>
          <w:p>
            <w:pPr>
              <w:spacing w:after="0"/>
              <w:rPr>
                <w:sz w:val="17"/>
                <w:szCs w:val="17"/>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3,336</w:t>
            </w:r>
          </w:p>
        </w:tc>
        <w:tc>
          <w:tcPr>
            <w:tcW w:w="1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5,827</w:t>
            </w:r>
          </w:p>
        </w:tc>
        <w:tc>
          <w:tcPr>
            <w:tcW w:w="80" w:type="dxa"/>
            <w:vAlign w:val="bottom"/>
          </w:tcPr>
          <w:p>
            <w:pPr>
              <w:spacing w:after="0"/>
              <w:rPr>
                <w:sz w:val="17"/>
                <w:szCs w:val="17"/>
                <w:color w:val="auto"/>
              </w:rPr>
            </w:pPr>
          </w:p>
        </w:tc>
      </w:tr>
      <w:tr>
        <w:trPr>
          <w:trHeight w:val="182"/>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77,560</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39,760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100" w:type="dxa"/>
            <w:vAlign w:val="bottom"/>
          </w:tcPr>
          <w:p>
            <w:pPr>
              <w:spacing w:after="0"/>
              <w:rPr>
                <w:sz w:val="17"/>
                <w:szCs w:val="17"/>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(55,714)</w:t>
            </w:r>
          </w:p>
        </w:tc>
        <w:tc>
          <w:tcPr>
            <w:tcW w:w="10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(38,407)</w:t>
            </w:r>
          </w:p>
        </w:tc>
      </w:tr>
      <w:tr>
        <w:trPr>
          <w:trHeight w:val="202"/>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deferred tax assets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21,846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5"/>
        </w:trPr>
        <w:tc>
          <w:tcPr>
            <w:tcW w:w="868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Deferred income tax liabilities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loan discount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(19,175)</w:t>
            </w:r>
          </w:p>
        </w:tc>
        <w:tc>
          <w:tcPr>
            <w:tcW w:w="10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(759)</w:t>
            </w: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Pr>
          <w:p>
            <w:pPr>
              <w:spacing w:after="0"/>
              <w:rPr>
                <w:sz w:val="17"/>
                <w:szCs w:val="17"/>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(2,671)</w:t>
            </w:r>
          </w:p>
        </w:tc>
        <w:tc>
          <w:tcPr>
            <w:tcW w:w="10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(594)</w:t>
            </w:r>
          </w:p>
        </w:tc>
      </w:tr>
      <w:tr>
        <w:trPr>
          <w:trHeight w:val="202"/>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liabilities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(21,846</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68"/>
        </w:trPr>
        <w:tc>
          <w:tcPr>
            <w:tcW w:w="86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Net deferred tax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Management regularly assess its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or realizable deferred tax assets, the Company will adjust its valuation allowance with a corresponding impact to the provision for income taxes in the period in which such determination is made. The Company’s management believes that, based upon a number of factors, it is more likely than not that all or some portion of the deferred tax assets will not be realized. Accordingly, for the fiscal years ended December 29, 2024, and December 31, 2023, the Company provided a valuation allowance against its U.S. net deferred tax assets of $55.7 million and $38.4 million, respectively. The valuation allowance increased by $17.3 million in the year ended December 29, 2024.</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3" w:right="319" w:bottom="1440" w:gutter="0" w:footer="0" w:header="0"/>
        </w:sectPr>
      </w:pPr>
    </w:p>
    <w:bookmarkStart w:id="224" w:name="page225"/>
    <w:bookmarkEnd w:id="224"/>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As of December 29, 2024, the Company had net operating loss carryforwards for federal and state income tax purposes of approximately $127.3 million and $106.7 million, respectively. Excluding $111.5 million of federal net operating losses which carryforward indefinitely, the net operating loss carryforwards will expire between 2030 and 2044.</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The Internal Revenue Code (“IRC”) of 1986, as amended, imposes restrictions on the utilization of net operating losses in the event of an “ownership change” of a corporation. Accordingly, a company’s ability to use net operating losses may be limited as prescribed under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IRC Section 382 and similar provisions. Such limitations may result in the expiration of these carryforwards before their utilization. The Company’s acquired net operating loss carryforwards have been reduced based on the estimated amount which will be lost due to these limitations. If the Company has experienced subsequent ownership changes, our losses may be further limited, which may result in the expiration of net operating losses before utilization. To date, Company has not yet completed a Section 382 ownership change analysis. During the current year, the Company has undergone restructuring and strategic transformation, including the completion of the SunPower businesses. As a result of this change in facts and lack of certainty regarding the acquired losses of the legacy Solaria business, the Company has written off the remaining acquired net operating losses as the Company does not intend to pursue the potential tax benefits as it believes those benefits will be lost due to continuation of business enterprise rules. As a result, the corresponding uncertain tax position is also reversed as the Company does not intend to pursue utilization of those attributes.</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files income tax returns in the U.S for federal and various state jurisdictions as well as foreign jurisdictions each of which have varying statutes of limitations. The Company is in the process of filing returns for prior years, and the penalties related to the delinquent filings are not material. Due to the history of losses, the Company’s tax years remain open for examination by all tax authorities since inception. The Company is not currently under examination in any tax jurisdictions.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has unrecognized tax benefit of zero and $53.1 million at December 29, 2024 and December 31, 2023, respectively. The reversal of the uncertain tax benefits would not affect the Company’s effective tax rate to the extent that it continues to maintain a full valuation allowance against its deferred tax assets. As outlined above, the reduction in the uncertain tax positions during the current period is a result of the Company’s decision to forgo the right to certain acquired attributes for which the Company does not intend to claim any tax benefits.</w:t>
      </w:r>
    </w:p>
    <w:p>
      <w:pPr>
        <w:spacing w:after="0" w:line="15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is a tabular reconciliation of the total amounts of unrecognized tax benefits (in thousands):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8"/>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ind w:left="540"/>
              <w:spacing w:after="0"/>
              <w:rPr>
                <w:sz w:val="20"/>
                <w:szCs w:val="20"/>
                <w:color w:val="auto"/>
              </w:rPr>
            </w:pPr>
            <w:r>
              <w:rPr>
                <w:rFonts w:ascii="Times New Roman" w:cs="Times New Roman" w:eastAsia="Times New Roman" w:hAnsi="Times New Roman"/>
                <w:sz w:val="15"/>
                <w:szCs w:val="15"/>
                <w:b w:val="1"/>
                <w:bCs w:val="1"/>
                <w:color w:val="auto"/>
              </w:rPr>
              <w:t>Fiscal Year Ended</w:t>
            </w:r>
          </w:p>
        </w:tc>
      </w:tr>
      <w:tr>
        <w:trPr>
          <w:trHeight w:val="163"/>
        </w:trPr>
        <w:tc>
          <w:tcPr>
            <w:tcW w:w="86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360"/>
              <w:spacing w:after="0" w:line="164" w:lineRule="exact"/>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4"/>
                <w:szCs w:val="14"/>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Unrecognized tax benefits as of beginning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53,153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Increases related to prior year tax positions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Increases related to current year tax positions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51,813</w:t>
            </w: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Decreases related to prior year tax positions</w:t>
            </w:r>
          </w:p>
        </w:tc>
        <w:tc>
          <w:tcPr>
            <w:tcW w:w="1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(53,153)</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Unrecognized tax benefits as of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recognizes interest and penalties related to unrecognized tax benefits within the income tax expense line in the statements of operations and comprehensive loss. Accrued interest and penalties are included as part of income tax payable in the consolidated balance sheets. No accrued interest or penalties have been recorded for the fiscal years ended December 29, 2024 and December 31, 2023.</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25" w:name="page226"/>
    <w:bookmarkEnd w:id="225"/>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The Company has not provided U.S. income or foreign withholding taxes on the undistributed earnings of its foreign subsidiary as of December 29, 2024 and December 31, 2023, because it intends to permanently reinvest such earnings outside of the U.S. If these foreign earnings were to be repatriated in the future, the related U.S. tax liability will be immaterial, due to the participation exemption put in place under the 2017 Tax Cuts and Jobs Act.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(21) Basic and Diluted Net Loss Per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uses the two-class method to calculate net loss per share. No dividends were declared or paid for the fiscal years ended December 29, 2024 and December 31, 2023.</w:t>
      </w:r>
    </w:p>
    <w:p>
      <w:pPr>
        <w:spacing w:after="0" w:line="19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following table sets forth the computation of the Company’s basic and diluted net loss per share attributable to common stockholders for the fiscal years ended December 29, 2024 and December 31, 2023 (in thousands, except share and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right"/>
              <w:ind w:right="722"/>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0" w:type="dxa"/>
            <w:vAlign w:val="bottom"/>
          </w:tcPr>
          <w:p>
            <w:pPr>
              <w:spacing w:after="0"/>
              <w:rPr>
                <w:sz w:val="1"/>
                <w:szCs w:val="1"/>
                <w:color w:val="auto"/>
              </w:rPr>
            </w:pPr>
          </w:p>
        </w:tc>
      </w:tr>
      <w:tr>
        <w:trPr>
          <w:trHeight w:val="175"/>
        </w:trPr>
        <w:tc>
          <w:tcPr>
            <w:tcW w:w="8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322"/>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Numerator for basic loss per share:</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 from 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(54,444)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(96,197)</w:t>
            </w:r>
          </w:p>
        </w:tc>
        <w:tc>
          <w:tcPr>
            <w:tcW w:w="0" w:type="dxa"/>
            <w:vAlign w:val="bottom"/>
          </w:tcPr>
          <w:p>
            <w:pPr>
              <w:spacing w:after="0"/>
              <w:rPr>
                <w:sz w:val="1"/>
                <w:szCs w:val="1"/>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from discontinued operations</w:t>
            </w:r>
          </w:p>
        </w:tc>
        <w:tc>
          <w:tcPr>
            <w:tcW w:w="100" w:type="dxa"/>
            <w:vAlign w:val="bottom"/>
          </w:tcPr>
          <w:p>
            <w:pPr>
              <w:spacing w:after="0"/>
              <w:rPr>
                <w:sz w:val="15"/>
                <w:szCs w:val="15"/>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(2,007)</w:t>
            </w:r>
          </w:p>
        </w:tc>
        <w:tc>
          <w:tcPr>
            <w:tcW w:w="100" w:type="dxa"/>
            <w:vAlign w:val="bottom"/>
          </w:tcPr>
          <w:p>
            <w:pPr>
              <w:spacing w:after="0"/>
              <w:rPr>
                <w:sz w:val="15"/>
                <w:szCs w:val="15"/>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(25,853)</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Impairment loss from discontinued operations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(147,505)</w:t>
            </w:r>
          </w:p>
        </w:tc>
        <w:tc>
          <w:tcPr>
            <w:tcW w:w="0" w:type="dxa"/>
            <w:vAlign w:val="bottom"/>
          </w:tcPr>
          <w:p>
            <w:pPr>
              <w:spacing w:after="0"/>
              <w:rPr>
                <w:sz w:val="1"/>
                <w:szCs w:val="1"/>
                <w:color w:val="auto"/>
              </w:rPr>
            </w:pPr>
          </w:p>
        </w:tc>
      </w:tr>
      <w:tr>
        <w:trPr>
          <w:trHeight w:val="168"/>
        </w:trPr>
        <w:tc>
          <w:tcPr>
            <w:tcW w:w="8680" w:type="dxa"/>
            <w:vAlign w:val="bottom"/>
            <w:tcBorders>
              <w:top w:val="single" w:sz="8" w:color="CCEEFF"/>
              <w:bottom w:val="single" w:sz="8" w:color="CCEEFF"/>
            </w:tcBorders>
          </w:tcPr>
          <w:p>
            <w:pPr>
              <w:ind w:left="140"/>
              <w:spacing w:after="0" w:line="165"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(56,451</w:t>
            </w:r>
          </w:p>
        </w:tc>
        <w:tc>
          <w:tcPr>
            <w:tcW w:w="220" w:type="dxa"/>
            <w:vAlign w:val="bottom"/>
            <w:tcBorders>
              <w:top w:val="single" w:sz="8" w:color="CCEEFF"/>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(269,555</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Numerator for diluted loss per share</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Impact of 7% Notes derivative liability and interest expense, net of tax</w:t>
            </w:r>
          </w:p>
        </w:tc>
        <w:tc>
          <w:tcPr>
            <w:tcW w:w="100" w:type="dxa"/>
            <w:vAlign w:val="bottom"/>
          </w:tcPr>
          <w:p>
            <w:pPr>
              <w:spacing w:after="0"/>
              <w:rPr>
                <w:sz w:val="17"/>
                <w:szCs w:val="17"/>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(35,886)</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(92,337</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(269,555</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shares: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Denominator for basic loss per share</w:t>
            </w:r>
          </w:p>
        </w:tc>
        <w:tc>
          <w:tcPr>
            <w:tcW w:w="100" w:type="dxa"/>
            <w:vAlign w:val="bottom"/>
          </w:tcPr>
          <w:p>
            <w:pPr>
              <w:spacing w:after="0"/>
              <w:rPr>
                <w:sz w:val="15"/>
                <w:szCs w:val="15"/>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66,655,837</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24,723,370</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Effect of dilutive securities: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7% Notes derivative liability</w:t>
            </w:r>
          </w:p>
        </w:tc>
        <w:tc>
          <w:tcPr>
            <w:tcW w:w="100" w:type="dxa"/>
            <w:vAlign w:val="bottom"/>
          </w:tcPr>
          <w:p>
            <w:pPr>
              <w:spacing w:after="0"/>
              <w:rPr>
                <w:sz w:val="17"/>
                <w:szCs w:val="17"/>
                <w:color w:val="auto"/>
              </w:rPr>
            </w:pPr>
          </w:p>
        </w:tc>
        <w:tc>
          <w:tcPr>
            <w:tcW w:w="12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9,137,711</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Denominator for diluted loss per share</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75,793,548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24,723,370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loss per share:</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Continuing operations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(0.82)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(3.89)</w:t>
            </w: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Discontinued operations - basic</w:t>
            </w:r>
          </w:p>
        </w:tc>
        <w:tc>
          <w:tcPr>
            <w:tcW w:w="100" w:type="dxa"/>
            <w:vAlign w:val="bottom"/>
          </w:tcPr>
          <w:p>
            <w:pPr>
              <w:spacing w:after="0"/>
              <w:rPr>
                <w:sz w:val="17"/>
                <w:szCs w:val="17"/>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tcPr>
          <w:p>
            <w:pPr>
              <w:spacing w:after="0"/>
              <w:rPr>
                <w:sz w:val="17"/>
                <w:szCs w:val="17"/>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 - basic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(0.85</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Continuing operations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(3.89)</w:t>
            </w:r>
          </w:p>
        </w:tc>
        <w:tc>
          <w:tcPr>
            <w:tcW w:w="0" w:type="dxa"/>
            <w:vAlign w:val="bottom"/>
          </w:tcPr>
          <w:p>
            <w:pPr>
              <w:spacing w:after="0"/>
              <w:rPr>
                <w:sz w:val="1"/>
                <w:szCs w:val="1"/>
                <w:color w:val="auto"/>
              </w:rPr>
            </w:pPr>
          </w:p>
        </w:tc>
      </w:tr>
      <w:tr>
        <w:trPr>
          <w:trHeight w:val="196"/>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Discontinued operations - diluted</w:t>
            </w:r>
          </w:p>
        </w:tc>
        <w:tc>
          <w:tcPr>
            <w:tcW w:w="100" w:type="dxa"/>
            <w:vAlign w:val="bottom"/>
          </w:tcPr>
          <w:p>
            <w:pPr>
              <w:spacing w:after="0"/>
              <w:rPr>
                <w:sz w:val="17"/>
                <w:szCs w:val="17"/>
                <w:color w:val="auto"/>
              </w:rPr>
            </w:pPr>
          </w:p>
        </w:tc>
        <w:tc>
          <w:tcPr>
            <w:tcW w:w="12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tcPr>
          <w:p>
            <w:pPr>
              <w:spacing w:after="0"/>
              <w:rPr>
                <w:sz w:val="17"/>
                <w:szCs w:val="17"/>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 - 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computation of basic net loss per share attributable to common stockholders is inclusive of warrants with an insignificant exercise price. The Company’s calculation of the weighted average shares outstanding is inclusive of 3,427,324 warrants with an insignificant exercise price (which assumes that the warrants were outstanding as of the beginning of the period or the date of the grant, whichever is earlier) for the fiscal year ended December 29, 2024. The computation of diluted net loss per share attributable to common stockholders is inclusive of the impact of the Company’s 7% Notes (which were dilutive) using the if-converted method for the year ended December 29, 2024. The computation of basic and diluted net loss per share attributable to common stockholders is the same for the fiscal year ended December 31, 2023 because the inclusion of potential shares of common stock would have been anti-dilutive.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26" w:name="page227"/>
    <w:bookmarkEnd w:id="226"/>
    <w:p>
      <w:pPr>
        <w:jc w:val="both"/>
        <w:ind w:left="9" w:right="20"/>
        <w:spacing w:after="0" w:line="287" w:lineRule="auto"/>
        <w:rPr>
          <w:sz w:val="20"/>
          <w:szCs w:val="20"/>
          <w:color w:val="auto"/>
        </w:rPr>
      </w:pPr>
      <w:r>
        <w:rPr>
          <w:rFonts w:ascii="Times New Roman" w:cs="Times New Roman" w:eastAsia="Times New Roman" w:hAnsi="Times New Roman"/>
          <w:sz w:val="15"/>
          <w:szCs w:val="15"/>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41"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2580" w:type="dxa"/>
            <w:vAlign w:val="bottom"/>
            <w:gridSpan w:val="5"/>
          </w:tcPr>
          <w:p>
            <w:pPr>
              <w:ind w:left="640"/>
              <w:spacing w:after="0"/>
              <w:rPr>
                <w:sz w:val="20"/>
                <w:szCs w:val="20"/>
                <w:color w:val="auto"/>
              </w:rPr>
            </w:pPr>
            <w:r>
              <w:rPr>
                <w:rFonts w:ascii="Times New Roman" w:cs="Times New Roman" w:eastAsia="Times New Roman" w:hAnsi="Times New Roman"/>
                <w:sz w:val="15"/>
                <w:szCs w:val="15"/>
                <w:b w:val="1"/>
                <w:bCs w:val="1"/>
                <w:color w:val="auto"/>
              </w:rPr>
              <w:t>Fiscal Year Ended</w:t>
            </w:r>
          </w:p>
        </w:tc>
      </w:tr>
      <w:tr>
        <w:trPr>
          <w:trHeight w:val="175"/>
        </w:trPr>
        <w:tc>
          <w:tcPr>
            <w:tcW w:w="8680" w:type="dxa"/>
            <w:vAlign w:val="bottom"/>
          </w:tcPr>
          <w:p>
            <w:pPr>
              <w:spacing w:after="0"/>
              <w:rPr>
                <w:sz w:val="15"/>
                <w:szCs w:val="15"/>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1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gridSpan w:val="2"/>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warrants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25,434,069</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23,024,556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27,364,717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 and RSUs issued and outstanding</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11,979,368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11,774,743</w:t>
            </w:r>
          </w:p>
        </w:tc>
      </w:tr>
      <w:tr>
        <w:trPr>
          <w:trHeight w:val="168"/>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Potential common shares excluded from diluted net loss per share</w:t>
            </w:r>
          </w:p>
        </w:tc>
        <w:tc>
          <w:tcPr>
            <w:tcW w:w="11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64,778,154</w:t>
            </w: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34,799,299</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(22) Segment Information</w:t>
      </w:r>
    </w:p>
    <w:p>
      <w:pPr>
        <w:spacing w:after="0" w:line="196" w:lineRule="exact"/>
        <w:rPr>
          <w:sz w:val="20"/>
          <w:szCs w:val="20"/>
          <w:color w:val="auto"/>
        </w:rPr>
      </w:pPr>
    </w:p>
    <w:p>
      <w:pPr>
        <w:jc w:val="both"/>
        <w:ind w:left="9"/>
        <w:spacing w:after="0" w:line="260" w:lineRule="auto"/>
        <w:rPr>
          <w:sz w:val="20"/>
          <w:szCs w:val="20"/>
          <w:color w:val="auto"/>
        </w:rPr>
      </w:pPr>
      <w:r>
        <w:rPr>
          <w:rFonts w:ascii="Times New Roman" w:cs="Times New Roman" w:eastAsia="Times New Roman" w:hAnsi="Times New Roman"/>
          <w:sz w:val="15"/>
          <w:szCs w:val="15"/>
          <w:color w:val="auto"/>
        </w:rPr>
        <w:t>The segment information is presented on a basis that is consistent with the Company’s internal management reporting. The Company’s Chief Executive Officer (“CEO”) is the Chief Operating Decision Maker (“CODM”). The CODM manages the Company and report financial results based on two reportable segments which are the same as our operating segments. CODM evaluates the performance of these reportable segments and allocates resources to make operating decisions based on certain financial information, including segmented internal income/(loss) from continuing operations prepared on a basis consistent with U.S. GAAP. The measurement criteria is based on their operating revenue and operating income (loss) and excluding any corporate costs which are not allocatable to the operating segments. The CODM’s measurement criteria does not include segment assets. During the periods presented, the Company reported its financial performance through the following two reportable segments; Residential Solar Installation and New Homes Business.</w:t>
      </w:r>
    </w:p>
    <w:p>
      <w:pPr>
        <w:spacing w:after="0" w:line="14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Residential Solar Installation</w:t>
      </w:r>
      <w:r>
        <w:rPr>
          <w:rFonts w:ascii="Times New Roman" w:cs="Times New Roman" w:eastAsia="Times New Roman" w:hAnsi="Times New Roman"/>
          <w:sz w:val="15"/>
          <w:szCs w:val="15"/>
          <w:color w:val="auto"/>
        </w:rPr>
        <w:t>. This segment performs solar system, storage and battery installations for residential homeowners.</w:t>
      </w:r>
    </w:p>
    <w:p>
      <w:pPr>
        <w:spacing w:after="0" w:line="192" w:lineRule="exact"/>
        <w:rPr>
          <w:sz w:val="20"/>
          <w:szCs w:val="20"/>
          <w:color w:val="auto"/>
        </w:rPr>
      </w:pPr>
    </w:p>
    <w:p>
      <w:pPr>
        <w:jc w:val="both"/>
        <w:ind w:left="9"/>
        <w:spacing w:after="0" w:line="293" w:lineRule="auto"/>
        <w:rPr>
          <w:sz w:val="20"/>
          <w:szCs w:val="20"/>
          <w:color w:val="auto"/>
        </w:rPr>
      </w:pPr>
      <w:r>
        <w:rPr>
          <w:rFonts w:ascii="Times New Roman" w:cs="Times New Roman" w:eastAsia="Times New Roman" w:hAnsi="Times New Roman"/>
          <w:sz w:val="15"/>
          <w:szCs w:val="15"/>
          <w:b w:val="1"/>
          <w:bCs w:val="1"/>
          <w:i w:val="1"/>
          <w:iCs w:val="1"/>
          <w:color w:val="auto"/>
        </w:rPr>
        <w:t>New Homes Business</w:t>
      </w:r>
      <w:r>
        <w:rPr>
          <w:rFonts w:ascii="Times New Roman" w:cs="Times New Roman" w:eastAsia="Times New Roman" w:hAnsi="Times New Roman"/>
          <w:sz w:val="15"/>
          <w:szCs w:val="15"/>
          <w:color w:val="auto"/>
        </w:rPr>
        <w:t>. This segment is new in fiscal year 2024 as a result of the SunPower Acquisition which occurred in the fourth quarter of fiscal 2024. The Company developed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method to allocate direct expenses for the respective reportable segments. This segment performs solar system installations for new home builders.</w:t>
      </w:r>
    </w:p>
    <w:p>
      <w:pPr>
        <w:spacing w:after="0" w:line="136"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gridSpan w:val="8"/>
          </w:tcPr>
          <w:p>
            <w:pPr>
              <w:jc w:val="center"/>
              <w:ind w:right="202"/>
              <w:spacing w:after="0"/>
              <w:rPr>
                <w:sz w:val="20"/>
                <w:szCs w:val="20"/>
                <w:color w:val="auto"/>
              </w:rPr>
            </w:pPr>
            <w:r>
              <w:rPr>
                <w:rFonts w:ascii="Times New Roman" w:cs="Times New Roman" w:eastAsia="Times New Roman" w:hAnsi="Times New Roman"/>
                <w:sz w:val="15"/>
                <w:szCs w:val="15"/>
                <w:b w:val="1"/>
                <w:bCs w:val="1"/>
                <w:color w:val="auto"/>
              </w:rPr>
              <w:t>Fiscal Year Ended December 29, 2024</w:t>
            </w:r>
          </w:p>
        </w:tc>
      </w:tr>
      <w:tr>
        <w:trPr>
          <w:trHeight w:val="163"/>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2"/>
              <w:spacing w:after="0" w:line="164" w:lineRule="exact"/>
              <w:rPr>
                <w:sz w:val="20"/>
                <w:szCs w:val="20"/>
                <w:color w:val="auto"/>
              </w:rPr>
            </w:pPr>
            <w:r>
              <w:rPr>
                <w:rFonts w:ascii="Times New Roman" w:cs="Times New Roman" w:eastAsia="Times New Roman" w:hAnsi="Times New Roman"/>
                <w:sz w:val="15"/>
                <w:szCs w:val="15"/>
                <w:b w:val="1"/>
                <w:bCs w:val="1"/>
                <w:color w:val="auto"/>
              </w:rPr>
              <w:t>Residential</w:t>
            </w: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22"/>
              <w:spacing w:after="0"/>
              <w:rPr>
                <w:sz w:val="20"/>
                <w:szCs w:val="20"/>
                <w:color w:val="auto"/>
              </w:rPr>
            </w:pPr>
            <w:r>
              <w:rPr>
                <w:rFonts w:ascii="Times New Roman" w:cs="Times New Roman" w:eastAsia="Times New Roman" w:hAnsi="Times New Roman"/>
                <w:sz w:val="15"/>
                <w:szCs w:val="15"/>
                <w:b w:val="1"/>
                <w:bCs w:val="1"/>
                <w:color w:val="auto"/>
                <w:w w:val="99"/>
              </w:rPr>
              <w:t>Solar</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New Homes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40" w:type="dxa"/>
            <w:vAlign w:val="bottom"/>
          </w:tcPr>
          <w:p>
            <w:pPr>
              <w:spacing w:after="0"/>
              <w:rPr>
                <w:sz w:val="17"/>
                <w:szCs w:val="17"/>
                <w:color w:val="auto"/>
              </w:rPr>
            </w:pPr>
          </w:p>
        </w:tc>
        <w:tc>
          <w:tcPr>
            <w:tcW w:w="1220" w:type="dxa"/>
            <w:vAlign w:val="bottom"/>
            <w:gridSpan w:val="2"/>
          </w:tcPr>
          <w:p>
            <w:pPr>
              <w:jc w:val="center"/>
              <w:ind w:right="322"/>
              <w:spacing w:after="0"/>
              <w:rPr>
                <w:sz w:val="20"/>
                <w:szCs w:val="20"/>
                <w:color w:val="auto"/>
              </w:rPr>
            </w:pPr>
            <w:r>
              <w:rPr>
                <w:rFonts w:ascii="Times New Roman" w:cs="Times New Roman" w:eastAsia="Times New Roman" w:hAnsi="Times New Roman"/>
                <w:sz w:val="15"/>
                <w:szCs w:val="15"/>
                <w:b w:val="1"/>
                <w:bCs w:val="1"/>
                <w:color w:val="auto"/>
              </w:rPr>
              <w:t>Installation</w:t>
            </w:r>
          </w:p>
        </w:tc>
        <w:tc>
          <w:tcPr>
            <w:tcW w:w="1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Business</w:t>
            </w:r>
          </w:p>
        </w:tc>
        <w:tc>
          <w:tcPr>
            <w:tcW w:w="240" w:type="dxa"/>
            <w:vAlign w:val="bottom"/>
          </w:tcPr>
          <w:p>
            <w:pPr>
              <w:spacing w:after="0"/>
              <w:rPr>
                <w:sz w:val="17"/>
                <w:szCs w:val="17"/>
                <w:color w:val="auto"/>
              </w:rPr>
            </w:pPr>
          </w:p>
        </w:tc>
        <w:tc>
          <w:tcPr>
            <w:tcW w:w="980" w:type="dxa"/>
            <w:vAlign w:val="bottom"/>
            <w:gridSpan w:val="2"/>
          </w:tcPr>
          <w:p>
            <w:pPr>
              <w:jc w:val="right"/>
              <w:ind w:right="462"/>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67,460</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41,282</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108,742</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Cost of revenues</w:t>
            </w:r>
          </w:p>
        </w:tc>
        <w:tc>
          <w:tcPr>
            <w:tcW w:w="140" w:type="dxa"/>
            <w:vAlign w:val="bottom"/>
          </w:tcPr>
          <w:p>
            <w:pPr>
              <w:spacing w:after="0"/>
              <w:rPr>
                <w:sz w:val="15"/>
                <w:szCs w:val="15"/>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45,266</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23,974</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69,240</w:t>
            </w:r>
          </w:p>
        </w:tc>
      </w:tr>
      <w:tr>
        <w:trPr>
          <w:trHeight w:val="182"/>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Sales commissions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23,388</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1,202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24,590</w:t>
            </w:r>
          </w:p>
        </w:tc>
      </w:tr>
      <w:tr>
        <w:trPr>
          <w:trHeight w:val="182"/>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Sales and marketing</w:t>
            </w:r>
          </w:p>
        </w:tc>
        <w:tc>
          <w:tcPr>
            <w:tcW w:w="140" w:type="dxa"/>
            <w:vAlign w:val="bottom"/>
          </w:tcPr>
          <w:p>
            <w:pPr>
              <w:spacing w:after="0"/>
              <w:rPr>
                <w:sz w:val="15"/>
                <w:szCs w:val="15"/>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6,827</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6,827</w:t>
            </w:r>
          </w:p>
        </w:tc>
      </w:tr>
      <w:tr>
        <w:trPr>
          <w:trHeight w:val="248"/>
        </w:trPr>
        <w:tc>
          <w:tcPr>
            <w:tcW w:w="7320" w:type="dxa"/>
            <w:vAlign w:val="bottom"/>
            <w:gridSpan w:val="2"/>
            <w:shd w:val="clear" w:color="auto" w:fill="CCEEFF"/>
          </w:tcPr>
          <w:p>
            <w:pPr>
              <w:ind w:left="140"/>
              <w:spacing w:after="0" w:line="228" w:lineRule="exact"/>
              <w:rPr>
                <w:sz w:val="20"/>
                <w:szCs w:val="20"/>
                <w:color w:val="auto"/>
              </w:rPr>
            </w:pPr>
            <w:r>
              <w:rPr>
                <w:rFonts w:ascii="Times New Roman" w:cs="Times New Roman" w:eastAsia="Times New Roman" w:hAnsi="Times New Roman"/>
                <w:sz w:val="15"/>
                <w:szCs w:val="15"/>
                <w:color w:val="auto"/>
              </w:rPr>
              <w:t xml:space="preserve">General and administrative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9,805</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3,232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13,037</w:t>
            </w:r>
          </w:p>
        </w:tc>
      </w:tr>
      <w:tr>
        <w:trPr>
          <w:trHeight w:val="168"/>
        </w:trPr>
        <w:tc>
          <w:tcPr>
            <w:tcW w:w="7320" w:type="dxa"/>
            <w:vAlign w:val="bottom"/>
            <w:tcBorders>
              <w:top w:val="single" w:sz="8" w:color="CCEEFF"/>
              <w:bottom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(17,826</w:t>
            </w:r>
          </w:p>
        </w:tc>
        <w:tc>
          <w:tcPr>
            <w:tcW w:w="220" w:type="dxa"/>
            <w:vAlign w:val="bottom"/>
            <w:tcBorders>
              <w:top w:val="single" w:sz="8" w:color="CCEEFF"/>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12,874</w:t>
            </w:r>
          </w:p>
        </w:tc>
        <w:tc>
          <w:tcPr>
            <w:tcW w:w="22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(4,952</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82"/>
        </w:trPr>
        <w:tc>
          <w:tcPr>
            <w:tcW w:w="7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Reconciliation of segment loss from continuing operations before income taxes: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Unallocated amounts: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General corporate expense</w:t>
            </w:r>
          </w:p>
        </w:tc>
        <w:tc>
          <w:tcPr>
            <w:tcW w:w="140" w:type="dxa"/>
            <w:vAlign w:val="bottom"/>
          </w:tcPr>
          <w:p>
            <w:pPr>
              <w:spacing w:after="0"/>
              <w:rPr>
                <w:sz w:val="15"/>
                <w:szCs w:val="15"/>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(63,557)</w:t>
            </w:r>
          </w:p>
        </w:tc>
      </w:tr>
      <w:tr>
        <w:trPr>
          <w:trHeight w:val="182"/>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(16,223)</w:t>
            </w:r>
          </w:p>
        </w:tc>
      </w:tr>
      <w:tr>
        <w:trPr>
          <w:trHeight w:val="182"/>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tcPr>
          <w:p>
            <w:pPr>
              <w:spacing w:after="0"/>
              <w:rPr>
                <w:sz w:val="15"/>
                <w:szCs w:val="15"/>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19</w:t>
            </w:r>
          </w:p>
        </w:tc>
      </w:tr>
      <w:tr>
        <w:trPr>
          <w:trHeight w:val="182"/>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income (expense), net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7,932</w:t>
            </w:r>
          </w:p>
        </w:tc>
      </w:tr>
      <w:tr>
        <w:trPr>
          <w:trHeight w:val="196"/>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Gain on troubled debt restructuring</w:t>
            </w:r>
          </w:p>
        </w:tc>
        <w:tc>
          <w:tcPr>
            <w:tcW w:w="140" w:type="dxa"/>
            <w:vAlign w:val="bottom"/>
          </w:tcPr>
          <w:p>
            <w:pPr>
              <w:spacing w:after="0"/>
              <w:rPr>
                <w:sz w:val="17"/>
                <w:szCs w:val="17"/>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22,337</w:t>
            </w:r>
          </w:p>
        </w:tc>
      </w:tr>
      <w:tr>
        <w:trPr>
          <w:trHeight w:val="185"/>
        </w:trPr>
        <w:tc>
          <w:tcPr>
            <w:tcW w:w="73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from continuing operations before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(54,444</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9" w:hanging="269"/>
        <w:spacing w:after="0" w:line="287" w:lineRule="auto"/>
        <w:tabs>
          <w:tab w:leader="none" w:pos="269"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29, 2024, depreciation and amortization expense was $2.6 million and $0.1 million for the Residential Solar Installation and New Homes Business reportable segments, respectively.</w:t>
      </w:r>
    </w:p>
    <w:p>
      <w:pPr>
        <w:spacing w:after="0" w:line="3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62" w:right="319" w:bottom="1440" w:gutter="0" w:footer="0" w:header="0"/>
        </w:sectPr>
      </w:pPr>
    </w:p>
    <w:bookmarkStart w:id="227" w:name="page228"/>
    <w:bookmarkEnd w:id="227"/>
    <w:tbl>
      <w:tblPr>
        <w:tblLayout w:type="fixed"/>
        <w:tblInd w:w="9"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gridSpan w:val="8"/>
          </w:tcPr>
          <w:p>
            <w:pPr>
              <w:jc w:val="center"/>
              <w:ind w:right="202"/>
              <w:spacing w:after="0"/>
              <w:rPr>
                <w:sz w:val="20"/>
                <w:szCs w:val="20"/>
                <w:color w:val="auto"/>
              </w:rPr>
            </w:pPr>
            <w:r>
              <w:rPr>
                <w:rFonts w:ascii="Times New Roman" w:cs="Times New Roman" w:eastAsia="Times New Roman" w:hAnsi="Times New Roman"/>
                <w:sz w:val="15"/>
                <w:szCs w:val="15"/>
                <w:b w:val="1"/>
                <w:bCs w:val="1"/>
                <w:color w:val="auto"/>
              </w:rPr>
              <w:t>Fiscal Year Ended December 31, 2023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2"/>
              <w:spacing w:after="0" w:line="164" w:lineRule="exact"/>
              <w:rPr>
                <w:sz w:val="20"/>
                <w:szCs w:val="20"/>
                <w:color w:val="auto"/>
              </w:rPr>
            </w:pPr>
            <w:r>
              <w:rPr>
                <w:rFonts w:ascii="Times New Roman" w:cs="Times New Roman" w:eastAsia="Times New Roman" w:hAnsi="Times New Roman"/>
                <w:sz w:val="15"/>
                <w:szCs w:val="15"/>
                <w:b w:val="1"/>
                <w:bCs w:val="1"/>
                <w:color w:val="auto"/>
              </w:rPr>
              <w:t>Residential</w:t>
            </w: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22"/>
              <w:spacing w:after="0"/>
              <w:rPr>
                <w:sz w:val="20"/>
                <w:szCs w:val="20"/>
                <w:color w:val="auto"/>
              </w:rPr>
            </w:pPr>
            <w:r>
              <w:rPr>
                <w:rFonts w:ascii="Times New Roman" w:cs="Times New Roman" w:eastAsia="Times New Roman" w:hAnsi="Times New Roman"/>
                <w:sz w:val="15"/>
                <w:szCs w:val="15"/>
                <w:b w:val="1"/>
                <w:bCs w:val="1"/>
                <w:color w:val="auto"/>
                <w:w w:val="99"/>
              </w:rPr>
              <w:t>Solar</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New Homes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40" w:type="dxa"/>
            <w:vAlign w:val="bottom"/>
          </w:tcPr>
          <w:p>
            <w:pPr>
              <w:spacing w:after="0"/>
              <w:rPr>
                <w:sz w:val="17"/>
                <w:szCs w:val="17"/>
                <w:color w:val="auto"/>
              </w:rPr>
            </w:pPr>
          </w:p>
        </w:tc>
        <w:tc>
          <w:tcPr>
            <w:tcW w:w="1220" w:type="dxa"/>
            <w:vAlign w:val="bottom"/>
            <w:gridSpan w:val="2"/>
          </w:tcPr>
          <w:p>
            <w:pPr>
              <w:jc w:val="center"/>
              <w:ind w:right="322"/>
              <w:spacing w:after="0"/>
              <w:rPr>
                <w:sz w:val="20"/>
                <w:szCs w:val="20"/>
                <w:color w:val="auto"/>
              </w:rPr>
            </w:pPr>
            <w:r>
              <w:rPr>
                <w:rFonts w:ascii="Times New Roman" w:cs="Times New Roman" w:eastAsia="Times New Roman" w:hAnsi="Times New Roman"/>
                <w:sz w:val="15"/>
                <w:szCs w:val="15"/>
                <w:b w:val="1"/>
                <w:bCs w:val="1"/>
                <w:color w:val="auto"/>
              </w:rPr>
              <w:t>Installation</w:t>
            </w:r>
          </w:p>
        </w:tc>
        <w:tc>
          <w:tcPr>
            <w:tcW w:w="1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Business</w:t>
            </w:r>
          </w:p>
        </w:tc>
        <w:tc>
          <w:tcPr>
            <w:tcW w:w="240" w:type="dxa"/>
            <w:vAlign w:val="bottom"/>
          </w:tcPr>
          <w:p>
            <w:pPr>
              <w:spacing w:after="0"/>
              <w:rPr>
                <w:sz w:val="17"/>
                <w:szCs w:val="17"/>
                <w:color w:val="auto"/>
              </w:rPr>
            </w:pPr>
          </w:p>
        </w:tc>
        <w:tc>
          <w:tcPr>
            <w:tcW w:w="980" w:type="dxa"/>
            <w:vAlign w:val="bottom"/>
            <w:gridSpan w:val="2"/>
          </w:tcPr>
          <w:p>
            <w:pPr>
              <w:jc w:val="right"/>
              <w:ind w:right="462"/>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87,616</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87,616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Cost of revenues</w:t>
            </w:r>
          </w:p>
        </w:tc>
        <w:tc>
          <w:tcPr>
            <w:tcW w:w="140" w:type="dxa"/>
            <w:vAlign w:val="bottom"/>
          </w:tcPr>
          <w:p>
            <w:pPr>
              <w:spacing w:after="0"/>
              <w:rPr>
                <w:sz w:val="15"/>
                <w:szCs w:val="15"/>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69,828</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69,828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Sales commissions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31,127</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31,127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Sales and marketing</w:t>
            </w:r>
          </w:p>
        </w:tc>
        <w:tc>
          <w:tcPr>
            <w:tcW w:w="140" w:type="dxa"/>
            <w:vAlign w:val="bottom"/>
          </w:tcPr>
          <w:p>
            <w:pPr>
              <w:spacing w:after="0"/>
              <w:rPr>
                <w:sz w:val="15"/>
                <w:szCs w:val="15"/>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6,920</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6,920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00" w:type="dxa"/>
            <w:vAlign w:val="bottom"/>
            <w:gridSpan w:val="2"/>
            <w:shd w:val="clear" w:color="auto" w:fill="CCEEFF"/>
          </w:tcPr>
          <w:p>
            <w:pPr>
              <w:ind w:left="120"/>
              <w:spacing w:after="0" w:line="228" w:lineRule="exact"/>
              <w:rPr>
                <w:sz w:val="20"/>
                <w:szCs w:val="20"/>
                <w:color w:val="auto"/>
              </w:rPr>
            </w:pPr>
            <w:r>
              <w:rPr>
                <w:rFonts w:ascii="Times New Roman" w:cs="Times New Roman" w:eastAsia="Times New Roman" w:hAnsi="Times New Roman"/>
                <w:sz w:val="15"/>
                <w:szCs w:val="15"/>
                <w:color w:val="auto"/>
              </w:rPr>
              <w:t xml:space="preserve">General and administrative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32,099</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32,099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300" w:type="dxa"/>
            <w:vAlign w:val="bottom"/>
            <w:tcBorders>
              <w:top w:val="single" w:sz="8" w:color="CCEEFF"/>
              <w:bottom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(52,358</w:t>
            </w:r>
          </w:p>
        </w:tc>
        <w:tc>
          <w:tcPr>
            <w:tcW w:w="220" w:type="dxa"/>
            <w:vAlign w:val="bottom"/>
            <w:tcBorders>
              <w:top w:val="single" w:sz="8" w:color="CCEEFF"/>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(52,358</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Reconciliation of segment loss from continuing operations before income taxes: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Unallocated amounts: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General corporate expense</w:t>
            </w:r>
          </w:p>
        </w:tc>
        <w:tc>
          <w:tcPr>
            <w:tcW w:w="140" w:type="dxa"/>
            <w:vAlign w:val="bottom"/>
          </w:tcPr>
          <w:p>
            <w:pPr>
              <w:spacing w:after="0"/>
              <w:rPr>
                <w:sz w:val="15"/>
                <w:szCs w:val="15"/>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(14,033)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tcPr>
          <w:p>
            <w:pPr>
              <w:spacing w:after="0"/>
              <w:rPr>
                <w:sz w:val="15"/>
                <w:szCs w:val="15"/>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income (expense), net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(29,862)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Gain on troubled debt restructuring</w:t>
            </w:r>
          </w:p>
        </w:tc>
        <w:tc>
          <w:tcPr>
            <w:tcW w:w="140" w:type="dxa"/>
            <w:vAlign w:val="bottom"/>
          </w:tcPr>
          <w:p>
            <w:pPr>
              <w:spacing w:after="0"/>
              <w:rPr>
                <w:sz w:val="17"/>
                <w:szCs w:val="17"/>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3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Loss from continuing operations before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(96,217</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 w:right="1700" w:hanging="9"/>
        <w:spacing w:after="0" w:line="511" w:lineRule="auto"/>
        <w:tabs>
          <w:tab w:leader="none" w:pos="282"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2023, depreciation and amortization expense was $0.9 million for the Residential Solar Installation reportable segment. Assets by segment are as follows (in thousands):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29,</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Residential Solar Installation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66,145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47,322</w:t>
            </w:r>
          </w:p>
        </w:tc>
        <w:tc>
          <w:tcPr>
            <w:tcW w:w="100" w:type="dxa"/>
            <w:vAlign w:val="bottom"/>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New Homes Business</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78,321</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144,466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(23) Related Party Transactions</w:t>
      </w:r>
    </w:p>
    <w:p>
      <w:pPr>
        <w:spacing w:after="0" w:line="196"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Refer to the following notes to the Company’s consolidated financial statements for details regarding the related party transactions entered into by the Company; Note 1(a) - Description of Business; Note 3 - Reverse Recapitalization, Note 6 - Forward Purchase Agreements, Note 12 - Other Income (Expense), Net; Note 15 - Borrowings and Derivative Liabilities and Note 16 - SAFE Agreements. All other related party transactions are described herein.</w:t>
      </w:r>
    </w:p>
    <w:p>
      <w:pPr>
        <w:spacing w:after="0" w:line="146" w:lineRule="exact"/>
        <w:rPr>
          <w:sz w:val="20"/>
          <w:szCs w:val="20"/>
          <w:color w:val="auto"/>
        </w:rPr>
      </w:pPr>
    </w:p>
    <w:p>
      <w:pPr>
        <w:jc w:val="both"/>
        <w:ind w:left="9" w:right="20"/>
        <w:spacing w:after="0" w:line="280" w:lineRule="auto"/>
        <w:rPr>
          <w:sz w:val="20"/>
          <w:szCs w:val="20"/>
          <w:color w:val="auto"/>
        </w:rPr>
      </w:pPr>
      <w:r>
        <w:rPr>
          <w:rFonts w:ascii="Times New Roman" w:cs="Times New Roman" w:eastAsia="Times New Roman" w:hAnsi="Times New Roman"/>
          <w:sz w:val="15"/>
          <w:szCs w:val="15"/>
          <w:color w:val="auto"/>
        </w:rPr>
        <w:t>In December 2023, the Company entered into separate common stock purchase agreements with the Rodgers Massey Freedom and Free Markets Charitable Trust and the Rodgers Massey Revocable Living Trust , each a related party affiliated with Thurman J. Rodgers, the Company’s Chief Executive Officer and a director, for an aggregate purchase price of $5.0 million.</w:t>
      </w:r>
    </w:p>
    <w:p>
      <w:pPr>
        <w:spacing w:after="0" w:line="326"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The Company determined that SameDay Solar became a related party in fiscal 2024 with which the Company does business. Revenue, cost of revenue and commission expense with SameDay Solar were $1.6 million and $0.6 million and $1.2 million for the fiscal year ended December 29, 2024.</w:t>
      </w:r>
    </w:p>
    <w:p>
      <w:pPr>
        <w:spacing w:after="0" w:line="3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70" w:right="319" w:bottom="1440" w:gutter="0" w:footer="0" w:header="0"/>
        </w:sectPr>
      </w:pPr>
    </w:p>
    <w:bookmarkStart w:id="228" w:name="page229"/>
    <w:bookmarkEnd w:id="22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Independent Auditor’s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Audit Committee of the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SunPower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45700 Northport Loop East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Freemont, California, 94538, USA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Opinion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have audited the combined financial statements of the SunPower Businesses (the Company), which comprise the combined balance sheets as of September 29, 2024 and December 31, 2023, and the related combined statements of operations, net parent investment, and cash flows for the 39 weeks ended September 29, 2024 and the year ended December 31, 2023, and the related notes to the combined financial statements.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our opinion, the accompanying combined financial statements present fairly, in all material respects, the financial position of the Company as of September 29, 2024 and December 31, 2023, and the results of its operations and its cash flows for the 39 weeks ended September 29, 2024 and the year ended December 31, 2023 in accordance with accounting principles generally accepted in the United States of America.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for Opinion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Substantial Doubt About the Company’s Ability to Continue as a Going Concern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accompanying combined financial statements have been prepared assuming that the Company will continue as a going concern. As described in Note 1 to the combined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1. The combined financial statements do not include any adjustments that might result from the outcome of this uncertainty. Our opinion is not modified with respect to this matter.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Responsibilities of Management for the Financial Statements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Management is responsible for the preparation and fair presentation of the combined financial statements in accordance with accounting principles generally accepted in the United States of America, and for the design, implementation, and maintenance of internal control relevant to the preparation and fair presentation of combined financial statements that are free from material misstatement, whether due to fraud or error.</w:t>
      </w:r>
    </w:p>
    <w:p>
      <w:pPr>
        <w:spacing w:after="0" w:line="14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In preparing the combined financial statements, management is required to evaluate whether there are conditions or events, considered in the aggregate, that raise substantial doubt about the Company’s ability to continue as a going concern within one year after the date that the combined financial statements are available to be issued.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5"/>
          <w:szCs w:val="15"/>
          <w:b w:val="1"/>
          <w:bCs w:val="1"/>
          <w:i w:val="1"/>
          <w:iCs w:val="1"/>
          <w:color w:val="auto"/>
        </w:rPr>
        <w:t>Auditor’s Responsibilities for the Audit of the Financial Statements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objectives are to obtain reasonable assurance about whether the combined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performing an audit in accordance with GAAS, we:</w:t>
      </w:r>
    </w:p>
    <w:p>
      <w:pPr>
        <w:spacing w:after="0" w:line="192" w:lineRule="exact"/>
        <w:rPr>
          <w:sz w:val="20"/>
          <w:szCs w:val="20"/>
          <w:color w:val="auto"/>
        </w:rPr>
      </w:pPr>
    </w:p>
    <w:p>
      <w:pPr>
        <w:ind w:left="540" w:hanging="276"/>
        <w:spacing w:after="0"/>
        <w:tabs>
          <w:tab w:leader="none" w:pos="5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Exercise professional judgment and maintain professional skepticism throughout the audit.</w:t>
      </w:r>
    </w:p>
    <w:p>
      <w:pPr>
        <w:spacing w:after="0" w:line="191"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and assess the risks of material misstatement of the combined financial statements, whether due to fraud or error, and design and perform audit procedures responsive to those risks. Such procedures include examining, on a test basis, evidence regarding the amounts and disclosures in the combined financial statements.</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the appropriateness of accounting policies used and the reasonableness of significant accounting estimates made by management, as well as evaluate the overall presentation of the combined financial statements.</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Conclude whether, in our judgment, there are conditions or events, considered in the aggregate, that raise substantial doubt about the Company’s ability to continue as a going concern for a reasonable period of time.</w:t>
      </w:r>
    </w:p>
    <w:p>
      <w:pPr>
        <w:spacing w:after="0" w:line="13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5"/>
          <w:szCs w:val="15"/>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BDO USA, P.C.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Atlanta, GA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16, 2024</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660" w:type="dxa"/>
            <w:vAlign w:val="bottom"/>
          </w:tcPr>
          <w:p>
            <w:pPr>
              <w:jc w:val="center"/>
              <w:ind w:left="2484"/>
              <w:spacing w:after="0"/>
              <w:rPr>
                <w:sz w:val="20"/>
                <w:szCs w:val="20"/>
                <w:color w:val="auto"/>
              </w:rPr>
            </w:pPr>
            <w:r>
              <w:rPr>
                <w:rFonts w:ascii="Times New Roman" w:cs="Times New Roman" w:eastAsia="Times New Roman" w:hAnsi="Times New Roman"/>
                <w:sz w:val="15"/>
                <w:szCs w:val="15"/>
                <w:b w:val="1"/>
                <w:bCs w:val="1"/>
                <w:color w:val="auto"/>
              </w:rPr>
              <w:t>SUNPOWER BUSINESSES COMBINED BALANCE-SHEET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60" w:type="dxa"/>
            <w:vAlign w:val="bottom"/>
          </w:tcPr>
          <w:p>
            <w:pPr>
              <w:jc w:val="center"/>
              <w:ind w:left="2464"/>
              <w:spacing w:after="0"/>
              <w:rPr>
                <w:sz w:val="20"/>
                <w:szCs w:val="20"/>
                <w:color w:val="auto"/>
              </w:rPr>
            </w:pPr>
            <w:r>
              <w:rPr>
                <w:rFonts w:ascii="Times New Roman" w:cs="Times New Roman" w:eastAsia="Times New Roman" w:hAnsi="Times New Roman"/>
                <w:sz w:val="15"/>
                <w:szCs w:val="15"/>
                <w:color w:val="auto"/>
              </w:rPr>
              <w:t>(In thousands)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4"/>
                <w:szCs w:val="14"/>
                <w:color w:val="auto"/>
              </w:rPr>
            </w:pPr>
          </w:p>
        </w:tc>
        <w:tc>
          <w:tcPr>
            <w:tcW w:w="1020" w:type="dxa"/>
            <w:vAlign w:val="bottom"/>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68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ASSETS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1,863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 net of allowance for doubtful accounts of $4,203 and $4,346 as of September 29, 2024 and December 31, 2023</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42,294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32,078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 assets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35,759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27,945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Inventories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11,432</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7,623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59,244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76,906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current assets</w:t>
            </w: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150,592</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148,382</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9,557</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11,757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2,507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3,055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22,070</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125,998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640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185,366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298,409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NET PARENT INVESTMENT</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69,047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64,492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Accrued liabilities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32,584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32,674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current portion</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908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Contract liabilities</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19,058</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19,117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121,597</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117,121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2,055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8,980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11,208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132,632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131,075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parent investment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52,734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167,334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liabilities and net parent investment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185,366</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298,409</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jc w:val="center"/>
              <w:ind w:left="2464"/>
              <w:spacing w:after="0"/>
              <w:rPr>
                <w:sz w:val="20"/>
                <w:szCs w:val="20"/>
                <w:color w:val="auto"/>
              </w:rPr>
            </w:pPr>
            <w:r>
              <w:rPr>
                <w:rFonts w:ascii="Times New Roman" w:cs="Times New Roman" w:eastAsia="Times New Roman" w:hAnsi="Times New Roman"/>
                <w:sz w:val="15"/>
                <w:szCs w:val="15"/>
                <w:color w:val="auto"/>
                <w:w w:val="98"/>
              </w:rPr>
              <w:t>F-95</w:t>
            </w: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0" w:type="dxa"/>
            <w:vAlign w:val="bottom"/>
          </w:tcPr>
          <w:p>
            <w:pPr>
              <w:spacing w:after="0"/>
              <w:rPr>
                <w:sz w:val="24"/>
                <w:szCs w:val="24"/>
                <w:color w:val="auto"/>
              </w:rPr>
            </w:pPr>
          </w:p>
        </w:tc>
        <w:tc>
          <w:tcPr>
            <w:tcW w:w="86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58" w:right="319" w:bottom="1440" w:gutter="0" w:footer="0" w:header="0"/>
        </w:sectPr>
      </w:pPr>
    </w:p>
    <w:bookmarkStart w:id="231" w:name="page232"/>
    <w:bookmarkEnd w:id="2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40" w:type="dxa"/>
            <w:vAlign w:val="bottom"/>
          </w:tcPr>
          <w:p>
            <w:pPr>
              <w:spacing w:after="0"/>
              <w:rPr>
                <w:sz w:val="17"/>
                <w:szCs w:val="17"/>
                <w:color w:val="auto"/>
              </w:rPr>
            </w:pPr>
          </w:p>
        </w:tc>
        <w:tc>
          <w:tcPr>
            <w:tcW w:w="5920" w:type="dxa"/>
            <w:vAlign w:val="bottom"/>
            <w:gridSpan w:val="2"/>
          </w:tcPr>
          <w:p>
            <w:pPr>
              <w:jc w:val="center"/>
              <w:ind w:right="306"/>
              <w:spacing w:after="0"/>
              <w:rPr>
                <w:sz w:val="20"/>
                <w:szCs w:val="20"/>
                <w:color w:val="auto"/>
              </w:rPr>
            </w:pPr>
            <w:r>
              <w:rPr>
                <w:rFonts w:ascii="Times New Roman" w:cs="Times New Roman" w:eastAsia="Times New Roman" w:hAnsi="Times New Roman"/>
                <w:sz w:val="15"/>
                <w:szCs w:val="15"/>
                <w:b w:val="1"/>
                <w:bCs w:val="1"/>
                <w:color w:val="auto"/>
              </w:rPr>
              <w:t>SUNPOWER BUSINESSES COMBINED STATEMENT OF OPERATIONS</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2840" w:type="dxa"/>
            <w:vAlign w:val="bottom"/>
          </w:tcPr>
          <w:p>
            <w:pPr>
              <w:spacing w:after="0"/>
              <w:rPr>
                <w:sz w:val="24"/>
                <w:szCs w:val="24"/>
                <w:color w:val="auto"/>
              </w:rPr>
            </w:pPr>
          </w:p>
        </w:tc>
        <w:tc>
          <w:tcPr>
            <w:tcW w:w="5920" w:type="dxa"/>
            <w:vAlign w:val="bottom"/>
            <w:gridSpan w:val="2"/>
          </w:tcPr>
          <w:p>
            <w:pPr>
              <w:jc w:val="center"/>
              <w:ind w:right="306"/>
              <w:spacing w:after="0"/>
              <w:rPr>
                <w:sz w:val="20"/>
                <w:szCs w:val="20"/>
                <w:color w:val="auto"/>
              </w:rPr>
            </w:pPr>
            <w:r>
              <w:rPr>
                <w:rFonts w:ascii="Times New Roman" w:cs="Times New Roman" w:eastAsia="Times New Roman" w:hAnsi="Times New Roman"/>
                <w:sz w:val="15"/>
                <w:szCs w:val="15"/>
                <w:color w:val="auto"/>
              </w:rPr>
              <w:t>(In thousands)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28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62"/>
              <w:spacing w:after="0"/>
              <w:rPr>
                <w:sz w:val="20"/>
                <w:szCs w:val="20"/>
                <w:color w:val="auto"/>
              </w:rPr>
            </w:pPr>
            <w:r>
              <w:rPr>
                <w:rFonts w:ascii="Times New Roman" w:cs="Times New Roman" w:eastAsia="Times New Roman" w:hAnsi="Times New Roman"/>
                <w:sz w:val="15"/>
                <w:szCs w:val="15"/>
                <w:b w:val="1"/>
                <w:bCs w:val="1"/>
                <w:color w:val="auto"/>
              </w:rPr>
              <w:t>Thirty-Nine</w:t>
            </w:r>
          </w:p>
        </w:tc>
        <w:tc>
          <w:tcPr>
            <w:tcW w:w="100" w:type="dxa"/>
            <w:vAlign w:val="bottom"/>
          </w:tcPr>
          <w:p>
            <w:pPr>
              <w:spacing w:after="0"/>
              <w:rPr>
                <w:sz w:val="24"/>
                <w:szCs w:val="24"/>
                <w:color w:val="auto"/>
              </w:rPr>
            </w:pPr>
          </w:p>
        </w:tc>
        <w:tc>
          <w:tcPr>
            <w:tcW w:w="1120" w:type="dxa"/>
            <w:vAlign w:val="bottom"/>
            <w:gridSpan w:val="2"/>
          </w:tcPr>
          <w:p>
            <w:pPr>
              <w:jc w:val="center"/>
              <w:ind w:right="162"/>
              <w:spacing w:after="0"/>
              <w:rPr>
                <w:sz w:val="20"/>
                <w:szCs w:val="20"/>
                <w:color w:val="auto"/>
              </w:rPr>
            </w:pPr>
            <w:r>
              <w:rPr>
                <w:rFonts w:ascii="Times New Roman" w:cs="Times New Roman" w:eastAsia="Times New Roman" w:hAnsi="Times New Roman"/>
                <w:sz w:val="15"/>
                <w:szCs w:val="15"/>
                <w:b w:val="1"/>
                <w:bCs w:val="1"/>
                <w:color w:val="auto"/>
                <w:w w:val="98"/>
              </w:rPr>
              <w:t>Fiscal Year</w:t>
            </w:r>
          </w:p>
        </w:tc>
      </w:tr>
      <w:tr>
        <w:trPr>
          <w:trHeight w:val="182"/>
        </w:trPr>
        <w:tc>
          <w:tcPr>
            <w:tcW w:w="28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rPr>
              <w:t>Weeks Ended</w:t>
            </w:r>
          </w:p>
        </w:tc>
        <w:tc>
          <w:tcPr>
            <w:tcW w:w="100" w:type="dxa"/>
            <w:vAlign w:val="bottom"/>
          </w:tcPr>
          <w:p>
            <w:pPr>
              <w:spacing w:after="0"/>
              <w:rPr>
                <w:sz w:val="15"/>
                <w:szCs w:val="15"/>
                <w:color w:val="auto"/>
              </w:rPr>
            </w:pPr>
          </w:p>
        </w:tc>
        <w:tc>
          <w:tcPr>
            <w:tcW w:w="1120" w:type="dxa"/>
            <w:vAlign w:val="bottom"/>
            <w:gridSpan w:val="2"/>
          </w:tcPr>
          <w:p>
            <w:pPr>
              <w:jc w:val="center"/>
              <w:ind w:right="182"/>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2"/>
        </w:trPr>
        <w:tc>
          <w:tcPr>
            <w:tcW w:w="28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5"/>
                <w:szCs w:val="15"/>
                <w:color w:val="auto"/>
              </w:rPr>
            </w:pPr>
          </w:p>
        </w:tc>
        <w:tc>
          <w:tcPr>
            <w:tcW w:w="1120" w:type="dxa"/>
            <w:vAlign w:val="bottom"/>
            <w:gridSpan w:val="2"/>
          </w:tcPr>
          <w:p>
            <w:pPr>
              <w:jc w:val="center"/>
              <w:ind w:right="162"/>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2840" w:type="dxa"/>
            <w:vAlign w:val="bottom"/>
            <w:tcBorders>
              <w:bottom w:val="single" w:sz="8" w:color="CCEEFF"/>
            </w:tcBorders>
          </w:tcPr>
          <w:p>
            <w:pPr>
              <w:spacing w:after="0"/>
              <w:rPr>
                <w:sz w:val="17"/>
                <w:szCs w:val="17"/>
                <w:color w:val="auto"/>
              </w:rPr>
            </w:pPr>
          </w:p>
        </w:tc>
        <w:tc>
          <w:tcPr>
            <w:tcW w:w="58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58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273,118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610,035</w:t>
            </w:r>
          </w:p>
        </w:tc>
        <w:tc>
          <w:tcPr>
            <w:tcW w:w="100" w:type="dxa"/>
            <w:vAlign w:val="bottom"/>
            <w:shd w:val="clear" w:color="auto" w:fill="CCEEFF"/>
          </w:tcPr>
          <w:p>
            <w:pPr>
              <w:spacing w:after="0"/>
              <w:rPr>
                <w:sz w:val="15"/>
                <w:szCs w:val="15"/>
                <w:color w:val="auto"/>
              </w:rPr>
            </w:pPr>
          </w:p>
        </w:tc>
      </w:tr>
      <w:tr>
        <w:trPr>
          <w:trHeight w:val="196"/>
        </w:trPr>
        <w:tc>
          <w:tcPr>
            <w:tcW w:w="284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5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173,062</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345,217</w:t>
            </w:r>
          </w:p>
        </w:tc>
      </w:tr>
      <w:tr>
        <w:trPr>
          <w:trHeight w:val="182"/>
        </w:trPr>
        <w:tc>
          <w:tcPr>
            <w:tcW w:w="28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Gross margin</w:t>
            </w:r>
          </w:p>
        </w:tc>
        <w:tc>
          <w:tcPr>
            <w:tcW w:w="58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100,056</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264,818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284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5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Sales, general, and administrative</w:t>
            </w:r>
          </w:p>
        </w:tc>
        <w:tc>
          <w:tcPr>
            <w:tcW w:w="5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219,932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290,693</w:t>
            </w:r>
          </w:p>
        </w:tc>
      </w:tr>
      <w:tr>
        <w:trPr>
          <w:trHeight w:val="182"/>
        </w:trPr>
        <w:tc>
          <w:tcPr>
            <w:tcW w:w="28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Loss on goodwill impairment</w:t>
            </w:r>
          </w:p>
        </w:tc>
        <w:tc>
          <w:tcPr>
            <w:tcW w:w="5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103,926</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213"/>
        </w:trPr>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5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3,961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8,830</w:t>
            </w:r>
          </w:p>
        </w:tc>
      </w:tr>
      <w:tr>
        <w:trPr>
          <w:trHeight w:val="168"/>
        </w:trPr>
        <w:tc>
          <w:tcPr>
            <w:tcW w:w="2840" w:type="dxa"/>
            <w:vAlign w:val="bottom"/>
            <w:tcBorders>
              <w:top w:val="single" w:sz="8" w:color="CCEEFF"/>
              <w:bottom w:val="single" w:sz="8" w:color="CCEEFF"/>
            </w:tcBorders>
          </w:tcPr>
          <w:p>
            <w:pPr>
              <w:ind w:left="260"/>
              <w:spacing w:after="0" w:line="165" w:lineRule="exact"/>
              <w:rPr>
                <w:sz w:val="20"/>
                <w:szCs w:val="20"/>
                <w:color w:val="auto"/>
              </w:rPr>
            </w:pPr>
            <w:r>
              <w:rPr>
                <w:rFonts w:ascii="Times New Roman" w:cs="Times New Roman" w:eastAsia="Times New Roman" w:hAnsi="Times New Roman"/>
                <w:sz w:val="15"/>
                <w:szCs w:val="15"/>
                <w:color w:val="auto"/>
              </w:rPr>
              <w:t>Total operating expenses</w:t>
            </w:r>
          </w:p>
        </w:tc>
        <w:tc>
          <w:tcPr>
            <w:tcW w:w="58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327,819</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299,523</w:t>
            </w:r>
          </w:p>
        </w:tc>
        <w:tc>
          <w:tcPr>
            <w:tcW w:w="100" w:type="dxa"/>
            <w:vAlign w:val="bottom"/>
            <w:tcBorders>
              <w:top w:val="single" w:sz="8" w:color="CCEEFF"/>
              <w:bottom w:val="single" w:sz="8" w:color="CCEEFF"/>
            </w:tcBorders>
          </w:tcPr>
          <w:p>
            <w:pPr>
              <w:spacing w:after="0"/>
              <w:rPr>
                <w:sz w:val="14"/>
                <w:szCs w:val="14"/>
                <w:color w:val="auto"/>
              </w:rPr>
            </w:pPr>
          </w:p>
        </w:tc>
      </w:tr>
      <w:tr>
        <w:trPr>
          <w:trHeight w:val="182"/>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loss</w:t>
            </w:r>
          </w:p>
        </w:tc>
        <w:tc>
          <w:tcPr>
            <w:tcW w:w="5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(227,763)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(34,705)</w:t>
            </w:r>
          </w:p>
        </w:tc>
        <w:tc>
          <w:tcPr>
            <w:tcW w:w="100" w:type="dxa"/>
            <w:vAlign w:val="bottom"/>
            <w:shd w:val="clear" w:color="auto" w:fill="CCEEFF"/>
          </w:tcPr>
          <w:p>
            <w:pPr>
              <w:spacing w:after="0"/>
              <w:rPr>
                <w:sz w:val="15"/>
                <w:szCs w:val="15"/>
                <w:color w:val="auto"/>
              </w:rPr>
            </w:pPr>
          </w:p>
        </w:tc>
      </w:tr>
      <w:tr>
        <w:trPr>
          <w:trHeight w:val="182"/>
        </w:trPr>
        <w:tc>
          <w:tcPr>
            <w:tcW w:w="284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5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(285)</w:t>
            </w:r>
          </w:p>
        </w:tc>
        <w:tc>
          <w:tcPr>
            <w:tcW w:w="100" w:type="dxa"/>
            <w:vAlign w:val="bottom"/>
          </w:tcPr>
          <w:p>
            <w:pPr>
              <w:spacing w:after="0"/>
              <w:rPr>
                <w:sz w:val="15"/>
                <w:szCs w:val="15"/>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(436)</w:t>
            </w:r>
          </w:p>
        </w:tc>
      </w:tr>
      <w:tr>
        <w:trPr>
          <w:trHeight w:val="21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 net</w:t>
            </w:r>
          </w:p>
        </w:tc>
        <w:tc>
          <w:tcPr>
            <w:tcW w:w="5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(28)</w:t>
            </w:r>
          </w:p>
        </w:tc>
      </w:tr>
      <w:tr>
        <w:trPr>
          <w:trHeight w:val="165"/>
        </w:trPr>
        <w:tc>
          <w:tcPr>
            <w:tcW w:w="284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Loss before income taxes</w:t>
            </w:r>
          </w:p>
        </w:tc>
        <w:tc>
          <w:tcPr>
            <w:tcW w:w="58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(228,060)</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(35,169)</w:t>
            </w:r>
          </w:p>
        </w:tc>
        <w:tc>
          <w:tcPr>
            <w:tcW w:w="100" w:type="dxa"/>
            <w:vAlign w:val="bottom"/>
            <w:tcBorders>
              <w:top w:val="single" w:sz="8" w:color="CCEEFF"/>
            </w:tcBorders>
          </w:tcPr>
          <w:p>
            <w:pPr>
              <w:spacing w:after="0"/>
              <w:rPr>
                <w:sz w:val="14"/>
                <w:szCs w:val="14"/>
                <w:color w:val="auto"/>
              </w:rPr>
            </w:pPr>
          </w:p>
        </w:tc>
      </w:tr>
      <w:tr>
        <w:trPr>
          <w:trHeight w:val="21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5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572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(267)</w:t>
            </w:r>
          </w:p>
        </w:tc>
      </w:tr>
      <w:tr>
        <w:trPr>
          <w:trHeight w:val="168"/>
        </w:trPr>
        <w:tc>
          <w:tcPr>
            <w:tcW w:w="284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loss</w:t>
            </w:r>
          </w:p>
        </w:tc>
        <w:tc>
          <w:tcPr>
            <w:tcW w:w="584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(227,488</w:t>
            </w:r>
          </w:p>
        </w:tc>
        <w:tc>
          <w:tcPr>
            <w:tcW w:w="220" w:type="dxa"/>
            <w:vAlign w:val="bottom"/>
            <w:tcBorders>
              <w:top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(35,436</w:t>
            </w:r>
          </w:p>
        </w:tc>
        <w:tc>
          <w:tcPr>
            <w:tcW w:w="100" w:type="dxa"/>
            <w:vAlign w:val="bottom"/>
            <w:tcBorders>
              <w:top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8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3"/>
        </w:trPr>
        <w:tc>
          <w:tcPr>
            <w:tcW w:w="28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2"/>
          </w:tcPr>
          <w:p>
            <w:pPr>
              <w:jc w:val="center"/>
              <w:ind w:right="306"/>
              <w:spacing w:after="0"/>
              <w:rPr>
                <w:sz w:val="20"/>
                <w:szCs w:val="20"/>
                <w:color w:val="auto"/>
              </w:rPr>
            </w:pPr>
            <w:r>
              <w:rPr>
                <w:rFonts w:ascii="Times New Roman" w:cs="Times New Roman" w:eastAsia="Times New Roman" w:hAnsi="Times New Roman"/>
                <w:sz w:val="15"/>
                <w:szCs w:val="15"/>
                <w:color w:val="auto"/>
                <w:w w:val="98"/>
              </w:rPr>
              <w:t>F-96</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58" w:right="319" w:bottom="1440" w:gutter="0" w:footer="0" w:header="0"/>
        </w:sectPr>
      </w:pPr>
    </w:p>
    <w:bookmarkStart w:id="232" w:name="page233"/>
    <w:bookmarkEnd w:id="2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80" w:type="dxa"/>
            <w:vAlign w:val="bottom"/>
          </w:tcPr>
          <w:p>
            <w:pPr>
              <w:spacing w:after="0"/>
              <w:rPr>
                <w:sz w:val="17"/>
                <w:szCs w:val="17"/>
                <w:color w:val="auto"/>
              </w:rPr>
            </w:pPr>
          </w:p>
        </w:tc>
        <w:tc>
          <w:tcPr>
            <w:tcW w:w="7880" w:type="dxa"/>
            <w:vAlign w:val="bottom"/>
            <w:gridSpan w:val="2"/>
          </w:tcPr>
          <w:p>
            <w:pPr>
              <w:jc w:val="center"/>
              <w:ind w:right="1124"/>
              <w:spacing w:after="0"/>
              <w:rPr>
                <w:sz w:val="20"/>
                <w:szCs w:val="20"/>
                <w:color w:val="auto"/>
              </w:rPr>
            </w:pPr>
            <w:r>
              <w:rPr>
                <w:rFonts w:ascii="Times New Roman" w:cs="Times New Roman" w:eastAsia="Times New Roman" w:hAnsi="Times New Roman"/>
                <w:sz w:val="15"/>
                <w:szCs w:val="15"/>
                <w:b w:val="1"/>
                <w:bCs w:val="1"/>
                <w:color w:val="auto"/>
              </w:rPr>
              <w:t>SUNPOWER BUSINESSES COMBINED STATEMENT OF NET PARENT INVESTMENT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2280" w:type="dxa"/>
            <w:vAlign w:val="bottom"/>
          </w:tcPr>
          <w:p>
            <w:pPr>
              <w:spacing w:after="0"/>
              <w:rPr>
                <w:sz w:val="24"/>
                <w:szCs w:val="24"/>
                <w:color w:val="auto"/>
              </w:rPr>
            </w:pPr>
          </w:p>
        </w:tc>
        <w:tc>
          <w:tcPr>
            <w:tcW w:w="7880" w:type="dxa"/>
            <w:vAlign w:val="bottom"/>
            <w:gridSpan w:val="2"/>
          </w:tcPr>
          <w:p>
            <w:pPr>
              <w:jc w:val="center"/>
              <w:ind w:right="1124"/>
              <w:spacing w:after="0"/>
              <w:rPr>
                <w:sz w:val="20"/>
                <w:szCs w:val="20"/>
                <w:color w:val="auto"/>
              </w:rPr>
            </w:pPr>
            <w:r>
              <w:rPr>
                <w:rFonts w:ascii="Times New Roman" w:cs="Times New Roman" w:eastAsia="Times New Roman" w:hAnsi="Times New Roman"/>
                <w:sz w:val="15"/>
                <w:szCs w:val="15"/>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22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Net Parent</w:t>
            </w:r>
          </w:p>
        </w:tc>
      </w:tr>
      <w:tr>
        <w:trPr>
          <w:trHeight w:val="203"/>
        </w:trPr>
        <w:tc>
          <w:tcPr>
            <w:tcW w:w="22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Investment</w:t>
            </w:r>
          </w:p>
        </w:tc>
      </w:tr>
      <w:tr>
        <w:trPr>
          <w:trHeight w:val="182"/>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 of January 1, 2023</w:t>
            </w:r>
          </w:p>
        </w:tc>
        <w:tc>
          <w:tcPr>
            <w:tcW w:w="77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135,360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(35,436)</w:t>
            </w:r>
          </w:p>
        </w:tc>
      </w:tr>
      <w:tr>
        <w:trPr>
          <w:trHeight w:val="182"/>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7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7,093</w:t>
            </w:r>
          </w:p>
        </w:tc>
      </w:tr>
      <w:tr>
        <w:trPr>
          <w:trHeight w:val="196"/>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Change in net parent investment</w:t>
            </w:r>
          </w:p>
        </w:tc>
        <w:tc>
          <w:tcPr>
            <w:tcW w:w="7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60,317</w:t>
            </w:r>
          </w:p>
        </w:tc>
      </w:tr>
      <w:tr>
        <w:trPr>
          <w:trHeight w:val="182"/>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 of December 31, 2023</w:t>
            </w:r>
          </w:p>
        </w:tc>
        <w:tc>
          <w:tcPr>
            <w:tcW w:w="77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167,334</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(227,488)</w:t>
            </w:r>
          </w:p>
        </w:tc>
      </w:tr>
      <w:tr>
        <w:trPr>
          <w:trHeight w:val="182"/>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7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2,777</w:t>
            </w:r>
          </w:p>
        </w:tc>
      </w:tr>
      <w:tr>
        <w:trPr>
          <w:trHeight w:val="196"/>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Change in net parent investment</w:t>
            </w:r>
          </w:p>
        </w:tc>
        <w:tc>
          <w:tcPr>
            <w:tcW w:w="7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110,111</w:t>
            </w:r>
          </w:p>
        </w:tc>
      </w:tr>
      <w:tr>
        <w:trPr>
          <w:trHeight w:val="185"/>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 of September 29, 2024</w:t>
            </w:r>
          </w:p>
        </w:tc>
        <w:tc>
          <w:tcPr>
            <w:tcW w:w="77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2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3"/>
        </w:trPr>
        <w:tc>
          <w:tcPr>
            <w:tcW w:w="228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gridSpan w:val="2"/>
          </w:tcPr>
          <w:p>
            <w:pPr>
              <w:jc w:val="center"/>
              <w:ind w:right="1124"/>
              <w:spacing w:after="0"/>
              <w:rPr>
                <w:sz w:val="20"/>
                <w:szCs w:val="20"/>
                <w:color w:val="auto"/>
              </w:rPr>
            </w:pPr>
            <w:r>
              <w:rPr>
                <w:rFonts w:ascii="Times New Roman" w:cs="Times New Roman" w:eastAsia="Times New Roman" w:hAnsi="Times New Roman"/>
                <w:sz w:val="15"/>
                <w:szCs w:val="15"/>
                <w:color w:val="auto"/>
                <w:w w:val="98"/>
              </w:rPr>
              <w:t>F-97</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58" w:right="319" w:bottom="1440" w:gutter="0" w:footer="0" w:header="0"/>
        </w:sectPr>
      </w:pPr>
    </w:p>
    <w:bookmarkStart w:id="233" w:name="page234"/>
    <w:bookmarkEnd w:id="2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jc w:val="center"/>
              <w:ind w:left="2504"/>
              <w:spacing w:after="0"/>
              <w:rPr>
                <w:sz w:val="20"/>
                <w:szCs w:val="20"/>
                <w:color w:val="auto"/>
              </w:rPr>
            </w:pPr>
            <w:r>
              <w:rPr>
                <w:rFonts w:ascii="Times New Roman" w:cs="Times New Roman" w:eastAsia="Times New Roman" w:hAnsi="Times New Roman"/>
                <w:sz w:val="15"/>
                <w:szCs w:val="15"/>
                <w:b w:val="1"/>
                <w:bCs w:val="1"/>
                <w:color w:val="auto"/>
              </w:rPr>
              <w:t>SUNPOWER BUSINESSES COMBINED STATEMENT OF CASH FLOWS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8680" w:type="dxa"/>
            <w:vAlign w:val="bottom"/>
          </w:tcPr>
          <w:p>
            <w:pPr>
              <w:jc w:val="center"/>
              <w:ind w:left="2484"/>
              <w:spacing w:after="0"/>
              <w:rPr>
                <w:sz w:val="20"/>
                <w:szCs w:val="20"/>
                <w:color w:val="auto"/>
              </w:rPr>
            </w:pPr>
            <w:r>
              <w:rPr>
                <w:rFonts w:ascii="Times New Roman" w:cs="Times New Roman" w:eastAsia="Times New Roman" w:hAnsi="Times New Roman"/>
                <w:sz w:val="15"/>
                <w:szCs w:val="15"/>
                <w:color w:val="auto"/>
              </w:rPr>
              <w:t>(In thousands)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62"/>
              <w:spacing w:after="0"/>
              <w:rPr>
                <w:sz w:val="20"/>
                <w:szCs w:val="20"/>
                <w:color w:val="auto"/>
              </w:rPr>
            </w:pPr>
            <w:r>
              <w:rPr>
                <w:rFonts w:ascii="Times New Roman" w:cs="Times New Roman" w:eastAsia="Times New Roman" w:hAnsi="Times New Roman"/>
                <w:sz w:val="15"/>
                <w:szCs w:val="15"/>
                <w:b w:val="1"/>
                <w:bCs w:val="1"/>
                <w:color w:val="auto"/>
              </w:rPr>
              <w:t>Thirty-Nine</w:t>
            </w:r>
          </w:p>
        </w:tc>
        <w:tc>
          <w:tcPr>
            <w:tcW w:w="100" w:type="dxa"/>
            <w:vAlign w:val="bottom"/>
          </w:tcPr>
          <w:p>
            <w:pPr>
              <w:spacing w:after="0"/>
              <w:rPr>
                <w:sz w:val="24"/>
                <w:szCs w:val="24"/>
                <w:color w:val="auto"/>
              </w:rPr>
            </w:pPr>
          </w:p>
        </w:tc>
        <w:tc>
          <w:tcPr>
            <w:tcW w:w="1120" w:type="dxa"/>
            <w:vAlign w:val="bottom"/>
            <w:gridSpan w:val="2"/>
          </w:tcPr>
          <w:p>
            <w:pPr>
              <w:jc w:val="center"/>
              <w:ind w:right="162"/>
              <w:spacing w:after="0"/>
              <w:rPr>
                <w:sz w:val="20"/>
                <w:szCs w:val="20"/>
                <w:color w:val="auto"/>
              </w:rPr>
            </w:pPr>
            <w:r>
              <w:rPr>
                <w:rFonts w:ascii="Times New Roman" w:cs="Times New Roman" w:eastAsia="Times New Roman" w:hAnsi="Times New Roman"/>
                <w:sz w:val="15"/>
                <w:szCs w:val="15"/>
                <w:b w:val="1"/>
                <w:bCs w:val="1"/>
                <w:color w:val="auto"/>
                <w:w w:val="98"/>
              </w:rPr>
              <w:t>Fiscal Year</w:t>
            </w:r>
          </w:p>
        </w:tc>
      </w:tr>
      <w:tr>
        <w:trPr>
          <w:trHeight w:val="182"/>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rPr>
              <w:t>Weeks Ended</w:t>
            </w:r>
          </w:p>
        </w:tc>
        <w:tc>
          <w:tcPr>
            <w:tcW w:w="100" w:type="dxa"/>
            <w:vAlign w:val="bottom"/>
          </w:tcPr>
          <w:p>
            <w:pPr>
              <w:spacing w:after="0"/>
              <w:rPr>
                <w:sz w:val="15"/>
                <w:szCs w:val="15"/>
                <w:color w:val="auto"/>
              </w:rPr>
            </w:pPr>
          </w:p>
        </w:tc>
        <w:tc>
          <w:tcPr>
            <w:tcW w:w="1120" w:type="dxa"/>
            <w:vAlign w:val="bottom"/>
            <w:gridSpan w:val="2"/>
          </w:tcPr>
          <w:p>
            <w:pPr>
              <w:jc w:val="center"/>
              <w:ind w:right="182"/>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2"/>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2"/>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5"/>
                <w:szCs w:val="15"/>
                <w:color w:val="auto"/>
              </w:rPr>
            </w:pPr>
          </w:p>
        </w:tc>
        <w:tc>
          <w:tcPr>
            <w:tcW w:w="1120" w:type="dxa"/>
            <w:vAlign w:val="bottom"/>
            <w:gridSpan w:val="2"/>
          </w:tcPr>
          <w:p>
            <w:pPr>
              <w:jc w:val="center"/>
              <w:ind w:right="162"/>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86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(227,488)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(35,436)</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8,646</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10,944</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(benefit) expense</w:t>
            </w:r>
          </w:p>
        </w:tc>
        <w:tc>
          <w:tcPr>
            <w:tcW w:w="80" w:type="dxa"/>
            <w:vAlign w:val="bottom"/>
          </w:tcPr>
          <w:p>
            <w:pPr>
              <w:spacing w:after="0"/>
              <w:rPr>
                <w:sz w:val="15"/>
                <w:szCs w:val="15"/>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(572)</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267</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disposal of fixed assets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(777)</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Loss on goodwill impairment</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103,926</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intangible asset impairment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3,950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2,777</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7,093</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receivable</w:t>
            </w:r>
          </w:p>
        </w:tc>
        <w:tc>
          <w:tcPr>
            <w:tcW w:w="80" w:type="dxa"/>
            <w:vAlign w:val="bottom"/>
          </w:tcPr>
          <w:p>
            <w:pPr>
              <w:spacing w:after="0"/>
              <w:rPr>
                <w:sz w:val="15"/>
                <w:szCs w:val="15"/>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(10,216)</w:t>
            </w:r>
          </w:p>
        </w:tc>
        <w:tc>
          <w:tcPr>
            <w:tcW w:w="100" w:type="dxa"/>
            <w:vAlign w:val="bottom"/>
          </w:tcPr>
          <w:p>
            <w:pPr>
              <w:spacing w:after="0"/>
              <w:rPr>
                <w:sz w:val="15"/>
                <w:szCs w:val="15"/>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(5,235)</w:t>
            </w: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Contract assets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(7,814)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14,416</w:t>
            </w: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Inventories</w:t>
            </w:r>
          </w:p>
        </w:tc>
        <w:tc>
          <w:tcPr>
            <w:tcW w:w="80" w:type="dxa"/>
            <w:vAlign w:val="bottom"/>
          </w:tcPr>
          <w:p>
            <w:pPr>
              <w:spacing w:after="0"/>
              <w:rPr>
                <w:sz w:val="15"/>
                <w:szCs w:val="15"/>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(3,809)</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5,219</w:t>
            </w: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17,662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(14,311)</w:t>
            </w: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548</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732</w:t>
            </w: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payable and other accrued liabilities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4,555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(23,138)</w:t>
            </w: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Contract liabilities</w:t>
            </w:r>
          </w:p>
        </w:tc>
        <w:tc>
          <w:tcPr>
            <w:tcW w:w="80" w:type="dxa"/>
            <w:vAlign w:val="bottom"/>
          </w:tcPr>
          <w:p>
            <w:pPr>
              <w:spacing w:after="0"/>
              <w:rPr>
                <w:sz w:val="15"/>
                <w:szCs w:val="15"/>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5"/>
                <w:szCs w:val="15"/>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(12,247)</w:t>
            </w: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(621)</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(622)</w:t>
            </w: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1,643</w:t>
            </w:r>
          </w:p>
        </w:tc>
        <w:tc>
          <w:tcPr>
            <w:tcW w:w="100" w:type="dxa"/>
            <w:vAlign w:val="bottom"/>
          </w:tcPr>
          <w:p>
            <w:pPr>
              <w:spacing w:after="0"/>
              <w:rPr>
                <w:sz w:val="15"/>
                <w:szCs w:val="15"/>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(6,538)</w:t>
            </w: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long-term assets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(191)</w:t>
            </w:r>
          </w:p>
        </w:tc>
      </w:tr>
      <w:tr>
        <w:trPr>
          <w:trHeight w:val="196"/>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80" w:type="dxa"/>
            <w:vAlign w:val="bottom"/>
          </w:tcPr>
          <w:p>
            <w:pPr>
              <w:spacing w:after="0"/>
              <w:rPr>
                <w:sz w:val="17"/>
                <w:szCs w:val="17"/>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(1,386)</w:t>
            </w:r>
          </w:p>
        </w:tc>
        <w:tc>
          <w:tcPr>
            <w:tcW w:w="100" w:type="dxa"/>
            <w:vAlign w:val="bottom"/>
          </w:tcPr>
          <w:p>
            <w:pPr>
              <w:spacing w:after="0"/>
              <w:rPr>
                <w:sz w:val="17"/>
                <w:szCs w:val="17"/>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(1,482)</w:t>
            </w:r>
          </w:p>
        </w:tc>
      </w:tr>
      <w:tr>
        <w:trPr>
          <w:trHeight w:val="202"/>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used by operating activities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(108,410</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(61,306</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65"/>
        </w:trPr>
        <w:tc>
          <w:tcPr>
            <w:tcW w:w="868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(1,935)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(2,787)</w:t>
            </w:r>
          </w:p>
        </w:tc>
      </w:tr>
      <w:tr>
        <w:trPr>
          <w:trHeight w:val="165"/>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(1,935)</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(2,787)</w:t>
            </w:r>
          </w:p>
        </w:tc>
        <w:tc>
          <w:tcPr>
            <w:tcW w:w="100" w:type="dxa"/>
            <w:vAlign w:val="bottom"/>
            <w:tcBorders>
              <w:top w:val="single" w:sz="8" w:color="CCEEFF"/>
            </w:tcBorders>
          </w:tcPr>
          <w:p>
            <w:pPr>
              <w:spacing w:after="0"/>
              <w:rPr>
                <w:sz w:val="14"/>
                <w:szCs w:val="14"/>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Payments for financing leases</w:t>
            </w:r>
          </w:p>
        </w:tc>
        <w:tc>
          <w:tcPr>
            <w:tcW w:w="80" w:type="dxa"/>
            <w:vAlign w:val="bottom"/>
          </w:tcPr>
          <w:p>
            <w:pPr>
              <w:spacing w:after="0"/>
              <w:rPr>
                <w:sz w:val="15"/>
                <w:szCs w:val="15"/>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(1,733)</w:t>
            </w:r>
          </w:p>
        </w:tc>
        <w:tc>
          <w:tcPr>
            <w:tcW w:w="100" w:type="dxa"/>
            <w:vAlign w:val="bottom"/>
          </w:tcPr>
          <w:p>
            <w:pPr>
              <w:spacing w:after="0"/>
              <w:rPr>
                <w:sz w:val="15"/>
                <w:szCs w:val="15"/>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(2,311)</w:t>
            </w: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from parent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110,111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60,317</w:t>
            </w:r>
          </w:p>
        </w:tc>
      </w:tr>
      <w:tr>
        <w:trPr>
          <w:trHeight w:val="165"/>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108,378</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58,006</w:t>
            </w:r>
          </w:p>
        </w:tc>
        <w:tc>
          <w:tcPr>
            <w:tcW w:w="100" w:type="dxa"/>
            <w:vAlign w:val="bottom"/>
            <w:tcBorders>
              <w:top w:val="single" w:sz="8" w:color="CCEEFF"/>
            </w:tcBorders>
          </w:tcPr>
          <w:p>
            <w:pPr>
              <w:spacing w:after="0"/>
              <w:rPr>
                <w:sz w:val="14"/>
                <w:szCs w:val="14"/>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(1,967)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(6,087)</w:t>
            </w:r>
          </w:p>
        </w:tc>
      </w:tr>
      <w:tr>
        <w:trPr>
          <w:trHeight w:val="196"/>
        </w:trPr>
        <w:tc>
          <w:tcPr>
            <w:tcW w:w="8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80" w:type="dxa"/>
            <w:vAlign w:val="bottom"/>
          </w:tcPr>
          <w:p>
            <w:pPr>
              <w:spacing w:after="0"/>
              <w:rPr>
                <w:sz w:val="17"/>
                <w:szCs w:val="17"/>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3,830</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9,917</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Reconciliation of cash, and cash equivalents, cash to the combined balance sheets:</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and cash equivalents, current portion</w:t>
            </w: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1,863</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3,830</w:t>
            </w:r>
          </w:p>
        </w:tc>
      </w:tr>
      <w:tr>
        <w:trPr>
          <w:trHeight w:val="213"/>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 net of current portion</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cash, and cash equivalents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1,863</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3,830</w:t>
            </w:r>
          </w:p>
        </w:tc>
        <w:tc>
          <w:tcPr>
            <w:tcW w:w="100" w:type="dxa"/>
            <w:vAlign w:val="bottom"/>
            <w:tcBorders>
              <w:top w:val="single" w:sz="8" w:color="CCEEFF"/>
              <w:bottom w:val="single" w:sz="8" w:color="CCEEFF"/>
            </w:tcBorders>
          </w:tcPr>
          <w:p>
            <w:pPr>
              <w:spacing w:after="0"/>
              <w:rPr>
                <w:sz w:val="18"/>
                <w:szCs w:val="18"/>
                <w:color w:val="auto"/>
              </w:rPr>
            </w:pPr>
          </w:p>
        </w:tc>
      </w:tr>
      <w:tr>
        <w:trPr>
          <w:trHeight w:val="17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Supplemental cash flow information</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for interest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285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436</w:t>
            </w:r>
          </w:p>
        </w:tc>
      </w:tr>
      <w:tr>
        <w:trPr>
          <w:trHeight w:val="182"/>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Noncash financing activities</w:t>
            </w: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Acquisition of vehicle financing leases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270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3,859</w:t>
            </w:r>
          </w:p>
        </w:tc>
      </w:tr>
      <w:tr>
        <w:trPr>
          <w:trHeight w:val="549"/>
        </w:trPr>
        <w:tc>
          <w:tcPr>
            <w:tcW w:w="8680" w:type="dxa"/>
            <w:vAlign w:val="bottom"/>
            <w:tcBorders>
              <w:bottom w:val="single" w:sz="8" w:color="auto"/>
            </w:tcBorders>
          </w:tcPr>
          <w:p>
            <w:pPr>
              <w:jc w:val="center"/>
              <w:ind w:left="2484"/>
              <w:spacing w:after="0"/>
              <w:rPr>
                <w:sz w:val="20"/>
                <w:szCs w:val="20"/>
                <w:color w:val="auto"/>
              </w:rPr>
            </w:pPr>
            <w:r>
              <w:rPr>
                <w:rFonts w:ascii="Times New Roman" w:cs="Times New Roman" w:eastAsia="Times New Roman" w:hAnsi="Times New Roman"/>
                <w:sz w:val="15"/>
                <w:szCs w:val="15"/>
                <w:color w:val="auto"/>
                <w:w w:val="98"/>
              </w:rPr>
              <w:t>F-98</w:t>
            </w:r>
          </w:p>
        </w:tc>
        <w:tc>
          <w:tcPr>
            <w:tcW w:w="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58" w:right="31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5"/>
          <w:szCs w:val="15"/>
          <w:b w:val="1"/>
          <w:bCs w:val="1"/>
          <w:color w:val="auto"/>
        </w:rPr>
        <w:t>SUNPOWER BUSINESSES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Notes to Combined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(Dollars in thousands, except where otherwise noted)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 </w:t>
      </w:r>
      <w:r>
        <w:rPr>
          <w:rFonts w:ascii="Times New Roman" w:cs="Times New Roman" w:eastAsia="Times New Roman" w:hAnsi="Times New Roman"/>
          <w:sz w:val="15"/>
          <w:szCs w:val="15"/>
          <w:b w:val="1"/>
          <w:bCs w:val="1"/>
          <w:i w:val="1"/>
          <w:iCs w:val="1"/>
          <w:color w:val="auto"/>
        </w:rPr>
        <w:t>BUSINESS AND ORGANIZATION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Description of Business and Organization</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Corporation (“SunPower” or the “Parent”) sold its Blue Raven Solar business, certain assets from its New Homes business, and its Non-Installing Dealer network (“SunPower Business” or the “Company”, “we,” “us,” or “our”) on September 30, 2024 to SunPower Inc. (f/k/a Complete Solaria, Inc.) (the “Company”) for cash consideration of $52.7 million.</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SunPower Businesses, a carve-out business of SunPower Corporation, was a solar technology and energy services provider that offers fully integrated solar, storage, and home energy solutions to customers in the United States through an array of hardware, software, and “Smart Energy” solutions.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Blue Raven Solar</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Blue Raven Solar (“BRS”) was a wholly owned subsidiary of SunPower Corporation. It is a fully-integrated originator and installer of homeowner-owned residential solar systems in America. Blue Raven’s product strategy is to focus exclusively on homeowner owned solar instead of Power Purchase Agreements or leased products which avoids reliance on federal incentives such as incentive tax credits. Blue Raven relies on a network of third-party financiers that extend loans to homeowners who wish to finance their solar system.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New Home Business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SunPower’s New Homes (“NH”) business sales channel executes agreements between SunPower and new home construction companies whereby SunPower supplies solar solutions to the home construction company so that buyers of new homes built by the home construction company include solar panels, charging stations and other solar-related power generation solutions.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Non-Installing Dealer Network</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Non-Installing Dealer (“ND”) business sales channel involves the sale of SunPower’s Solar Solutions to third-party dealers and resellers that markets and sells the SunPower Solar Solutions to end customers, with SunPower undertaking the actual installation and maintenance of the installed Solar Solutions.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Presentation and Preparation of Combination</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historically operated as consolidated business of SunPower Corporation (together with its subsidiaries). As such, separate financial statements have not historically been prepared for the Company. The combined financial statements have been derived from the consolidated financial statements and accounting records of SunPower Corporation and include Blue Raven Solar, LLC and its subsidiaries. These combined financial statements as of the thirty-nine weeks ended September 29, 2024 and fiscal year December 31, 2023 and for the thirty-nine weeks ended September 29, 2024 and fiscal year ended December 31, 2023 and the combined notes to the financial statements are presented as carve-out financial statements and reflect the combined historical results of operations, balance sheet and cash flows of the Company in conformity with U.S. generally accepted accounting principles in the United States (“United States” or “U.S.,” and such accounting principles, “U.S. GAAP”).</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35" w:name="page236"/>
    <w:bookmarkEnd w:id="235"/>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The combined financial statements may not be indicative of the Company’s future performance and do not necessarily reflect the results of operations, financial position and cash flow would have been had it operated as a separate, stand-alone SunPower businesses during the periods presented. Intercompany balances and transactions within the Company have been eliminated in these combined financial statements, refer to Note 4. </w:t>
      </w:r>
      <w:r>
        <w:rPr>
          <w:rFonts w:ascii="Times New Roman" w:cs="Times New Roman" w:eastAsia="Times New Roman" w:hAnsi="Times New Roman"/>
          <w:sz w:val="15"/>
          <w:szCs w:val="15"/>
          <w:i w:val="1"/>
          <w:iCs w:val="1"/>
          <w:color w:val="auto"/>
        </w:rPr>
        <w:t>Related Party Transactions</w:t>
      </w:r>
      <w:r>
        <w:rPr>
          <w:rFonts w:ascii="Times New Roman" w:cs="Times New Roman" w:eastAsia="Times New Roman" w:hAnsi="Times New Roman"/>
          <w:sz w:val="15"/>
          <w:szCs w:val="15"/>
          <w:color w:val="auto"/>
        </w:rPr>
        <w:t xml:space="preserve"> for additional details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Certain transactions between the Company and SunPower Corporation have been included in these combined financial statements. These transactions do not traditionally settle on a regular basis and are reflected as net parent investment within the statement of net parent investment in the combined financial statements.</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combined balance sheet reflects among other things, all of the assets and liabilities that are specifically identifiable as being directly attributable to the Company, including net parent investment. Net parent investment represents SunPower’s historical investment in the Company and includes the accumulated deficit and the net effect of transactions with SunPower.</w:t>
      </w:r>
    </w:p>
    <w:p>
      <w:pPr>
        <w:spacing w:after="0" w:line="3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Our combined statement of operations include revenues and cost of revenues directly attributable and allocated to the Company including shared overhead costs such as facilities, support functions and services used by the Company. The Company relied on SunPower’s corporate, shared services, financing and supply chain functions for its business. Therefore, certain corporate and shared costs have been allocated to the Company including: (i) certain costs related to support functions that are provided on a centralized basis within SunPower, including expenses for executive oversight, treasury, tax, finance, legal, human resources, compliance, information technology, selling, research and development and other corporate functions and (ii) certain supply chain costs incurred by SunPower, including operation &amp; maintenance, quality, product sourcing, engineering, and other supply chain support functions. These expenses have been allocated to the Company based on a specific identification basis or, when specific identification is not practicable, a proportional cost allocation method primarily based on revenue or other allocation methods depending on the nature of the services.</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Where allocations of SunPower Corporate overhead amounts were necessary, management believes the allocation of these amounts were determined on a reasonable basis, reflecting all of the costs of the Company and consistently applied in the periods presented. These allocated amounts, however, are not necessarily indicative of the actual amounts that might have been incurred had the Company operated as a separate stand-alone entity during the periods presented.</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SunPower utilized a centralized approach to treasury, cash management, operation and maintenance of solar systems and financing its operations. The cash and cash equivalents held by SunPower at the corporate level are not specifically identifiable to the Company and therefore have not been reflected in the Company’s combined balance sheet. Cash in the combined balance sheet represents cash held by legal entities of the Company that are specifically attributable to the Company. SunPower’s external debt and related expense have not been attributed to the Company for the periods presented because SunPower’s borrowings are neither directly attributable to the Company nor is the Company the legal obligor of such borrowings. Customer warranty obligations arising from the New Homes and Non-Installing Dealer businesses are legally the responsibility of SunPower Corporation and deemed not enforceable to the Company and as such are not presented within the combined financial statements. Any warranty represented on the combined balance sheet represents warranty obligation held by Blue Raven Solar.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Fiscal Periods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We have a 52-to-53-week fiscal year that ends on the Sunday closest to December 31. Accordingly, every fifth or sixth year will be a 53-week fiscal year. The current fiscal period, September 29, 2024, is a 39-week reporting period. The prior fiscal year, fiscal 2023, is a 52-week fiscal year.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5"/>
          <w:szCs w:val="15"/>
          <w:b w:val="1"/>
          <w:bCs w:val="1"/>
          <w:color w:val="auto"/>
        </w:rPr>
        <w:t>Summary of Significant Accounting Policies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Management Estimates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preparation of the combined financial statements in conformity with U.S. GAAP requires our management to make estimates and assumptions that affect the amounts of assets and liabilities and disclosures of contingent assets and liabilities reported in these combined financial statements and accompanying notes. We base our estimates on historical experience and various other assumptions believed to be reasonable. Our actual financial results could materially differ from those estimates. Significant estimates in these combined financial statements include revenue recognition, specifically nature and timing of satisfaction of performance obligations, standalone selling price of performance obligations, and variable consideration; credit losses, including estimating macroeconomic factors affecting historical recovery rate of receivables; inventory and project asset write-downs, valuation of contingencies such as litigation; the incremental borrowing rate used in discounting of lease liabilities; the fair value of indemnities provided to customers and other parties; and income taxes and tax valuation allowances.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Going Concern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Company’s combined financial statements are prepared on a going concern basis, which contemplates the realization of assets and the satisfaction of obligations in the normal course of business.  However, the Company has reoccurring losses and cash used in operations in the past two years.  This condition, among others, raises substantial doubt about the ability of the Company to continue as a going concern.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Equivalents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Highly liquid investments with original or remaining maturities of ninety days or less at the date of purchase are considered cash equivalents. As of September 29, 2024 and December 31, 2023, the Company maintained cash balances of $3.6 million and $3.8 million, respectively, in excess of federally insured limits. There were no cash equivalents as of September 29, 2024 and December 31,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We are exposed to credit losses in the event of nonperformance by the counterparties to our financial. Financial and derivative instruments that potentially subject us to concentrations of credit risk are primarily cash and cash equivalents, accounts receivable, and advances to suppliers. We regularly evaluate the credit standing of our counterparty financial institutions.</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addition, we recognize an allowance for credit loss at the time a receivable is recorded based on our estimate of expected credit losses, historical write-off experience, and current account knowledge, and adjust this estimate over the life of the receivable as needed. We evaluate the aggregation and risk characteristics of a receivable pool and develop loss rates that reflect historical collections, current forecasts of future economic conditions over the time horizon we are exposed to credit risk, and payment terms or conditions that may materially affect future forecasts.</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perform ongoing credit evaluations of our customers’ financial condition whenever deemed necessary. We maintain an allowance for doubtful accounts based on the expected collectability of all accounts receivable, which takes into consideration an analysis of historical bad debts, specific customer creditworthiness and current economic trends. We believe that our concentration of credit risk is limited because of our large number of customers, credit quality of the customer base, small account balances for most of these customers, and customer geographic diversification.</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As of and for the thirty-nine weeks ended September 29, 2024 and fiscal year ended December 31, 2023, we had no customers that accounted for at least 10% of our accounts receivable balance and revenue.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5"/>
          <w:szCs w:val="15"/>
          <w:b w:val="1"/>
          <w:bCs w:val="1"/>
          <w:i w:val="1"/>
          <w:iCs w:val="1"/>
          <w:color w:val="auto"/>
        </w:rPr>
        <w:t>Advertising Costs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advertising costs are expensed as incurred, included in the combined income statement within Sales, general, and administrative expenses. Advertising costs incurred total $0.2 million and $0.7 million for the thirty-nine week period ended September 29, 2024 and the fiscal year ended December 31, 2023,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Assets and Liabilities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Contract assets represent accounts receivable unbilled for transactions where revenue has been recognized in advance of billing the customer. Revenue may be recognized in advance of billing the customer, resulting in an amount recorded to “contract assets” or “accounts receivable, net” depending on the expected timing of payment for such unbilled accounts receivable. Once we have an unconditional right to consideration, we typically bill our customer and reclassify the “contract assets” to “accounts receivable, net.” Contract liabilities consist of deferred revenue and customer advances, which represent consideration received from a customer prior to transferring control of goods or services to the customer under the terms of a sales contract.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Inventories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Inventories are accounted for on a first-in-first-out basis and are valued at the lower of cost or net realizable value. We evaluate the realizability of our inventories, based on assumptions about expected demand and market conditions. Our assumption of expected demand is developed based on our analysis of bookings, sales backlog, sales pipeline, market forecast, and competitive intelligence. Our assumption of expected demand is compared to available inventory, production capacity, available third-party inventory, and growth plans. In addition, expected demand by geography has changed historically due to changes in the availability and size of government mandates and economic incentives.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Prepaid Expenses and Other Current Assets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Prepaid expenses consist of prepaid commissions by the Company to its sales representatives on solar panel system sales and installation for which cash has been paid, but the expenses has not yet been incurred. Deferred costs represent costs to fulfill a contract which are associated with the installation of solar panel systems that are not yet complete. These costs include the costs of acquiring needed system components and the cost of labor to install the related systems. These costs are recognized in cost of revenue when the related performance obligations are met.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 net</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Property and equipment, net are stated at cost, less accumulated depreciation. Depreciation is computed using the straight-line method over the estimated useful lives of the assets as presented below. Leasehold improvements are amortized over the shorter of the estimated useful lives of the assets or the remaining term of the lease. Repairs and maintenance costs are expensed as incurred.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Borders>
              <w:bottom w:val="single" w:sz="8" w:color="CCEEFF"/>
            </w:tcBorders>
          </w:tcPr>
          <w:p>
            <w:pPr>
              <w:spacing w:after="0"/>
              <w:rPr>
                <w:sz w:val="17"/>
                <w:szCs w:val="17"/>
                <w:color w:val="auto"/>
              </w:rPr>
            </w:pPr>
          </w:p>
        </w:tc>
        <w:tc>
          <w:tcPr>
            <w:tcW w:w="536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Useful Lives in Years</w:t>
            </w:r>
          </w:p>
        </w:tc>
      </w:tr>
      <w:tr>
        <w:trPr>
          <w:trHeight w:val="18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5360" w:type="dxa"/>
            <w:vAlign w:val="bottom"/>
            <w:shd w:val="clear" w:color="auto" w:fill="CCEEFF"/>
          </w:tcPr>
          <w:p>
            <w:pPr>
              <w:spacing w:after="0"/>
              <w:rPr>
                <w:sz w:val="15"/>
                <w:szCs w:val="15"/>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 to 20</w:t>
            </w:r>
          </w:p>
        </w:tc>
      </w:tr>
      <w:tr>
        <w:trPr>
          <w:trHeight w:val="182"/>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Vehicles</w:t>
            </w:r>
          </w:p>
        </w:tc>
        <w:tc>
          <w:tcPr>
            <w:tcW w:w="53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5 to 7</w:t>
            </w:r>
          </w:p>
        </w:tc>
      </w:tr>
      <w:tr>
        <w:trPr>
          <w:trHeight w:val="18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 equipment and software</w:t>
            </w:r>
          </w:p>
        </w:tc>
        <w:tc>
          <w:tcPr>
            <w:tcW w:w="5360" w:type="dxa"/>
            <w:vAlign w:val="bottom"/>
            <w:shd w:val="clear" w:color="auto" w:fill="CCEEFF"/>
          </w:tcPr>
          <w:p>
            <w:pPr>
              <w:spacing w:after="0"/>
              <w:rPr>
                <w:sz w:val="15"/>
                <w:szCs w:val="15"/>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 to 7</w:t>
            </w:r>
          </w:p>
        </w:tc>
      </w:tr>
      <w:tr>
        <w:trPr>
          <w:trHeight w:val="197"/>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536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 to 5</w:t>
            </w:r>
          </w:p>
        </w:tc>
      </w:tr>
      <w:tr>
        <w:trPr>
          <w:trHeight w:val="534"/>
        </w:trPr>
        <w:tc>
          <w:tcPr>
            <w:tcW w:w="37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5"/>
                <w:szCs w:val="15"/>
                <w:color w:val="auto"/>
              </w:rPr>
              <w:t>F-102</w:t>
            </w:r>
          </w:p>
        </w:tc>
      </w:tr>
    </w:tbl>
    <w:p>
      <w:pPr>
        <w:sectPr>
          <w:pgSz w:w="11900" w:h="16838" w:orient="portrait"/>
          <w:cols w:equalWidth="0" w:num="1">
            <w:col w:w="11260"/>
          </w:cols>
          <w:pgMar w:left="320" w:top="758" w:right="3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5"/>
          <w:szCs w:val="15"/>
          <w:b w:val="1"/>
          <w:bCs w:val="1"/>
          <w:i w:val="1"/>
          <w:iCs w:val="1"/>
          <w:color w:val="auto"/>
        </w:rPr>
        <w:t>Lease Accounting</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determine if an arrangement is or contains a lease at inception. Our operating lease agreements are primarily for real estate and are included within operating lease right-of-use (“ROU”) assets and operating lease liabilities on the combined balance sheets. Our finance lease agreements are for vehicle finance leases and are included within property and equipment, net, accrued liabilities, and other long-term liabilities on the combined balance sheets. We elected the practical expedient to combine our lease and related non-lease components for all our leases.</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ROU assets represent our right to use an underlying asset for the lease term and lease liabilities represent our obligation to make lease payments arising from the lease. ROU assets and lease liabilities are recognized at the commencement date based on the present value of lease payments over the lease term. Variable lease payments that do not depend on an index or rate are excluded from the ROU assets and lease liabilities and are recognized in the period in which the obligation for those payments is incurred. We use our incremental borrowing rate based on the information available at commencement date in determining the present value of lease payments. ROU assets also include any lease prepayments made and exclude lease incentives. Many of our lessee agreements include options to extend the lease, which we do not include in our minimum lease terms unless they are reasonably certain to be exercised. Rental expense for lease payments related to our operating and finance leases is recognized on a straight-line basis over the lease term. In addition, for our finance leases, we recognize the interest on the financing component related to the leases.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When events or changes in circumstances indicate that the carrying value of the right-of-use assets may not be recoverable, we compare its future undiscounted cash flow to the carrying value. If the carrying value exceeds the future undiscounted cash flow, an impairment loss is recognized to record the assets at fair value. Right-of-use assets, along with any other related long-lived assets, are periodically evaluated for impairment whenever events or circumstances indicate that their carrying values may not be fully recoverable. No impairment loss was recognized for either of the thirty-nine weeks ended September 29, 2024, and fiscal year ended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Receivables, Net</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Accounts receivable are carried at original invoice amount less an allowance for doubtful accounts. Receivables consist of amounts due from third-party financing companies or from homeowners for solar panel systems installed and for which the Company has fulfilled its performance obligations under its contract. The allowance for doubtful accounts is the Company’s best estimate of the amount of probable credit losses in the Company’s existing accounts receivable and is determined based on our historical collection experience, age of the receivable, knowledge of the customer and the condition of the general industry and economy.</w:t>
      </w:r>
    </w:p>
    <w:p>
      <w:pPr>
        <w:spacing w:after="0" w:line="15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We record changes in our estimate in the allowance for doubtful accounts through bad debt expense and relieve the allowance when the accounts are ultimately determined to be uncollectible. Bad debt expense is included in Sales, general, and administrative expenses within the Combined Statement of Operations.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97"/>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Recoveries of accounts receivable previously written off are recorded when cash is received.</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6"/>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60"/>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80" w:type="dxa"/>
            <w:vAlign w:val="bottom"/>
          </w:tcPr>
          <w:p>
            <w:pPr>
              <w:spacing w:after="0"/>
              <w:rPr>
                <w:sz w:val="14"/>
                <w:szCs w:val="14"/>
                <w:color w:val="auto"/>
              </w:rPr>
            </w:pPr>
          </w:p>
        </w:tc>
        <w:tc>
          <w:tcPr>
            <w:tcW w:w="1040" w:type="dxa"/>
            <w:vAlign w:val="bottom"/>
          </w:tcPr>
          <w:p>
            <w:pPr>
              <w:jc w:val="right"/>
              <w:ind w:right="6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gridSpan w:val="2"/>
          </w:tcPr>
          <w:p>
            <w:pPr>
              <w:spacing w:after="0"/>
              <w:rPr>
                <w:sz w:val="14"/>
                <w:szCs w:val="14"/>
                <w:color w:val="auto"/>
              </w:rPr>
            </w:pP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2"/>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the beginning of period</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4,347</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Bad debt expense</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4,653</w:t>
            </w:r>
          </w:p>
        </w:tc>
        <w:tc>
          <w:tcPr>
            <w:tcW w:w="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1,828</w:t>
            </w:r>
          </w:p>
        </w:tc>
        <w:tc>
          <w:tcPr>
            <w:tcW w:w="80" w:type="dxa"/>
            <w:vAlign w:val="bottom"/>
          </w:tcPr>
          <w:p>
            <w:pPr>
              <w:spacing w:after="0"/>
              <w:rPr>
                <w:sz w:val="15"/>
                <w:szCs w:val="15"/>
                <w:color w:val="auto"/>
              </w:rPr>
            </w:pPr>
          </w:p>
        </w:tc>
      </w:tr>
      <w:tr>
        <w:trPr>
          <w:trHeight w:val="21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Write-off</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(4,797)</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(810)</w:t>
            </w:r>
          </w:p>
        </w:tc>
      </w:tr>
      <w:tr>
        <w:trPr>
          <w:trHeight w:val="168"/>
        </w:trPr>
        <w:tc>
          <w:tcPr>
            <w:tcW w:w="8680" w:type="dxa"/>
            <w:vAlign w:val="bottom"/>
            <w:tcBorders>
              <w:top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5"/>
                <w:szCs w:val="15"/>
                <w:color w:val="auto"/>
              </w:rPr>
              <w:t>Balance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4,203</w:t>
            </w: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4,346</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Deferred tax assets and liabilities are recognized for temporary differences between financial statement and income tax bases of assets and liabilities and are measured using the enacted tax rates expected to be in effect during the year in which the basis difference reverses. Valuation allowances are provided against deferred tax assets when management cannot conclude that it is more likely than not that some portion or all deferred tax assets will be realized.</w:t>
      </w:r>
    </w:p>
    <w:p>
      <w:pPr>
        <w:spacing w:after="0" w:line="14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Company recognizes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As applicable, interest and penalties on tax contingencies are included in “Benefit from (provision for) income taxes” in the combined statements of operations and such amounts were not material for any periods presented.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Our revenue recognition policy follows guidance from Accounting Standards Codification 606, Revenue from Contracts with Customers (Topic 606) through the following five-step framework:</w:t>
      </w:r>
    </w:p>
    <w:p>
      <w:pPr>
        <w:spacing w:after="0" w:line="134" w:lineRule="exact"/>
        <w:rPr>
          <w:sz w:val="20"/>
          <w:szCs w:val="20"/>
          <w:color w:val="auto"/>
        </w:rPr>
      </w:pPr>
    </w:p>
    <w:p>
      <w:pPr>
        <w:ind w:left="540" w:hanging="276"/>
        <w:spacing w:after="0"/>
        <w:tabs>
          <w:tab w:leader="none" w:pos="5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Identification of the contract, or contracts, with a customer;</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Identification of the performance obligations in the contract;</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Determination of the transaction price;</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Allocation of the transaction price to the performance obligations in the contract; and</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Recognition of revenue when, or as, the Company satisfies a performance obligation.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40" w:name="page241"/>
    <w:bookmarkEnd w:id="240"/>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The Company’s revenue is composed of solar power system and government or utility rebates and incentives. We recognize revenue from contracts with customers when we have completed our performance obligations under an identified contract. The revenue is recognized in an amount that reflects the consideration for the corresponding performance obligations for the goods and services transferred.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revenue recognition standard requires the capitalization of certain incremental costs of obtaining a contract. These incremental costs are deferred until installation is completed.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Solar Power Systems Sales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 majority of our revenue is generated by sales of fully functioning solar power systems to our customers. We sell our products through a network of installing and non-installing dealers and resellers. Usually, our performance obligation is to design and install a fully functioning solar energy system. We recognize revenue when the solar power system is fully installed and the final permit is received from the authority having jurisdiction, as we deem our performance obligation under the contract to be complete at such time, and the customer retains all of the significant risks and rewards of ownership of the solar power system. Our costs to obtain and fulfill contracts, when recognized, associated with systems sales are expensed as sales, general, and administrative expense and cost of revenue, respectively. In addition, incentives we provide to our customers, such as discounts and rebates, are recorded net to the revenue we have recognized on the solar power system.</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Revenue is generally recognized at transaction price, net of costs of financing, or other consideration paid to the customers that is not in exchange for a distinct good or service.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Government or Utility Rebates and Incentives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applies for and receives state, local, and utility rebates and solar renewable energy credits (SRECs) in certain jurisdictions for power generated by solar energy systems it has sold to customers. The Company retains control of the rights to future SRECs and sells the SRECs generated from qualifying solar energy systems to a public utility pursuant to a Renewable Energy Credit Agreement. The terms of the agreement allow for the Company to bill the public utility in advance for the total amount of SRECs anticipated to be generated from each qualifying solar energy system over a 15-year period, commencing from the date such solar energy systems have been interconnected to the local power grid and granted permission to operate. The total contract prices is based on an agreed upon price per credit. The Company is required to make a collateral deposit with the public utility equal to 5% of the total contract price. As part of the agreement, the Company guarantees that the total number of SRECs generated by all of the identified solar energy systems will equal or exceed a total estimated amount. A guarantee liability related to the minimum SREC guarantee is recognized as a reduction to the transaction price, with subsequent changes in the guarantee liability recognized as operating income or expense, rather than a change in the transaction price. The Company recognizes revenue related to the sale of SRECs upon delivery to the public utility. During the thirty-nine weeks ended September 29, 2024 and December 31, 2023, revenue recognized related to rebates and SRECs was $1.7 million and $2.6 million, respectively.</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We include the following in cost of revenues: product-related costs, warranty costs, installer and engineering personnel and logistics costs, solar energy system operations, monitoring, and maintenance costs, freight costs, inventory write-downs, lead acquisition costs, quality control, design and proposal services and customer support, and employee-related expenses associated with proposal and permitting services.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We provide stock-based awards to our employees, executive officers, and directors through various equity compensation plans including our employee stock option and restricted stock plans. We measure and record compensation expense for all stock-based payment awards based on estimated fair values. The fair value of restricted stock awards and units is based on the market price of our common stock on the date of grant. The vesting period for the stock-based awards is typically five years. Under current accounting guidance, we have made a policy election to estimate forfeitures at the date of grant, and we update such estimate on an annual basis. Our estimate of forfeitures is based on our historical activity, which we believe is indicative of expected forfeitures. In subsequent periods if the actual rate of forfeitures differs from our estimate, the forfeiture rates are required to be revised, as necessary. Changes in the estimated forfeiture rates can have a significant effect on stock-based compensation expense since the effect of adjusting the rate is recognized in the period the forfeiture estimate is changed.</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also grant performance share units to executive officers and certain employees that require us to estimate expected achievement of performance targets over the performance period. This estimate involves judgment regarding future expectations of various financial performance measures. If there are changes in our estimate of the level of financial performance measures expected to be achieved, the related stock-based compensation expense may be significantly increased or reduced in the period that our estimate changes.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(“R&amp;D”) Expenses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R&amp;D expense consists primarily of salaries and related personnel costs, depreciation, and the cost of solar cell and solar panel materials and services used for the development of products, including experiments and testing. R&amp;D costs are expensed as incurred, except for software development costs which qualify for capitalization.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Goodwill Impairment</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test goodwill impairment at least annually during the last day of the third fiscal quarter, or when events or changes in circumstances indicate that goodwill might be impaired. The evaluation of impairment is performed at the reporting unit level. We have the option to perform a qualitative assessment of goodwill prior to completing a quantitative assessment to determine whether it is more likely than not that the fair value of a reporting unit is less than its carrying amount, including existing goodwill.</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If goodwill is determined more likely than not to be impaired upon an initial assessment of qualitative factors, the next step is to compare the fair value of each reporting unit to its carrying value, including existing goodwill. Goodwill is considered impaired if the carrying value of a reporting unit exceeds its fair value. The amount of impairment is limited to the amount of goodwill allocated to the reporting unit.</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In measuring the fair value of the reporting units, we make estimates and judgments about our future cash flows using a discounted cash flow or a transaction approach defined as Level 3 input under fair value measurement standards. The income approach, specifically a discounted cash flow analysis, includes assumptions for, among others, forecasted revenue, gross margin, operating income, working capital cash flow, perpetual growth rates and long-term discount rates, all of which require significant judgment by management. These assumptions also consider the current industry environment and the resulting impact on our expectations for the performance of our business. The transaction approach, utilizes consummated transactions from a market participant to support the fair value of the net assets of the reporting unit. In the event that management determines that the value of goodwill has become impaired, we will incur an accounting charge for the amount of the impairment during the fiscal year in which the determination is made. Refer to Note 7. </w:t>
      </w:r>
      <w:r>
        <w:rPr>
          <w:rFonts w:ascii="Times New Roman" w:cs="Times New Roman" w:eastAsia="Times New Roman" w:hAnsi="Times New Roman"/>
          <w:sz w:val="15"/>
          <w:szCs w:val="15"/>
          <w:i w:val="1"/>
          <w:iCs w:val="1"/>
          <w:color w:val="auto"/>
        </w:rPr>
        <w:t>Goodwill and Other Intangible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Assets </w:t>
      </w:r>
      <w:r>
        <w:rPr>
          <w:rFonts w:ascii="Times New Roman" w:cs="Times New Roman" w:eastAsia="Times New Roman" w:hAnsi="Times New Roman"/>
          <w:sz w:val="15"/>
          <w:szCs w:val="15"/>
          <w:color w:val="auto"/>
        </w:rPr>
        <w:t>for additional details on our goodwill impairment test performed during thirty-nine weeks ended September 29, 2024.</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5"/>
          <w:szCs w:val="15"/>
          <w:b w:val="1"/>
          <w:bCs w:val="1"/>
          <w:color w:val="auto"/>
        </w:rPr>
        <w:t>Accounting Pronouncements Not Yet Adopted</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 December 2023, the Financial Accounting Standards Board (“FASB”) issued Accounting Standards Update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is currently evaluating ASU 2023-09 to assess the impact to the Company’s income tax disclosures within the Company’s combined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2. </w:t>
      </w:r>
      <w:r>
        <w:rPr>
          <w:rFonts w:ascii="Times New Roman" w:cs="Times New Roman" w:eastAsia="Times New Roman" w:hAnsi="Times New Roman"/>
          <w:sz w:val="15"/>
          <w:szCs w:val="15"/>
          <w:b w:val="1"/>
          <w:bCs w:val="1"/>
          <w:i w:val="1"/>
          <w:iCs w:val="1"/>
          <w:color w:val="auto"/>
        </w:rPr>
        <w:t>REVENUE FROM CONTRACTS WITH CUSTOMERS</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Our revenue for the thirty-nine weeks and the year ended September 29, 2024 and December 31, 2023 were $273.1 million and $610.0 million, respectively and consists mainly of solar power systems sales.</w:t>
      </w:r>
    </w:p>
    <w:p>
      <w:pPr>
        <w:spacing w:after="0" w:line="13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We recognize revenue from contracts with customers when we have completed our performance obligations under an identified contract. The revenue is recognized in an amount that reflects the consideration for the corresponding performance obligations for the goods and services transferred.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Revenue Disaggregation</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5"/>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Thirty-Nine</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Fiscal Year</w:t>
            </w:r>
          </w:p>
        </w:tc>
      </w:tr>
      <w:tr>
        <w:trPr>
          <w:trHeight w:val="182"/>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Weeks Ended</w:t>
            </w:r>
          </w:p>
        </w:tc>
        <w:tc>
          <w:tcPr>
            <w:tcW w:w="10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2"/>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 w:type="dxa"/>
            <w:vAlign w:val="bottom"/>
          </w:tcPr>
          <w:p>
            <w:pPr>
              <w:spacing w:after="0"/>
              <w:rPr>
                <w:sz w:val="17"/>
                <w:szCs w:val="17"/>
                <w:color w:val="auto"/>
              </w:rPr>
            </w:pPr>
          </w:p>
        </w:tc>
        <w:tc>
          <w:tcPr>
            <w:tcW w:w="10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r>
      <w:tr>
        <w:trPr>
          <w:trHeight w:val="182"/>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recognized at a point in time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266,305</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602,199</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Revenue recognized over time</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6,813</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7,836</w:t>
            </w:r>
          </w:p>
        </w:tc>
      </w:tr>
      <w:tr>
        <w:trPr>
          <w:trHeight w:val="185"/>
        </w:trPr>
        <w:tc>
          <w:tcPr>
            <w:tcW w:w="85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273,118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610,035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 Assets and Liabilities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Contract assets consist of unbilled receivables which represent revenue that has been recognized in advance of billing the customer, which is common for our residential cash and loan customers. Contract liabilities consist of deferred revenue and customer advances, which represent consideration received from a customer prior to transferring control of goods or services to the customer under the terms of a sales contract. Total contract assets and contract liabilities balances as of the respective dates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3"/>
        </w:trPr>
        <w:tc>
          <w:tcPr>
            <w:tcW w:w="32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4"/>
                <w:szCs w:val="14"/>
                <w:color w:val="auto"/>
              </w:rPr>
            </w:pPr>
          </w:p>
        </w:tc>
        <w:tc>
          <w:tcPr>
            <w:tcW w:w="1020" w:type="dxa"/>
            <w:vAlign w:val="bottom"/>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4"/>
                <w:szCs w:val="14"/>
                <w:color w:val="auto"/>
              </w:rPr>
            </w:pPr>
          </w:p>
        </w:tc>
      </w:tr>
      <w:tr>
        <w:trPr>
          <w:trHeight w:val="203"/>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5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 assets</w:t>
            </w:r>
          </w:p>
        </w:tc>
        <w:tc>
          <w:tcPr>
            <w:tcW w:w="5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35,759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27,945</w:t>
            </w:r>
          </w:p>
        </w:tc>
        <w:tc>
          <w:tcPr>
            <w:tcW w:w="100" w:type="dxa"/>
            <w:vAlign w:val="bottom"/>
            <w:shd w:val="clear" w:color="auto" w:fill="CCEEFF"/>
          </w:tcPr>
          <w:p>
            <w:pPr>
              <w:spacing w:after="0"/>
              <w:rPr>
                <w:sz w:val="15"/>
                <w:szCs w:val="15"/>
                <w:color w:val="auto"/>
              </w:rPr>
            </w:pPr>
          </w:p>
        </w:tc>
      </w:tr>
      <w:tr>
        <w:trPr>
          <w:trHeight w:val="197"/>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Contract liabilities</w:t>
            </w:r>
          </w:p>
        </w:tc>
        <w:tc>
          <w:tcPr>
            <w:tcW w:w="5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19,058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19,117</w:t>
            </w:r>
          </w:p>
        </w:tc>
      </w:tr>
      <w:tr>
        <w:trPr>
          <w:trHeight w:val="534"/>
        </w:trPr>
        <w:tc>
          <w:tcPr>
            <w:tcW w:w="32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3"/>
          </w:tcPr>
          <w:p>
            <w:pPr>
              <w:jc w:val="right"/>
              <w:ind w:right="2906"/>
              <w:spacing w:after="0"/>
              <w:rPr>
                <w:sz w:val="20"/>
                <w:szCs w:val="20"/>
                <w:color w:val="auto"/>
              </w:rPr>
            </w:pPr>
            <w:r>
              <w:rPr>
                <w:rFonts w:ascii="Times New Roman" w:cs="Times New Roman" w:eastAsia="Times New Roman" w:hAnsi="Times New Roman"/>
                <w:sz w:val="15"/>
                <w:szCs w:val="15"/>
                <w:color w:val="auto"/>
              </w:rPr>
              <w:t>F-107</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58" w:right="319" w:bottom="1440" w:gutter="0" w:footer="0" w:header="0"/>
        </w:sectPr>
      </w:pPr>
    </w:p>
    <w:bookmarkStart w:id="243" w:name="page244"/>
    <w:bookmarkEnd w:id="243"/>
    <w:p>
      <w:pPr>
        <w:jc w:val="both"/>
        <w:spacing w:after="0" w:line="287" w:lineRule="auto"/>
        <w:rPr>
          <w:sz w:val="20"/>
          <w:szCs w:val="20"/>
          <w:color w:val="auto"/>
        </w:rPr>
      </w:pPr>
      <w:r>
        <w:rPr>
          <w:rFonts w:ascii="Times New Roman" w:cs="Times New Roman" w:eastAsia="Times New Roman" w:hAnsi="Times New Roman"/>
          <w:sz w:val="15"/>
          <w:szCs w:val="15"/>
          <w:color w:val="auto"/>
        </w:rPr>
        <w:t>During the thirty-nine weeks ended September 29, 2024, we recognized revenue of $14.1 million that was included in contract liabilities as of December 31, 2023. During the year ended December 31, 2023, we recognized revenue of $27.6 million that was included in contract liabilities as of January 1,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Note 3. </w:t>
            </w:r>
            <w:r>
              <w:rPr>
                <w:rFonts w:ascii="Times New Roman" w:cs="Times New Roman" w:eastAsia="Times New Roman" w:hAnsi="Times New Roman"/>
                <w:sz w:val="15"/>
                <w:szCs w:val="15"/>
                <w:b w:val="1"/>
                <w:bCs w:val="1"/>
                <w:i w:val="1"/>
                <w:iCs w:val="1"/>
                <w:color w:val="auto"/>
              </w:rPr>
              <w:t>BALANCE SHEET COMPONENTS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Accounts Receivable, Net</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3"/>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60"/>
              <w:spacing w:after="0" w:line="164" w:lineRule="exact"/>
              <w:rPr>
                <w:sz w:val="20"/>
                <w:szCs w:val="20"/>
                <w:color w:val="auto"/>
              </w:rPr>
            </w:pPr>
            <w:r>
              <w:rPr>
                <w:rFonts w:ascii="Times New Roman" w:cs="Times New Roman" w:eastAsia="Times New Roman" w:hAnsi="Times New Roman"/>
                <w:sz w:val="15"/>
                <w:szCs w:val="15"/>
                <w:b w:val="1"/>
                <w:bCs w:val="1"/>
                <w:color w:val="auto"/>
                <w:w w:val="98"/>
              </w:rPr>
              <w:t>September 29,</w:t>
            </w:r>
          </w:p>
        </w:tc>
        <w:tc>
          <w:tcPr>
            <w:tcW w:w="100" w:type="dxa"/>
            <w:vAlign w:val="bottom"/>
          </w:tcPr>
          <w:p>
            <w:pPr>
              <w:spacing w:after="0"/>
              <w:rPr>
                <w:sz w:val="14"/>
                <w:szCs w:val="14"/>
                <w:color w:val="auto"/>
              </w:rPr>
            </w:pPr>
          </w:p>
        </w:tc>
        <w:tc>
          <w:tcPr>
            <w:tcW w:w="1020" w:type="dxa"/>
            <w:vAlign w:val="bottom"/>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4"/>
                <w:szCs w:val="14"/>
                <w:color w:val="auto"/>
              </w:rPr>
            </w:pP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82"/>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 gross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46,497</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36,424</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Less: allowance for allowance for doubtful accounts</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(4,203)</w:t>
            </w:r>
          </w:p>
        </w:tc>
        <w:tc>
          <w:tcPr>
            <w:tcW w:w="1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(4,346)</w:t>
            </w:r>
          </w:p>
        </w:tc>
      </w:tr>
      <w:tr>
        <w:trPr>
          <w:trHeight w:val="185"/>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42,294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Inventories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following table summarizes the components of inventories.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to state inventory at the lower of cost or net realizable value.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3"/>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4"/>
                <w:szCs w:val="14"/>
                <w:color w:val="auto"/>
              </w:rPr>
            </w:pPr>
          </w:p>
        </w:tc>
        <w:tc>
          <w:tcPr>
            <w:tcW w:w="1020" w:type="dxa"/>
            <w:vAlign w:val="bottom"/>
          </w:tcPr>
          <w:p>
            <w:pPr>
              <w:jc w:val="right"/>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4"/>
                <w:szCs w:val="14"/>
                <w:color w:val="auto"/>
              </w:rPr>
            </w:pP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82"/>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8,142</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4,689</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Raw materials</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3,290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2,934</w:t>
            </w:r>
          </w:p>
        </w:tc>
      </w:tr>
      <w:tr>
        <w:trPr>
          <w:trHeight w:val="185"/>
        </w:trPr>
        <w:tc>
          <w:tcPr>
            <w:tcW w:w="85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reserve for excess and obsolete inventory for the thirty-nine weeks ended September 29, 2024 and fiscal year ended December 31, 2023, was approximately $3.8 million and $0.01 million, respectively.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Prepaid Expenses and Other Current Assets</w:t>
            </w:r>
          </w:p>
        </w:tc>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8"/>
        </w:trPr>
        <w:tc>
          <w:tcPr>
            <w:tcW w:w="4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3"/>
        </w:trPr>
        <w:tc>
          <w:tcPr>
            <w:tcW w:w="4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80" w:type="dxa"/>
            <w:vAlign w:val="bottom"/>
          </w:tcPr>
          <w:p>
            <w:pPr>
              <w:spacing w:after="0"/>
              <w:rPr>
                <w:sz w:val="14"/>
                <w:szCs w:val="14"/>
                <w:color w:val="auto"/>
              </w:rPr>
            </w:pPr>
          </w:p>
        </w:tc>
        <w:tc>
          <w:tcPr>
            <w:tcW w:w="1040" w:type="dxa"/>
            <w:vAlign w:val="bottom"/>
          </w:tcPr>
          <w:p>
            <w:pPr>
              <w:jc w:val="right"/>
              <w:ind w:right="6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4"/>
                <w:szCs w:val="14"/>
                <w:color w:val="auto"/>
              </w:rPr>
            </w:pPr>
          </w:p>
        </w:tc>
      </w:tr>
      <w:tr>
        <w:trPr>
          <w:trHeight w:val="203"/>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4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costs</w:t>
            </w:r>
          </w:p>
        </w:tc>
        <w:tc>
          <w:tcPr>
            <w:tcW w:w="4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56,345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75,145</w:t>
            </w:r>
          </w:p>
        </w:tc>
        <w:tc>
          <w:tcPr>
            <w:tcW w:w="100" w:type="dxa"/>
            <w:vAlign w:val="bottom"/>
            <w:shd w:val="clear" w:color="auto" w:fill="CCEEFF"/>
          </w:tcPr>
          <w:p>
            <w:pPr>
              <w:spacing w:after="0"/>
              <w:rPr>
                <w:sz w:val="15"/>
                <w:szCs w:val="15"/>
                <w:color w:val="auto"/>
              </w:rPr>
            </w:pPr>
          </w:p>
        </w:tc>
      </w:tr>
      <w:tr>
        <w:trPr>
          <w:trHeight w:val="182"/>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Prepaid insurance</w:t>
            </w:r>
          </w:p>
        </w:tc>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1,094</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73</w:t>
            </w:r>
          </w:p>
        </w:tc>
      </w:tr>
      <w:tr>
        <w:trPr>
          <w:trHeight w:val="21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prepaid expenses</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1,805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1,688</w:t>
            </w:r>
          </w:p>
        </w:tc>
      </w:tr>
      <w:tr>
        <w:trPr>
          <w:trHeight w:val="168"/>
        </w:trPr>
        <w:tc>
          <w:tcPr>
            <w:tcW w:w="4140" w:type="dxa"/>
            <w:vAlign w:val="bottom"/>
            <w:tcBorders>
              <w:top w:val="single" w:sz="8" w:color="CCEEFF"/>
            </w:tcBorders>
          </w:tcPr>
          <w:p>
            <w:pPr>
              <w:spacing w:after="0"/>
              <w:rPr>
                <w:sz w:val="14"/>
                <w:szCs w:val="14"/>
                <w:color w:val="auto"/>
              </w:rPr>
            </w:pPr>
          </w:p>
        </w:tc>
        <w:tc>
          <w:tcPr>
            <w:tcW w:w="44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59,244</w:t>
            </w: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76,906</w:t>
            </w:r>
          </w:p>
        </w:tc>
        <w:tc>
          <w:tcPr>
            <w:tcW w:w="100" w:type="dxa"/>
            <w:vAlign w:val="bottom"/>
            <w:tcBorders>
              <w:top w:val="single" w:sz="8" w:color="CCEEFF"/>
            </w:tcBorders>
          </w:tcPr>
          <w:p>
            <w:pPr>
              <w:spacing w:after="0"/>
              <w:rPr>
                <w:sz w:val="14"/>
                <w:szCs w:val="14"/>
                <w:color w:val="auto"/>
              </w:rPr>
            </w:pPr>
          </w:p>
        </w:tc>
      </w:tr>
      <w:tr>
        <w:trPr>
          <w:trHeight w:val="20"/>
        </w:trPr>
        <w:tc>
          <w:tcPr>
            <w:tcW w:w="4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3"/>
        </w:trPr>
        <w:tc>
          <w:tcPr>
            <w:tcW w:w="41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3"/>
          </w:tcPr>
          <w:p>
            <w:pPr>
              <w:jc w:val="right"/>
              <w:ind w:right="2906"/>
              <w:spacing w:after="0"/>
              <w:rPr>
                <w:sz w:val="20"/>
                <w:szCs w:val="20"/>
                <w:color w:val="auto"/>
              </w:rPr>
            </w:pPr>
            <w:r>
              <w:rPr>
                <w:rFonts w:ascii="Times New Roman" w:cs="Times New Roman" w:eastAsia="Times New Roman" w:hAnsi="Times New Roman"/>
                <w:sz w:val="15"/>
                <w:szCs w:val="15"/>
                <w:color w:val="auto"/>
              </w:rPr>
              <w:t>F-108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62" w:right="319" w:bottom="1440" w:gutter="0" w:footer="0" w:header="0"/>
        </w:sectPr>
      </w:pPr>
    </w:p>
    <w:bookmarkStart w:id="244" w:name="page245"/>
    <w:bookmarkEnd w:id="244"/>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Property and Equipment, Net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4"/>
        </w:trPr>
        <w:tc>
          <w:tcPr>
            <w:tcW w:w="89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Property and equipment as of thirty-nine weeks ended September 29, 2024 and fiscal year ended December 31, 2023, consisted of the following:</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ind w:right="36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80" w:type="dxa"/>
            <w:vAlign w:val="bottom"/>
          </w:tcPr>
          <w:p>
            <w:pPr>
              <w:spacing w:after="0"/>
              <w:rPr>
                <w:sz w:val="14"/>
                <w:szCs w:val="14"/>
                <w:color w:val="auto"/>
              </w:rPr>
            </w:pPr>
          </w:p>
        </w:tc>
        <w:tc>
          <w:tcPr>
            <w:tcW w:w="1040" w:type="dxa"/>
            <w:vAlign w:val="bottom"/>
          </w:tcPr>
          <w:p>
            <w:pPr>
              <w:jc w:val="right"/>
              <w:ind w:right="6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gridSpan w:val="2"/>
          </w:tcPr>
          <w:p>
            <w:pPr>
              <w:spacing w:after="0"/>
              <w:rPr>
                <w:sz w:val="14"/>
                <w:szCs w:val="14"/>
                <w:color w:val="auto"/>
              </w:rPr>
            </w:pP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260" w:type="dxa"/>
            <w:vAlign w:val="bottom"/>
          </w:tcPr>
          <w:p>
            <w:pPr>
              <w:spacing w:after="0"/>
              <w:rPr>
                <w:sz w:val="17"/>
                <w:szCs w:val="17"/>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2"/>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 equipment</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2,048</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Software</w:t>
            </w: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6,597</w:t>
            </w:r>
          </w:p>
        </w:tc>
        <w:tc>
          <w:tcPr>
            <w:tcW w:w="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4,669</w:t>
            </w:r>
          </w:p>
        </w:tc>
        <w:tc>
          <w:tcPr>
            <w:tcW w:w="80" w:type="dxa"/>
            <w:vAlign w:val="bottom"/>
          </w:tcPr>
          <w:p>
            <w:pPr>
              <w:spacing w:after="0"/>
              <w:rPr>
                <w:sz w:val="15"/>
                <w:szCs w:val="15"/>
                <w:color w:val="auto"/>
              </w:rPr>
            </w:pPr>
          </w:p>
        </w:tc>
      </w:tr>
      <w:tr>
        <w:trPr>
          <w:trHeight w:val="18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1,563</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1,563</w:t>
            </w:r>
          </w:p>
        </w:tc>
        <w:tc>
          <w:tcPr>
            <w:tcW w:w="80" w:type="dxa"/>
            <w:vAlign w:val="bottom"/>
            <w:shd w:val="clear" w:color="auto" w:fill="CCEEFF"/>
          </w:tcPr>
          <w:p>
            <w:pPr>
              <w:spacing w:after="0"/>
              <w:rPr>
                <w:sz w:val="15"/>
                <w:szCs w:val="15"/>
                <w:color w:val="auto"/>
              </w:rPr>
            </w:pPr>
          </w:p>
        </w:tc>
      </w:tr>
      <w:tr>
        <w:trPr>
          <w:trHeight w:val="216"/>
        </w:trPr>
        <w:tc>
          <w:tcPr>
            <w:tcW w:w="868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Vehicles</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11,833</w:t>
            </w: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12,057</w:t>
            </w:r>
          </w:p>
        </w:tc>
        <w:tc>
          <w:tcPr>
            <w:tcW w:w="80" w:type="dxa"/>
            <w:vAlign w:val="bottom"/>
          </w:tcPr>
          <w:p>
            <w:pPr>
              <w:spacing w:after="0"/>
              <w:rPr>
                <w:sz w:val="18"/>
                <w:szCs w:val="18"/>
                <w:color w:val="auto"/>
              </w:rPr>
            </w:pPr>
          </w:p>
        </w:tc>
      </w:tr>
      <w:tr>
        <w:trPr>
          <w:trHeight w:val="21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shd w:val="clear" w:color="auto" w:fill="CCEEFF"/>
          </w:tcPr>
          <w:p>
            <w:pPr>
              <w:spacing w:after="0"/>
              <w:rPr>
                <w:sz w:val="18"/>
                <w:szCs w:val="18"/>
                <w:color w:val="auto"/>
              </w:rPr>
            </w:pPr>
          </w:p>
        </w:tc>
      </w:tr>
      <w:tr>
        <w:trPr>
          <w:trHeight w:val="165"/>
        </w:trPr>
        <w:tc>
          <w:tcPr>
            <w:tcW w:w="8680" w:type="dxa"/>
            <w:vAlign w:val="bottom"/>
            <w:tcBorders>
              <w:top w:val="single" w:sz="8" w:color="CCEEFF"/>
            </w:tcBorders>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Property and equipment, gross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22,110</w:t>
            </w: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20,406</w:t>
            </w: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1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depreciation and impairment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(12,553)</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(8,649)</w:t>
            </w:r>
          </w:p>
        </w:tc>
      </w:tr>
      <w:tr>
        <w:trPr>
          <w:trHeight w:val="168"/>
        </w:trPr>
        <w:tc>
          <w:tcPr>
            <w:tcW w:w="8680" w:type="dxa"/>
            <w:vAlign w:val="bottom"/>
            <w:tcBorders>
              <w:top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5"/>
                <w:szCs w:val="15"/>
                <w:color w:val="auto"/>
              </w:rPr>
              <w:t>Property and equipment, net</w:t>
            </w:r>
          </w:p>
        </w:tc>
        <w:tc>
          <w:tcPr>
            <w:tcW w:w="2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9,557</w:t>
            </w: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11,757</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9" w:right="3400" w:hanging="269"/>
        <w:spacing w:after="0" w:line="287" w:lineRule="auto"/>
        <w:tabs>
          <w:tab w:leader="none" w:pos="269"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$8.7 million and $9.0 million of vehicles acquired via a financing lease as of September 29, 2024 and December 31, 2023, respectively.</w:t>
      </w:r>
    </w:p>
    <w:p>
      <w:pPr>
        <w:spacing w:after="0" w:line="13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Depreciation expense for the thirty-nine weeks ended September 29, 2024 and fiscal year ended December 31, 2023, was approximately $3.9 million and $4.6 million, respectively.</w:t>
      </w:r>
    </w:p>
    <w:p>
      <w:pPr>
        <w:spacing w:after="0" w:line="188"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3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Noncurrent Assets</w:t>
            </w: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80" w:type="dxa"/>
            <w:vAlign w:val="bottom"/>
          </w:tcPr>
          <w:p>
            <w:pPr>
              <w:spacing w:after="0"/>
              <w:rPr>
                <w:sz w:val="14"/>
                <w:szCs w:val="14"/>
                <w:color w:val="auto"/>
              </w:rPr>
            </w:pPr>
          </w:p>
        </w:tc>
        <w:tc>
          <w:tcPr>
            <w:tcW w:w="1040" w:type="dxa"/>
            <w:vAlign w:val="bottom"/>
          </w:tcPr>
          <w:p>
            <w:pPr>
              <w:jc w:val="center"/>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49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Security deposits</w:t>
            </w:r>
          </w:p>
        </w:tc>
        <w:tc>
          <w:tcPr>
            <w:tcW w:w="4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506</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390</w:t>
            </w:r>
          </w:p>
        </w:tc>
        <w:tc>
          <w:tcPr>
            <w:tcW w:w="0" w:type="dxa"/>
            <w:vAlign w:val="bottom"/>
          </w:tcPr>
          <w:p>
            <w:pPr>
              <w:spacing w:after="0"/>
              <w:rPr>
                <w:sz w:val="1"/>
                <w:szCs w:val="1"/>
                <w:color w:val="auto"/>
              </w:rPr>
            </w:pPr>
          </w:p>
        </w:tc>
      </w:tr>
      <w:tr>
        <w:trPr>
          <w:trHeight w:val="185"/>
        </w:trPr>
        <w:tc>
          <w:tcPr>
            <w:tcW w:w="3660" w:type="dxa"/>
            <w:vAlign w:val="bottom"/>
            <w:tcBorders>
              <w:top w:val="single" w:sz="8" w:color="CCEEFF"/>
              <w:bottom w:val="single" w:sz="8" w:color="CCEEFF"/>
            </w:tcBorders>
            <w:shd w:val="clear" w:color="auto" w:fill="CCEEFF"/>
          </w:tcPr>
          <w:p>
            <w:pPr>
              <w:spacing w:after="0"/>
              <w:rPr>
                <w:sz w:val="16"/>
                <w:szCs w:val="16"/>
                <w:color w:val="auto"/>
              </w:rPr>
            </w:pPr>
          </w:p>
        </w:tc>
        <w:tc>
          <w:tcPr>
            <w:tcW w:w="49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Accrued Liabilities</w:t>
            </w: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vMerge w:val="continue"/>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60"/>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80" w:type="dxa"/>
            <w:vAlign w:val="bottom"/>
          </w:tcPr>
          <w:p>
            <w:pPr>
              <w:spacing w:after="0"/>
              <w:rPr>
                <w:sz w:val="14"/>
                <w:szCs w:val="14"/>
                <w:color w:val="auto"/>
              </w:rPr>
            </w:pPr>
          </w:p>
        </w:tc>
        <w:tc>
          <w:tcPr>
            <w:tcW w:w="1040" w:type="dxa"/>
            <w:vAlign w:val="bottom"/>
          </w:tcPr>
          <w:p>
            <w:pPr>
              <w:jc w:val="center"/>
              <w:ind w:right="4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49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Payroll and employee benefits</w:t>
            </w:r>
          </w:p>
        </w:tc>
        <w:tc>
          <w:tcPr>
            <w:tcW w:w="4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7,369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60" w:type="dxa"/>
            <w:vAlign w:val="bottom"/>
          </w:tcPr>
          <w:p>
            <w:pPr>
              <w:spacing w:after="0"/>
              <w:rPr>
                <w:sz w:val="20"/>
                <w:szCs w:val="20"/>
                <w:color w:val="auto"/>
              </w:rPr>
            </w:pPr>
            <w:r>
              <w:rPr>
                <w:rFonts w:ascii="Times New Roman" w:cs="Times New Roman" w:eastAsia="Times New Roman" w:hAnsi="Times New Roman"/>
                <w:sz w:val="15"/>
                <w:szCs w:val="15"/>
                <w:color w:val="auto"/>
              </w:rPr>
              <w:t>Legal fees</w:t>
            </w: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3,900</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1,518</w:t>
            </w:r>
          </w:p>
        </w:tc>
        <w:tc>
          <w:tcPr>
            <w:tcW w:w="0" w:type="dxa"/>
            <w:vAlign w:val="bottom"/>
          </w:tcPr>
          <w:p>
            <w:pPr>
              <w:spacing w:after="0"/>
              <w:rPr>
                <w:sz w:val="1"/>
                <w:szCs w:val="1"/>
                <w:color w:val="auto"/>
              </w:rPr>
            </w:pPr>
          </w:p>
        </w:tc>
      </w:tr>
      <w:tr>
        <w:trPr>
          <w:trHeight w:val="182"/>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liability - current</w:t>
            </w:r>
          </w:p>
        </w:tc>
        <w:tc>
          <w:tcPr>
            <w:tcW w:w="4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2,047</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2,066</w:t>
            </w:r>
          </w:p>
        </w:tc>
        <w:tc>
          <w:tcPr>
            <w:tcW w:w="0" w:type="dxa"/>
            <w:vAlign w:val="bottom"/>
          </w:tcPr>
          <w:p>
            <w:pPr>
              <w:spacing w:after="0"/>
              <w:rPr>
                <w:sz w:val="1"/>
                <w:szCs w:val="1"/>
                <w:color w:val="auto"/>
              </w:rPr>
            </w:pPr>
          </w:p>
        </w:tc>
      </w:tr>
      <w:tr>
        <w:trPr>
          <w:trHeight w:val="182"/>
        </w:trPr>
        <w:tc>
          <w:tcPr>
            <w:tcW w:w="3660" w:type="dxa"/>
            <w:vAlign w:val="bottom"/>
          </w:tcPr>
          <w:p>
            <w:pPr>
              <w:spacing w:after="0"/>
              <w:rPr>
                <w:sz w:val="20"/>
                <w:szCs w:val="20"/>
                <w:color w:val="auto"/>
              </w:rPr>
            </w:pPr>
            <w:r>
              <w:rPr>
                <w:rFonts w:ascii="Times New Roman" w:cs="Times New Roman" w:eastAsia="Times New Roman" w:hAnsi="Times New Roman"/>
                <w:sz w:val="15"/>
                <w:szCs w:val="15"/>
                <w:color w:val="auto"/>
              </w:rPr>
              <w:t>Customer rebates</w:t>
            </w: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5,715</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7,362</w:t>
            </w: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accrued liabilities</w:t>
            </w:r>
          </w:p>
        </w:tc>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13,553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14,487</w:t>
            </w:r>
          </w:p>
        </w:tc>
        <w:tc>
          <w:tcPr>
            <w:tcW w:w="0" w:type="dxa"/>
            <w:vAlign w:val="bottom"/>
          </w:tcPr>
          <w:p>
            <w:pPr>
              <w:spacing w:after="0"/>
              <w:rPr>
                <w:sz w:val="1"/>
                <w:szCs w:val="1"/>
                <w:color w:val="auto"/>
              </w:rPr>
            </w:pPr>
          </w:p>
        </w:tc>
      </w:tr>
      <w:tr>
        <w:trPr>
          <w:trHeight w:val="168"/>
        </w:trPr>
        <w:tc>
          <w:tcPr>
            <w:tcW w:w="3660" w:type="dxa"/>
            <w:vAlign w:val="bottom"/>
            <w:tcBorders>
              <w:top w:val="single" w:sz="8" w:color="CCEEFF"/>
            </w:tcBorders>
          </w:tcPr>
          <w:p>
            <w:pPr>
              <w:spacing w:after="0"/>
              <w:rPr>
                <w:sz w:val="14"/>
                <w:szCs w:val="14"/>
                <w:color w:val="auto"/>
              </w:rPr>
            </w:pPr>
          </w:p>
        </w:tc>
        <w:tc>
          <w:tcPr>
            <w:tcW w:w="5020" w:type="dxa"/>
            <w:vAlign w:val="bottom"/>
            <w:tcBorders>
              <w:top w:val="single" w:sz="8" w:color="CCEEFF"/>
            </w:tcBorders>
            <w:gridSpan w:val="2"/>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32,584</w:t>
            </w: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32,674</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36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3"/>
          </w:tcPr>
          <w:p>
            <w:pPr>
              <w:jc w:val="right"/>
              <w:ind w:right="2906"/>
              <w:spacing w:after="0"/>
              <w:rPr>
                <w:sz w:val="20"/>
                <w:szCs w:val="20"/>
                <w:color w:val="auto"/>
              </w:rPr>
            </w:pPr>
            <w:r>
              <w:rPr>
                <w:rFonts w:ascii="Times New Roman" w:cs="Times New Roman" w:eastAsia="Times New Roman" w:hAnsi="Times New Roman"/>
                <w:sz w:val="15"/>
                <w:szCs w:val="15"/>
                <w:color w:val="auto"/>
              </w:rPr>
              <w:t>F-109</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9"/>
          </w:cols>
          <w:pgMar w:left="311" w:top="758" w:right="319" w:bottom="1440" w:gutter="0" w:footer="0" w:header="0"/>
        </w:sectPr>
      </w:pPr>
    </w:p>
    <w:bookmarkStart w:id="245" w:name="page246"/>
    <w:bookmarkEnd w:id="2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Other Long-term Liabilities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8"/>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3"/>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September 29,</w:t>
            </w:r>
          </w:p>
        </w:tc>
        <w:tc>
          <w:tcPr>
            <w:tcW w:w="80" w:type="dxa"/>
            <w:vAlign w:val="bottom"/>
          </w:tcPr>
          <w:p>
            <w:pPr>
              <w:spacing w:after="0"/>
              <w:rPr>
                <w:sz w:val="14"/>
                <w:szCs w:val="14"/>
                <w:color w:val="auto"/>
              </w:rPr>
            </w:pPr>
          </w:p>
        </w:tc>
        <w:tc>
          <w:tcPr>
            <w:tcW w:w="1040" w:type="dxa"/>
            <w:vAlign w:val="bottom"/>
          </w:tcPr>
          <w:p>
            <w:pPr>
              <w:jc w:val="right"/>
              <w:ind w:right="6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4"/>
                <w:szCs w:val="14"/>
                <w:color w:val="auto"/>
              </w:rPr>
            </w:pP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82"/>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liability – noncurrent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2,459</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Asset retirement obligation liability</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74</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70</w:t>
            </w:r>
          </w:p>
        </w:tc>
      </w:tr>
      <w:tr>
        <w:trPr>
          <w:trHeight w:val="18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6,447</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6,366</w:t>
            </w:r>
          </w:p>
        </w:tc>
      </w:tr>
      <w:tr>
        <w:trPr>
          <w:trHeight w:val="196"/>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572</w:t>
            </w:r>
          </w:p>
        </w:tc>
      </w:tr>
      <w:tr>
        <w:trPr>
          <w:trHeight w:val="185"/>
        </w:trPr>
        <w:tc>
          <w:tcPr>
            <w:tcW w:w="85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4. </w:t>
      </w:r>
      <w:r>
        <w:rPr>
          <w:rFonts w:ascii="Times New Roman" w:cs="Times New Roman" w:eastAsia="Times New Roman" w:hAnsi="Times New Roman"/>
          <w:sz w:val="15"/>
          <w:szCs w:val="15"/>
          <w:b w:val="1"/>
          <w:bCs w:val="1"/>
          <w:i w:val="1"/>
          <w:iCs w:val="1"/>
          <w:color w:val="auto"/>
        </w:rPr>
        <w:t>RELATED PARTY TRANSACTIONS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accompanying Combined Financial Statements are prepared on a stand-alone basis and are derived from SunPower Corporation’s consolidated financial statements and accounting records.</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Transactions between the Company and the Parent have been classified as related-party transactions. All related party transactions between the Company and Parent have been included in these combined financial statements. On the combined balance sheet, all related party balances are presented in net parent investment in the combined balance sheet as there is not a history of settling these transactions using cash.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Corporate Overhead Allocations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SunPower performed certain corporate functions, including executive oversight, treasury, tax, finance, legal, human resources, compliance, information technology, selling, research and development and other corporate functions on behalf of the Company. The expenses associated with these functions have been allocated based on direct usage or benefit where specifically identifiable, with the remainder allocated on a proportional cost allocation method based primarily on revenue, as applicable. The Company considers the expense methodology and resulting allocation to be reasonable for the period presented; however, the allocations may not be indicative of actual expenses that would have been incurred had the Company operated as an independent company for the period presented. Actual costs incurred had the Company been a stand-alone company would depend on several factors, including the chosen organizational structure and functions outsourced or performed by employees.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Management</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total net effect of the settlement of these intercompany transactions is reflected in the combined statement of cash flows as a financing activity and in the combined balance sheet as net parent investment. The Company historically has not regularly settled balances with SunPower Corporation and the Company has not funded its own operating and investing activities as this was done at the Parent.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Related Party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were no operational sales to or from SunPower for any of the periods presented.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5"/>
          <w:szCs w:val="15"/>
          <w:b w:val="1"/>
          <w:bCs w:val="1"/>
          <w:i w:val="1"/>
          <w:iCs w:val="1"/>
          <w:color w:val="auto"/>
        </w:rPr>
        <w:t>Net Parent Investment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Net Parent Investment for the thirty-nine weeks ended September 29, 2024 was $52,734.</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accompanying combined statement of net parent investment and combined statement of cash flows are prepared in accordance with U.S. GAAP. As a result of carveout methodology as described in the Basis of Presentation, differences exist related to noncash items between the combined statements of net parent investment and the combined statements of cash flows with regard to transfers to and from Parent.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components of the net transfers to and from Parent as of thirty-nine weeks ended September 29, 2024 and twelve months ended December 31, 2023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Thirty-nine</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Fiscal year</w:t>
            </w:r>
          </w:p>
        </w:tc>
      </w:tr>
      <w:tr>
        <w:trPr>
          <w:trHeight w:val="182"/>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weeks ended</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2"/>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 w:type="dxa"/>
            <w:vAlign w:val="bottom"/>
          </w:tcPr>
          <w:p>
            <w:pPr>
              <w:spacing w:after="0"/>
              <w:rPr>
                <w:sz w:val="17"/>
                <w:szCs w:val="17"/>
                <w:color w:val="auto"/>
              </w:rPr>
            </w:pPr>
          </w:p>
        </w:tc>
        <w:tc>
          <w:tcPr>
            <w:tcW w:w="10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r>
      <w:tr>
        <w:trPr>
          <w:trHeight w:val="182"/>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 allocations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332,084</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228,140</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Transfers from subsidiary to parent</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(221,973)</w:t>
            </w:r>
          </w:p>
        </w:tc>
        <w:tc>
          <w:tcPr>
            <w:tcW w:w="1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(167,823)</w:t>
            </w:r>
          </w:p>
        </w:tc>
      </w:tr>
      <w:tr>
        <w:trPr>
          <w:trHeight w:val="185"/>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net transfers from Parent per Statement of Changes in Net Parent Investment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110,111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5. </w:t>
      </w:r>
      <w:r>
        <w:rPr>
          <w:rFonts w:ascii="Times New Roman" w:cs="Times New Roman" w:eastAsia="Times New Roman" w:hAnsi="Times New Roman"/>
          <w:sz w:val="15"/>
          <w:szCs w:val="15"/>
          <w:b w:val="1"/>
          <w:bCs w:val="1"/>
          <w:i w:val="1"/>
          <w:iCs w:val="1"/>
          <w:color w:val="auto"/>
        </w:rPr>
        <w:t>COMMITMENTS AND CONTINGENCIES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Litigation</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 xml:space="preserve">The Company is involved in various claims and legal actions arising in the ordinary course of business. In accordance with ASC 450, </w:t>
      </w:r>
      <w:r>
        <w:rPr>
          <w:rFonts w:ascii="Times New Roman" w:cs="Times New Roman" w:eastAsia="Times New Roman" w:hAnsi="Times New Roman"/>
          <w:sz w:val="15"/>
          <w:szCs w:val="15"/>
          <w:i w:val="1"/>
          <w:iCs w:val="1"/>
          <w:color w:val="auto"/>
        </w:rPr>
        <w:t>Contingencies</w:t>
      </w:r>
      <w:r>
        <w:rPr>
          <w:rFonts w:ascii="Times New Roman" w:cs="Times New Roman" w:eastAsia="Times New Roman" w:hAnsi="Times New Roman"/>
          <w:sz w:val="15"/>
          <w:szCs w:val="15"/>
          <w:color w:val="auto"/>
        </w:rPr>
        <w:t>, the Company accrues reserves for outstanding lawsuits, claims and proceedings when a loss contingency is probable and can be reasonably estimated. There are no losses that are probable, estimable or reasonably possible as of September 29, 2024 and December 31,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6. </w:t>
      </w:r>
      <w:r>
        <w:rPr>
          <w:rFonts w:ascii="Times New Roman" w:cs="Times New Roman" w:eastAsia="Times New Roman" w:hAnsi="Times New Roman"/>
          <w:sz w:val="15"/>
          <w:szCs w:val="15"/>
          <w:b w:val="1"/>
          <w:bCs w:val="1"/>
          <w:i w:val="1"/>
          <w:iCs w:val="1"/>
          <w:color w:val="auto"/>
        </w:rPr>
        <w:t>LEASES</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 xml:space="preserve">We lease certain facilities under non-cancellable operating leases from third parties. Our operating leases are subject to renewal options for periods ranging from one year to ten years. We also lease certain vehicle finance leases which are cancellable with a fee and subject to renewal options of month-to-month after the initial term, and recorded and presented within “property and equipment, net” on our combined balance sheets refer to Note 3. </w:t>
      </w:r>
      <w:r>
        <w:rPr>
          <w:rFonts w:ascii="Times New Roman" w:cs="Times New Roman" w:eastAsia="Times New Roman" w:hAnsi="Times New Roman"/>
          <w:sz w:val="15"/>
          <w:szCs w:val="15"/>
          <w:i w:val="1"/>
          <w:iCs w:val="1"/>
          <w:color w:val="auto"/>
        </w:rPr>
        <w:t>Balance Sheet Components</w:t>
      </w:r>
      <w:r>
        <w:rPr>
          <w:rFonts w:ascii="Times New Roman" w:cs="Times New Roman" w:eastAsia="Times New Roman" w:hAnsi="Times New Roman"/>
          <w:sz w:val="15"/>
          <w:szCs w:val="15"/>
          <w:color w:val="auto"/>
        </w:rPr>
        <w:t xml:space="preserve"> for additional details.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47" w:name="page248"/>
    <w:bookmarkEnd w:id="247"/>
    <w:p>
      <w:pPr>
        <w:spacing w:after="0" w:line="287" w:lineRule="auto"/>
        <w:rPr>
          <w:sz w:val="20"/>
          <w:szCs w:val="20"/>
          <w:color w:val="auto"/>
        </w:rPr>
      </w:pPr>
      <w:r>
        <w:rPr>
          <w:rFonts w:ascii="Times New Roman" w:cs="Times New Roman" w:eastAsia="Times New Roman" w:hAnsi="Times New Roman"/>
          <w:sz w:val="15"/>
          <w:szCs w:val="15"/>
          <w:color w:val="auto"/>
        </w:rPr>
        <w:t>We have disclosed quantitative information related to the lease contracts we have entered into as a lessee by aggregating the information based on the nature of asset such that the assets of similar characteristics and lease terms are shown within one single financial statement line item.</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Thirty-nine</w:t>
            </w:r>
          </w:p>
        </w:tc>
        <w:tc>
          <w:tcPr>
            <w:tcW w:w="8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Fiscal year</w:t>
            </w:r>
          </w:p>
        </w:tc>
      </w:tr>
      <w:tr>
        <w:trPr>
          <w:trHeight w:val="182"/>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weeks ended</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2"/>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8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 w:type="dxa"/>
            <w:vAlign w:val="bottom"/>
          </w:tcPr>
          <w:p>
            <w:pPr>
              <w:spacing w:after="0"/>
              <w:rPr>
                <w:sz w:val="17"/>
                <w:szCs w:val="17"/>
                <w:color w:val="auto"/>
              </w:rPr>
            </w:pPr>
          </w:p>
        </w:tc>
        <w:tc>
          <w:tcPr>
            <w:tcW w:w="10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r>
      <w:tr>
        <w:trPr>
          <w:trHeight w:val="182"/>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cost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Finance lease cost:</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Amortization of leased assets in property and equipment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2,371</w:t>
            </w:r>
          </w:p>
        </w:tc>
      </w:tr>
      <w:tr>
        <w:trPr>
          <w:trHeight w:val="182"/>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Interest on lease obligation</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285</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436</w:t>
            </w:r>
          </w:p>
        </w:tc>
      </w:tr>
      <w:tr>
        <w:trPr>
          <w:trHeight w:val="182"/>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finance lease cost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1,772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2,807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tables below present the summarized quantitative information with regard to facility and equipment lease contracts we have entered into:</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future minimum lease payments to be paid under non-cancellable leases in effect as of September 29, 2024, are as follows: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Operating</w:t>
            </w: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Financing</w:t>
            </w:r>
          </w:p>
        </w:tc>
        <w:tc>
          <w:tcPr>
            <w:tcW w:w="0" w:type="dxa"/>
            <w:vAlign w:val="bottom"/>
          </w:tcPr>
          <w:p>
            <w:pPr>
              <w:spacing w:after="0"/>
              <w:rPr>
                <w:sz w:val="1"/>
                <w:szCs w:val="1"/>
                <w:color w:val="auto"/>
              </w:rPr>
            </w:pPr>
          </w:p>
        </w:tc>
      </w:tr>
      <w:tr>
        <w:trPr>
          <w:trHeight w:val="203"/>
        </w:trPr>
        <w:tc>
          <w:tcPr>
            <w:tcW w:w="86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As of September 29, 2024</w:t>
            </w:r>
          </w:p>
        </w:tc>
        <w:tc>
          <w:tcPr>
            <w:tcW w:w="140" w:type="dxa"/>
            <w:vAlign w:val="bottom"/>
          </w:tcPr>
          <w:p>
            <w:pPr>
              <w:spacing w:after="0"/>
              <w:rPr>
                <w:sz w:val="17"/>
                <w:szCs w:val="17"/>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Lease</w:t>
            </w:r>
          </w:p>
        </w:tc>
        <w:tc>
          <w:tcPr>
            <w:tcW w:w="16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Lease</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October – December 2024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267</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1,095</w:t>
            </w: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1,128</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802</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lease payments</w:t>
            </w: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3,292</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(329)</w:t>
            </w:r>
          </w:p>
        </w:tc>
        <w:tc>
          <w:tcPr>
            <w:tcW w:w="1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(352)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information related to leases (Supplemental Cash Flows Information) as of thirty-nine weeks ended September 29, 2024, and Fiscal year ended December 31, 2023,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Thirty-nine</w:t>
            </w: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weeks ended</w:t>
            </w: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3"/>
        </w:trPr>
        <w:tc>
          <w:tcPr>
            <w:tcW w:w="85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 –cash flows from operating leases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5,517</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 obtained in exchange for new operating lease obligations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remaining lease term – operating leases</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2.98</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discount rate – operating leases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 finance leases</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1,733</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 obtained in exchange for new finance lease obligations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remaining lease term – finance leases</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2.01</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discount rate – finance leases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8520" w:type="dxa"/>
            <w:vAlign w:val="bottom"/>
            <w:tcBorders>
              <w:bottom w:val="single" w:sz="8" w:color="auto"/>
            </w:tcBorders>
          </w:tcPr>
          <w:p>
            <w:pPr>
              <w:ind w:left="5420"/>
              <w:spacing w:after="0"/>
              <w:rPr>
                <w:sz w:val="20"/>
                <w:szCs w:val="20"/>
                <w:color w:val="auto"/>
              </w:rPr>
            </w:pPr>
            <w:r>
              <w:rPr>
                <w:rFonts w:ascii="Times New Roman" w:cs="Times New Roman" w:eastAsia="Times New Roman" w:hAnsi="Times New Roman"/>
                <w:sz w:val="15"/>
                <w:szCs w:val="15"/>
                <w:color w:val="auto"/>
              </w:rPr>
              <w:t>F-112</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62" w:right="31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5"/>
          <w:szCs w:val="15"/>
          <w:b w:val="1"/>
          <w:bCs w:val="1"/>
          <w:color w:val="auto"/>
        </w:rPr>
        <w:t>Note 7. GOODWILL AND OTHER INTANGIBLE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Goodwill</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October 4, 2021, we entered into a Securities Purchase Agreement to acquire all of the issued and outstanding membership interests of Blue Raven Solar Holdings, LLC (“Blue Raven”) and 35% of the issued and outstanding membership interests in Albatross Software, LLC, an affiliate of Blue Raven. Goodwill presented on our combined financial statements of $126.0 million as of December 31, 2023 represents Goodwill resulting from the acquisition of Blue Raven.</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We test goodwill impairment at least annually during the last day of the third fiscal quarter, or when events or changes in circumstances indicate that goodwill might be impaired. The evaluation of impairment involves comparing the current fair value of our reporting unit to the book value (including goodwill). We have performed a quantitative assessment of goodwill to determine whether it is more likely than not that the fair value of a reporting unit is less than its carrying amount, including goodwill. After assessing the totality of events and circumstances, specifically, the distressed sale of SunPower Businesses as further discussed in Note 10. </w:t>
      </w:r>
      <w:r>
        <w:rPr>
          <w:rFonts w:ascii="Times New Roman" w:cs="Times New Roman" w:eastAsia="Times New Roman" w:hAnsi="Times New Roman"/>
          <w:sz w:val="15"/>
          <w:szCs w:val="15"/>
          <w:i w:val="1"/>
          <w:iCs w:val="1"/>
          <w:color w:val="auto"/>
        </w:rPr>
        <w:t>Subsequent Events</w:t>
      </w:r>
      <w:r>
        <w:rPr>
          <w:rFonts w:ascii="Times New Roman" w:cs="Times New Roman" w:eastAsia="Times New Roman" w:hAnsi="Times New Roman"/>
          <w:sz w:val="15"/>
          <w:szCs w:val="15"/>
          <w:color w:val="auto"/>
        </w:rPr>
        <w:t>, we concluded that as of September 29, 2024, it is more likely than the fair value of our single reporting unit with goodwill is less than the book value. As such, we performed a quantitative assessment utilizing the transaction method and recognized a $103.9 million goodwill impairment for the thirty-nine weeks ended September 29, 2024. The impairment is recognized in loss on goodwill impairment.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Intangible Assets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following table represents our other intangible assets with finite useful lives as of December 31, 2023. The intangible assets were written off during the thirty-nine weeks ended September 29, 2024 and we recognized a $3.9 million impairment loss. The impairment is recognized in sales, general, and administrative expenses. Amortization expense was $4.7 million for the thirty-nine weeks ended September 29, 2024, prior to the recognition of the impairment charge, and $6.3 million for the twelve months ended December 31,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3"/>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0"/>
              <w:spacing w:after="0" w:line="164" w:lineRule="exact"/>
              <w:rPr>
                <w:sz w:val="20"/>
                <w:szCs w:val="20"/>
                <w:color w:val="auto"/>
              </w:rPr>
            </w:pPr>
            <w:r>
              <w:rPr>
                <w:rFonts w:ascii="Times New Roman" w:cs="Times New Roman" w:eastAsia="Times New Roman" w:hAnsi="Times New Roman"/>
                <w:sz w:val="15"/>
                <w:szCs w:val="15"/>
                <w:b w:val="1"/>
                <w:bCs w:val="1"/>
                <w:color w:val="auto"/>
              </w:rPr>
              <w:t>Gross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20" w:type="dxa"/>
            <w:vAlign w:val="bottom"/>
          </w:tcPr>
          <w:p>
            <w:pPr>
              <w:spacing w:after="0"/>
              <w:rPr>
                <w:sz w:val="15"/>
                <w:szCs w:val="15"/>
                <w:color w:val="auto"/>
              </w:rPr>
            </w:pPr>
          </w:p>
        </w:tc>
        <w:tc>
          <w:tcPr>
            <w:tcW w:w="124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5"/>
                <w:szCs w:val="15"/>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Net Book</w:t>
            </w: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24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6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Value</w:t>
            </w:r>
          </w:p>
        </w:tc>
      </w:tr>
      <w:tr>
        <w:trPr>
          <w:trHeight w:val="182"/>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Developed technology</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3,700</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(2,775)</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Brand</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15,800</w:t>
            </w:r>
          </w:p>
        </w:tc>
        <w:tc>
          <w:tcPr>
            <w:tcW w:w="120" w:type="dxa"/>
            <w:vAlign w:val="bottom"/>
          </w:tcPr>
          <w:p>
            <w:pPr>
              <w:spacing w:after="0"/>
              <w:rPr>
                <w:sz w:val="15"/>
                <w:szCs w:val="15"/>
                <w:color w:val="auto"/>
              </w:rPr>
            </w:pPr>
          </w:p>
        </w:tc>
        <w:tc>
          <w:tcPr>
            <w:tcW w:w="124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(8,888)</w:t>
            </w:r>
          </w:p>
        </w:tc>
        <w:tc>
          <w:tcPr>
            <w:tcW w:w="1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6,912</w:t>
            </w:r>
          </w:p>
        </w:tc>
        <w:tc>
          <w:tcPr>
            <w:tcW w:w="80" w:type="dxa"/>
            <w:vAlign w:val="bottom"/>
          </w:tcPr>
          <w:p>
            <w:pPr>
              <w:spacing w:after="0"/>
              <w:rPr>
                <w:sz w:val="15"/>
                <w:szCs w:val="15"/>
                <w:color w:val="auto"/>
              </w:rPr>
            </w:pPr>
          </w:p>
        </w:tc>
      </w:tr>
      <w:tr>
        <w:trPr>
          <w:trHeight w:val="21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Non-compete agreement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(2,550)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850</w:t>
            </w:r>
          </w:p>
        </w:tc>
        <w:tc>
          <w:tcPr>
            <w:tcW w:w="80" w:type="dxa"/>
            <w:vAlign w:val="bottom"/>
            <w:shd w:val="clear" w:color="auto" w:fill="CCEEFF"/>
          </w:tcPr>
          <w:p>
            <w:pPr>
              <w:spacing w:after="0"/>
              <w:rPr>
                <w:sz w:val="18"/>
                <w:szCs w:val="18"/>
                <w:color w:val="auto"/>
              </w:rPr>
            </w:pPr>
          </w:p>
        </w:tc>
      </w:tr>
      <w:tr>
        <w:trPr>
          <w:trHeight w:val="168"/>
        </w:trPr>
        <w:tc>
          <w:tcPr>
            <w:tcW w:w="7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22,900</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(14,213</w:t>
            </w:r>
          </w:p>
        </w:tc>
        <w:tc>
          <w:tcPr>
            <w:tcW w:w="220" w:type="dxa"/>
            <w:vAlign w:val="bottom"/>
            <w:tcBorders>
              <w:top w:val="single" w:sz="8" w:color="CCEEFF"/>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auto"/>
            </w:tcBorders>
          </w:tcPr>
          <w:p>
            <w:pPr>
              <w:jc w:val="right"/>
              <w:ind w:right="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8,687</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Note 8</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INCOME TAXES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The income tax (benefit) expense has been calculated using the separate return method, which is meant to reflect how taxes would have been recorded had the Company filed its own return. The Company is not subject to examination by the U.S. federal and local income tax authorities due to the legal form of the sale of SunPower Businesses as described in Note 10. </w:t>
      </w:r>
      <w:r>
        <w:rPr>
          <w:rFonts w:ascii="Times New Roman" w:cs="Times New Roman" w:eastAsia="Times New Roman" w:hAnsi="Times New Roman"/>
          <w:sz w:val="15"/>
          <w:szCs w:val="15"/>
          <w:i w:val="1"/>
          <w:iCs w:val="1"/>
          <w:color w:val="auto"/>
        </w:rPr>
        <w:t>Subsequent Events</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As of the thirty-nine weeks ended September 29, 2024, and the fiscal year ended December 31, 2023, we recorded a net income tax (benefit) of $(572) thousand and expense of $267 thousand, respectively.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97"/>
        </w:trPr>
        <w:tc>
          <w:tcPr>
            <w:tcW w:w="8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components of the (benefit) expense for income taxes, net are as follows: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rPr>
              <w:t>Thirty-nine</w:t>
            </w:r>
          </w:p>
        </w:tc>
        <w:tc>
          <w:tcPr>
            <w:tcW w:w="10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Fiscal year</w:t>
            </w:r>
          </w:p>
        </w:tc>
      </w:tr>
      <w:tr>
        <w:trPr>
          <w:trHeight w:val="182"/>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w w:val="99"/>
              </w:rPr>
              <w:t>weeks ended</w:t>
            </w:r>
          </w:p>
        </w:tc>
        <w:tc>
          <w:tcPr>
            <w:tcW w:w="10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2"/>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86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 w:type="dxa"/>
            <w:vAlign w:val="bottom"/>
          </w:tcPr>
          <w:p>
            <w:pPr>
              <w:spacing w:after="0"/>
              <w:rPr>
                <w:sz w:val="17"/>
                <w:szCs w:val="17"/>
                <w:color w:val="auto"/>
              </w:rPr>
            </w:pPr>
          </w:p>
        </w:tc>
        <w:tc>
          <w:tcPr>
            <w:tcW w:w="10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Current:</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8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Federal: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6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State:</w:t>
            </w:r>
          </w:p>
        </w:tc>
        <w:tc>
          <w:tcPr>
            <w:tcW w:w="80" w:type="dxa"/>
            <w:vAlign w:val="bottom"/>
          </w:tcPr>
          <w:p>
            <w:pPr>
              <w:spacing w:after="0"/>
              <w:rPr>
                <w:sz w:val="17"/>
                <w:szCs w:val="17"/>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current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5"/>
        </w:trPr>
        <w:tc>
          <w:tcPr>
            <w:tcW w:w="20" w:type="dxa"/>
            <w:vAlign w:val="bottom"/>
          </w:tcPr>
          <w:p>
            <w:pPr>
              <w:spacing w:after="0"/>
              <w:rPr>
                <w:sz w:val="14"/>
                <w:szCs w:val="14"/>
                <w:color w:val="auto"/>
              </w:rPr>
            </w:pPr>
          </w:p>
        </w:tc>
        <w:tc>
          <w:tcPr>
            <w:tcW w:w="86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Deferred: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8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Federal: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(554)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262</w:t>
            </w:r>
          </w:p>
        </w:tc>
        <w:tc>
          <w:tcPr>
            <w:tcW w:w="8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6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State:</w:t>
            </w:r>
          </w:p>
        </w:tc>
        <w:tc>
          <w:tcPr>
            <w:tcW w:w="80" w:type="dxa"/>
            <w:vAlign w:val="bottom"/>
          </w:tcPr>
          <w:p>
            <w:pPr>
              <w:spacing w:after="0"/>
              <w:rPr>
                <w:sz w:val="17"/>
                <w:szCs w:val="17"/>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deferred</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8"/>
        </w:trPr>
        <w:tc>
          <w:tcPr>
            <w:tcW w:w="20" w:type="dxa"/>
            <w:vAlign w:val="bottom"/>
          </w:tcPr>
          <w:p>
            <w:pPr>
              <w:spacing w:after="0"/>
              <w:rPr>
                <w:sz w:val="14"/>
                <w:szCs w:val="14"/>
                <w:color w:val="auto"/>
              </w:rPr>
            </w:pPr>
          </w:p>
        </w:tc>
        <w:tc>
          <w:tcPr>
            <w:tcW w:w="86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Income tax (benefit) expense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(572</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267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Income tax (benefit) expense differed from the amount computed by applying the federal statutory income tax rate of 21% to pretax income for the thirty-nine weeks ended September 29, 2024 and fiscal year ended December 31, 2023 as a result of the impact of state income taxes, add backs for allocated stock based compensation, and the related valuation allowance.</w:t>
      </w:r>
    </w:p>
    <w:p>
      <w:pPr>
        <w:spacing w:after="0" w:line="13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Deferred income taxes reflect the net tax effects of temporary differences between the carrying amounts of assets or liabilities for financial reporting purposes and the amounts used for income tax purposes.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Significant components of our deferred tax assets and liabilities are as follows:</w:t>
            </w: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rPr>
              <w:t>Thirty-nine</w:t>
            </w:r>
          </w:p>
        </w:tc>
        <w:tc>
          <w:tcPr>
            <w:tcW w:w="80" w:type="dxa"/>
            <w:vAlign w:val="bottom"/>
          </w:tcPr>
          <w:p>
            <w:pPr>
              <w:spacing w:after="0"/>
              <w:rPr>
                <w:sz w:val="24"/>
                <w:szCs w:val="24"/>
                <w:color w:val="auto"/>
              </w:rPr>
            </w:pPr>
          </w:p>
        </w:tc>
        <w:tc>
          <w:tcPr>
            <w:tcW w:w="1140" w:type="dxa"/>
            <w:vAlign w:val="bottom"/>
            <w:gridSpan w:val="2"/>
          </w:tcPr>
          <w:p>
            <w:pPr>
              <w:jc w:val="center"/>
              <w:ind w:right="162"/>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w w:val="99"/>
              </w:rPr>
              <w:t>weeks ended</w:t>
            </w:r>
          </w:p>
        </w:tc>
        <w:tc>
          <w:tcPr>
            <w:tcW w:w="80" w:type="dxa"/>
            <w:vAlign w:val="bottom"/>
          </w:tcPr>
          <w:p>
            <w:pPr>
              <w:spacing w:after="0"/>
              <w:rPr>
                <w:sz w:val="15"/>
                <w:szCs w:val="15"/>
                <w:color w:val="auto"/>
              </w:rPr>
            </w:pPr>
          </w:p>
        </w:tc>
        <w:tc>
          <w:tcPr>
            <w:tcW w:w="1140" w:type="dxa"/>
            <w:vAlign w:val="bottom"/>
            <w:gridSpan w:val="2"/>
          </w:tcPr>
          <w:p>
            <w:pPr>
              <w:jc w:val="center"/>
              <w:ind w:right="142"/>
              <w:spacing w:after="0"/>
              <w:rPr>
                <w:sz w:val="20"/>
                <w:szCs w:val="20"/>
                <w:color w:val="auto"/>
              </w:rPr>
            </w:pPr>
            <w:r>
              <w:rPr>
                <w:rFonts w:ascii="Times New Roman" w:cs="Times New Roman" w:eastAsia="Times New Roman" w:hAnsi="Times New Roman"/>
                <w:sz w:val="15"/>
                <w:szCs w:val="15"/>
                <w:b w:val="1"/>
                <w:bCs w:val="1"/>
                <w:color w:val="auto"/>
              </w:rPr>
              <w:t>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80" w:type="dxa"/>
            <w:vAlign w:val="bottom"/>
          </w:tcPr>
          <w:p>
            <w:pPr>
              <w:spacing w:after="0"/>
              <w:rPr>
                <w:sz w:val="15"/>
                <w:szCs w:val="15"/>
                <w:color w:val="auto"/>
              </w:rPr>
            </w:pPr>
          </w:p>
        </w:tc>
        <w:tc>
          <w:tcPr>
            <w:tcW w:w="1140" w:type="dxa"/>
            <w:vAlign w:val="bottom"/>
            <w:gridSpan w:val="2"/>
          </w:tcPr>
          <w:p>
            <w:pPr>
              <w:jc w:val="center"/>
              <w:ind w:right="182"/>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3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operating loss</w:t>
            </w:r>
          </w:p>
        </w:tc>
        <w:tc>
          <w:tcPr>
            <w:tcW w:w="3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41,822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13,448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Intangibles assets</w:t>
            </w: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29,943</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2,880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Capitalized research costs</w:t>
            </w:r>
          </w:p>
        </w:tc>
        <w:tc>
          <w:tcPr>
            <w:tcW w:w="3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1,003</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835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Stock based compensation</w:t>
            </w: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269</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lease liability</w:t>
            </w:r>
          </w:p>
        </w:tc>
        <w:tc>
          <w:tcPr>
            <w:tcW w:w="3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769</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917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Accruals and reserves</w:t>
            </w: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4,684</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2,763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w:t>
            </w:r>
          </w:p>
        </w:tc>
        <w:tc>
          <w:tcPr>
            <w:tcW w:w="3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489</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493</w:t>
            </w:r>
          </w:p>
        </w:tc>
        <w:tc>
          <w:tcPr>
            <w:tcW w:w="80" w:type="dxa"/>
            <w:vAlign w:val="bottom"/>
          </w:tcPr>
          <w:p>
            <w:pPr>
              <w:spacing w:after="0"/>
              <w:rPr>
                <w:sz w:val="17"/>
                <w:szCs w:val="17"/>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deferred tax assets</w:t>
            </w:r>
          </w:p>
        </w:tc>
        <w:tc>
          <w:tcPr>
            <w:tcW w:w="3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79,472</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21,130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(77,964)</w:t>
            </w:r>
          </w:p>
        </w:tc>
        <w:tc>
          <w:tcPr>
            <w:tcW w:w="80" w:type="dxa"/>
            <w:vAlign w:val="bottom"/>
          </w:tcPr>
          <w:p>
            <w:pPr>
              <w:spacing w:after="0"/>
              <w:rPr>
                <w:sz w:val="17"/>
                <w:szCs w:val="17"/>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(20,185)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assets</w:t>
            </w:r>
          </w:p>
        </w:tc>
        <w:tc>
          <w:tcPr>
            <w:tcW w:w="3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0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3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Right of use asset</w:t>
            </w: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(651)</w:t>
            </w:r>
          </w:p>
        </w:tc>
        <w:tc>
          <w:tcPr>
            <w:tcW w:w="80" w:type="dxa"/>
            <w:vAlign w:val="bottom"/>
          </w:tcPr>
          <w:p>
            <w:pPr>
              <w:spacing w:after="0"/>
              <w:rPr>
                <w:sz w:val="15"/>
                <w:szCs w:val="15"/>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(781)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w:t>
            </w:r>
          </w:p>
        </w:tc>
        <w:tc>
          <w:tcPr>
            <w:tcW w:w="3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w:t>
            </w: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(857)</w:t>
            </w:r>
          </w:p>
        </w:tc>
        <w:tc>
          <w:tcPr>
            <w:tcW w:w="80" w:type="dxa"/>
            <w:vAlign w:val="bottom"/>
          </w:tcPr>
          <w:p>
            <w:pPr>
              <w:spacing w:after="0"/>
              <w:rPr>
                <w:sz w:val="17"/>
                <w:szCs w:val="17"/>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(556)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liabilities</w:t>
            </w:r>
          </w:p>
        </w:tc>
        <w:tc>
          <w:tcPr>
            <w:tcW w:w="34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(1,517</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Net deferred tax assets (liabilities):</w:t>
            </w: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(572</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3"/>
          </w:tcPr>
          <w:p>
            <w:pPr>
              <w:jc w:val="right"/>
              <w:ind w:right="2906"/>
              <w:spacing w:after="0"/>
              <w:rPr>
                <w:sz w:val="20"/>
                <w:szCs w:val="20"/>
                <w:color w:val="auto"/>
              </w:rPr>
            </w:pPr>
            <w:r>
              <w:rPr>
                <w:rFonts w:ascii="Times New Roman" w:cs="Times New Roman" w:eastAsia="Times New Roman" w:hAnsi="Times New Roman"/>
                <w:sz w:val="15"/>
                <w:szCs w:val="15"/>
                <w:color w:val="auto"/>
              </w:rPr>
              <w:t>F-114</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62" w:right="319" w:bottom="1440" w:gutter="0" w:footer="0" w:header="0"/>
        </w:sectPr>
      </w:pPr>
    </w:p>
    <w:bookmarkStart w:id="250" w:name="page251"/>
    <w:bookmarkEnd w:id="250"/>
    <w:p>
      <w:pPr>
        <w:jc w:val="both"/>
        <w:spacing w:after="0" w:line="264" w:lineRule="auto"/>
        <w:rPr>
          <w:sz w:val="20"/>
          <w:szCs w:val="20"/>
          <w:color w:val="auto"/>
        </w:rPr>
      </w:pPr>
      <w:r>
        <w:rPr>
          <w:rFonts w:ascii="Times New Roman" w:cs="Times New Roman" w:eastAsia="Times New Roman" w:hAnsi="Times New Roman"/>
          <w:sz w:val="15"/>
          <w:szCs w:val="15"/>
          <w:color w:val="auto"/>
        </w:rPr>
        <w:t>We have assessed our ability to realize its deferred tax assets and has recorded a valuation allowance against such assets to the extent that, based on the weight of all available evidence, it is more likely than not that all or a portion of the deferred tax assets will not be realized. In assessing the likelihood of future realization of its deferred tax assets, we placed a significant amount of weight on the Company’s history of generating U.S. tax losses, including in the current year. The net change in the valuation allowance for the thirty-nine weeks ended September 29, 2024, was an increase of $57.8 million.</w:t>
      </w:r>
    </w:p>
    <w:p>
      <w:pPr>
        <w:spacing w:after="0" w:line="15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 xml:space="preserve">The net operating losses disclosed above were allocated within the carve-out financial statements based on historical losses and business operations of the SunPower Businesses, and are not available to the Company following the sale of SunPower Businesses to the Company further described in Note 10. </w:t>
      </w:r>
      <w:r>
        <w:rPr>
          <w:rFonts w:ascii="Times New Roman" w:cs="Times New Roman" w:eastAsia="Times New Roman" w:hAnsi="Times New Roman"/>
          <w:sz w:val="15"/>
          <w:szCs w:val="15"/>
          <w:i w:val="1"/>
          <w:iCs w:val="1"/>
          <w:color w:val="auto"/>
        </w:rPr>
        <w:t>Subsequent Events</w:t>
      </w:r>
      <w:r>
        <w:rPr>
          <w:rFonts w:ascii="Times New Roman" w:cs="Times New Roman" w:eastAsia="Times New Roman" w:hAnsi="Times New Roman"/>
          <w:sz w:val="15"/>
          <w:szCs w:val="15"/>
          <w:color w:val="auto"/>
        </w:rPr>
        <w:t>.</w:t>
      </w:r>
    </w:p>
    <w:p>
      <w:pPr>
        <w:spacing w:after="0" w:line="13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Company recognizes interest and penalties related to unrecognized tax benefits in the income tax (benefit) expense provision. We account for income tax uncertainties using a threshold of more-likely than-not. There were no unrecognized tax benefits as of September 29, 2024 and December 31, 2023 that if recognized, would effect the effective tax rate.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Note 9. STOCK-BASED COMPENSATION</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summarizes the stock-based compensation expense by line item in our combined statements of operations: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Thirty-Nine</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Fiscal Year</w:t>
            </w:r>
          </w:p>
        </w:tc>
      </w:tr>
      <w:tr>
        <w:trPr>
          <w:trHeight w:val="182"/>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Weeks Ended</w:t>
            </w:r>
          </w:p>
        </w:tc>
        <w:tc>
          <w:tcPr>
            <w:tcW w:w="10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2"/>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September 29,</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0" w:type="dxa"/>
            <w:vAlign w:val="bottom"/>
          </w:tcPr>
          <w:p>
            <w:pPr>
              <w:spacing w:after="0"/>
              <w:rPr>
                <w:sz w:val="17"/>
                <w:szCs w:val="17"/>
                <w:color w:val="auto"/>
              </w:rPr>
            </w:pPr>
          </w:p>
        </w:tc>
        <w:tc>
          <w:tcPr>
            <w:tcW w:w="10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r>
      <w:tr>
        <w:trPr>
          <w:trHeight w:val="182"/>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1,279</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Sales, general, and administrative</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2,276</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5,814</w:t>
            </w:r>
          </w:p>
        </w:tc>
      </w:tr>
      <w:tr>
        <w:trPr>
          <w:trHeight w:val="185"/>
        </w:trPr>
        <w:tc>
          <w:tcPr>
            <w:tcW w:w="85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10. </w:t>
      </w:r>
      <w:r>
        <w:rPr>
          <w:rFonts w:ascii="Times New Roman" w:cs="Times New Roman" w:eastAsia="Times New Roman" w:hAnsi="Times New Roman"/>
          <w:sz w:val="15"/>
          <w:szCs w:val="15"/>
          <w:b w:val="1"/>
          <w:bCs w:val="1"/>
          <w:i w:val="1"/>
          <w:iCs w:val="1"/>
          <w:color w:val="auto"/>
        </w:rPr>
        <w:t>SUBSEQUENT EVENTS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In preparing these combined financial statements, the Company has evaluated events and transactions for potential recognition or disclosure through December 16, 2024, the date the combined financial statements were available to be issued.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August 5, 2024, SunPower Corporation entered into an Asset Purchase Agreement (the “APA”) with SunPower Inc. (f/k/a Complete Solaria, Inc. (the “Company”) providing for the sale and purchase of certain assets relating to SunPower Corporation’s Blue Raven Solar business and certain assets relating to the new homes and non-installing dealer network activities previously operated by SunPower (the “Acquired Assets”). The APA was entered into in connection with a voluntary petition filed by SunPower Corporation under Chapter 11 of the United States Code, 11 U.S.C.§§ 101-1532 (“Bankruptcy Code”). The sale by SunPower Corporation was approved on September 23, 2024, by the United States Bankruptcy Court for the District of Delaware. The Company completed the acquisition of the Acquired Assets effective September 30, 2024, in consideration for a cash purchase price of $52.7 million.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51" w:name="page252"/>
    <w:bookmarkEnd w:id="251"/>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SUNDER ENERGY LLC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INTERIM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of June 30, 2025 and December 31, 2024 and the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7153910" cy="14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gridSpan w:val="3"/>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w w:val="99"/>
              </w:rPr>
              <w:t>Table of Contents</w:t>
            </w: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40" w:type="dxa"/>
            <w:vAlign w:val="bottom"/>
            <w:gridSpan w:val="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Balance Sheets as of June 30, 2025 (Unaudited) and December 31, 2024</w:t>
            </w:r>
          </w:p>
        </w:tc>
        <w:tc>
          <w:tcPr>
            <w:tcW w:w="2800" w:type="dxa"/>
            <w:vAlign w:val="bottom"/>
            <w:shd w:val="clear" w:color="auto" w:fill="CCEEFF"/>
          </w:tcPr>
          <w:p>
            <w:pPr>
              <w:ind w:left="2120"/>
              <w:spacing w:after="0" w:line="148" w:lineRule="exact"/>
              <w:rPr>
                <w:sz w:val="20"/>
                <w:szCs w:val="20"/>
                <w:color w:val="auto"/>
              </w:rPr>
            </w:pPr>
            <w:r>
              <w:rPr>
                <w:rFonts w:ascii="Times New Roman" w:cs="Times New Roman" w:eastAsia="Times New Roman" w:hAnsi="Times New Roman"/>
                <w:sz w:val="15"/>
                <w:szCs w:val="15"/>
                <w:color w:val="auto"/>
              </w:rPr>
              <w:t>F-118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190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120" w:type="dxa"/>
            <w:vAlign w:val="bottom"/>
            <w:tcBorders>
              <w:top w:val="single" w:sz="8" w:color="CCEEFF"/>
            </w:tcBorders>
          </w:tcPr>
          <w:p>
            <w:pPr>
              <w:spacing w:after="0"/>
              <w:rPr>
                <w:sz w:val="15"/>
                <w:szCs w:val="15"/>
                <w:color w:val="auto"/>
              </w:rPr>
            </w:pPr>
          </w:p>
        </w:tc>
        <w:tc>
          <w:tcPr>
            <w:tcW w:w="28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40" w:type="dxa"/>
            <w:vAlign w:val="bottom"/>
            <w:gridSpan w:val="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Statements of Operations for the six months ended June 30, 2025 and June 30, 2024</w:t>
            </w:r>
          </w:p>
        </w:tc>
        <w:tc>
          <w:tcPr>
            <w:tcW w:w="2800" w:type="dxa"/>
            <w:vAlign w:val="bottom"/>
            <w:shd w:val="clear" w:color="auto" w:fill="CCEEFF"/>
          </w:tcPr>
          <w:p>
            <w:pPr>
              <w:ind w:left="2120"/>
              <w:spacing w:after="0" w:line="148" w:lineRule="exact"/>
              <w:rPr>
                <w:sz w:val="20"/>
                <w:szCs w:val="20"/>
                <w:color w:val="auto"/>
              </w:rPr>
            </w:pPr>
            <w:r>
              <w:rPr>
                <w:rFonts w:ascii="Times New Roman" w:cs="Times New Roman" w:eastAsia="Times New Roman" w:hAnsi="Times New Roman"/>
                <w:sz w:val="15"/>
                <w:szCs w:val="15"/>
                <w:color w:val="auto"/>
              </w:rPr>
              <w:t>F-119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19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120" w:type="dxa"/>
            <w:vAlign w:val="bottom"/>
            <w:tcBorders>
              <w:top w:val="single" w:sz="8" w:color="CCEEFF"/>
            </w:tcBorders>
          </w:tcPr>
          <w:p>
            <w:pPr>
              <w:spacing w:after="0"/>
              <w:rPr>
                <w:sz w:val="15"/>
                <w:szCs w:val="15"/>
                <w:color w:val="auto"/>
              </w:rPr>
            </w:pPr>
          </w:p>
        </w:tc>
        <w:tc>
          <w:tcPr>
            <w:tcW w:w="28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40" w:type="dxa"/>
            <w:vAlign w:val="bottom"/>
            <w:gridSpan w:val="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Statements of Changes in Member’s Deficit for the six months ended June 30, 2025 and 2024</w:t>
            </w:r>
          </w:p>
        </w:tc>
        <w:tc>
          <w:tcPr>
            <w:tcW w:w="2800" w:type="dxa"/>
            <w:vAlign w:val="bottom"/>
            <w:shd w:val="clear" w:color="auto" w:fill="CCEEFF"/>
          </w:tcPr>
          <w:p>
            <w:pPr>
              <w:ind w:left="2100"/>
              <w:spacing w:after="0" w:line="148" w:lineRule="exact"/>
              <w:rPr>
                <w:sz w:val="20"/>
                <w:szCs w:val="20"/>
                <w:color w:val="auto"/>
              </w:rPr>
            </w:pPr>
            <w:r>
              <w:rPr>
                <w:rFonts w:ascii="Times New Roman" w:cs="Times New Roman" w:eastAsia="Times New Roman" w:hAnsi="Times New Roman"/>
                <w:sz w:val="15"/>
                <w:szCs w:val="15"/>
                <w:color w:val="auto"/>
              </w:rPr>
              <w:t>F-120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19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120" w:type="dxa"/>
            <w:vAlign w:val="bottom"/>
            <w:tcBorders>
              <w:top w:val="single" w:sz="8" w:color="CCEEFF"/>
            </w:tcBorders>
          </w:tcPr>
          <w:p>
            <w:pPr>
              <w:spacing w:after="0"/>
              <w:rPr>
                <w:sz w:val="15"/>
                <w:szCs w:val="15"/>
                <w:color w:val="auto"/>
              </w:rPr>
            </w:pPr>
          </w:p>
        </w:tc>
        <w:tc>
          <w:tcPr>
            <w:tcW w:w="28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40" w:type="dxa"/>
            <w:vAlign w:val="bottom"/>
            <w:gridSpan w:val="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Unaudited Statements of Cash Flows for the six months ended June 30, 2025</w:t>
            </w:r>
          </w:p>
        </w:tc>
        <w:tc>
          <w:tcPr>
            <w:tcW w:w="2800" w:type="dxa"/>
            <w:vAlign w:val="bottom"/>
            <w:shd w:val="clear" w:color="auto" w:fill="CCEEFF"/>
          </w:tcPr>
          <w:p>
            <w:pPr>
              <w:ind w:left="2100"/>
              <w:spacing w:after="0" w:line="148" w:lineRule="exact"/>
              <w:rPr>
                <w:sz w:val="20"/>
                <w:szCs w:val="20"/>
                <w:color w:val="auto"/>
              </w:rPr>
            </w:pPr>
            <w:r>
              <w:rPr>
                <w:rFonts w:ascii="Times New Roman" w:cs="Times New Roman" w:eastAsia="Times New Roman" w:hAnsi="Times New Roman"/>
                <w:sz w:val="15"/>
                <w:szCs w:val="15"/>
                <w:color w:val="auto"/>
              </w:rPr>
              <w:t>F-121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19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120" w:type="dxa"/>
            <w:vAlign w:val="bottom"/>
            <w:tcBorders>
              <w:top w:val="single" w:sz="8" w:color="CCEEFF"/>
            </w:tcBorders>
          </w:tcPr>
          <w:p>
            <w:pPr>
              <w:spacing w:after="0"/>
              <w:rPr>
                <w:sz w:val="15"/>
                <w:szCs w:val="15"/>
                <w:color w:val="auto"/>
              </w:rPr>
            </w:pPr>
          </w:p>
        </w:tc>
        <w:tc>
          <w:tcPr>
            <w:tcW w:w="28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440" w:type="dxa"/>
            <w:vAlign w:val="bottom"/>
            <w:gridSpan w:val="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Notes to Unaudited Financial Statements</w:t>
            </w:r>
          </w:p>
        </w:tc>
        <w:tc>
          <w:tcPr>
            <w:tcW w:w="2800" w:type="dxa"/>
            <w:vAlign w:val="bottom"/>
            <w:shd w:val="clear" w:color="auto" w:fill="CCEEFF"/>
          </w:tcPr>
          <w:p>
            <w:pPr>
              <w:ind w:left="2100"/>
              <w:spacing w:after="0" w:line="148" w:lineRule="exact"/>
              <w:rPr>
                <w:sz w:val="20"/>
                <w:szCs w:val="20"/>
                <w:color w:val="auto"/>
              </w:rPr>
            </w:pPr>
            <w:r>
              <w:rPr>
                <w:rFonts w:ascii="Times New Roman" w:cs="Times New Roman" w:eastAsia="Times New Roman" w:hAnsi="Times New Roman"/>
                <w:sz w:val="15"/>
                <w:szCs w:val="15"/>
                <w:color w:val="auto"/>
              </w:rPr>
              <w:t>F-122</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2460" w:type="dxa"/>
            <w:vAlign w:val="bottom"/>
            <w:tcBorders>
              <w:top w:val="single" w:sz="8" w:color="0000EE"/>
              <w:bottom w:val="single" w:sz="8" w:color="auto"/>
            </w:tcBorders>
          </w:tcPr>
          <w:p>
            <w:pPr>
              <w:spacing w:after="0"/>
              <w:rPr>
                <w:sz w:val="24"/>
                <w:szCs w:val="24"/>
                <w:color w:val="auto"/>
              </w:rPr>
            </w:pPr>
          </w:p>
        </w:tc>
        <w:tc>
          <w:tcPr>
            <w:tcW w:w="19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800" w:type="dxa"/>
            <w:vAlign w:val="bottom"/>
            <w:tcBorders>
              <w:top w:val="single" w:sz="8" w:color="CCEEFF"/>
              <w:bottom w:val="single" w:sz="8" w:color="auto"/>
            </w:tcBorders>
            <w:gridSpan w:val="3"/>
          </w:tcPr>
          <w:p>
            <w:pPr>
              <w:jc w:val="center"/>
              <w:ind w:right="1880"/>
              <w:spacing w:after="0"/>
              <w:rPr>
                <w:sz w:val="20"/>
                <w:szCs w:val="20"/>
                <w:color w:val="auto"/>
              </w:rPr>
            </w:pPr>
            <w:r>
              <w:rPr>
                <w:rFonts w:ascii="Times New Roman" w:cs="Times New Roman" w:eastAsia="Times New Roman" w:hAnsi="Times New Roman"/>
                <w:sz w:val="15"/>
                <w:szCs w:val="15"/>
                <w:color w:val="auto"/>
              </w:rPr>
              <w:t>F-117</w:t>
            </w:r>
          </w:p>
        </w:tc>
        <w:tc>
          <w:tcPr>
            <w:tcW w:w="28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59" w:right="319" w:bottom="1440" w:gutter="0" w:footer="0" w:header="0"/>
        </w:sectPr>
      </w:pPr>
    </w:p>
    <w:bookmarkStart w:id="253" w:name="page254"/>
    <w:bookmarkEnd w:id="25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SUNDER ENERGY LLC</w:t>
      </w:r>
    </w:p>
    <w:p>
      <w:pPr>
        <w:spacing w:after="0" w:line="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5"/>
          <w:szCs w:val="15"/>
          <w:b w:val="1"/>
          <w:bCs w:val="1"/>
          <w:color w:val="auto"/>
        </w:rPr>
        <w:t>BALANCE SHEETS</w:t>
      </w:r>
    </w:p>
    <w:p>
      <w:pPr>
        <w:spacing w:after="0" w:line="1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5"/>
          <w:szCs w:val="15"/>
          <w:i w:val="1"/>
          <w:iCs w:val="1"/>
          <w:color w:val="auto"/>
        </w:rPr>
        <w:t>(Dollars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Pr>
          <w:p>
            <w:pPr>
              <w:spacing w:after="0"/>
              <w:rPr>
                <w:sz w:val="16"/>
                <w:szCs w:val="16"/>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assets: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Cash</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1,524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Restricted cash</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2,016</w:t>
            </w: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Accounts receivable, net</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5,315</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2,991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Due from related party</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9,830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top w:val="single" w:sz="8" w:color="CCEEFF"/>
              <w:bottom w:val="single" w:sz="8" w:color="CCEEFF"/>
            </w:tcBorders>
          </w:tcPr>
          <w:p>
            <w:pPr>
              <w:ind w:left="120"/>
              <w:spacing w:after="0" w:line="165" w:lineRule="exact"/>
              <w:rPr>
                <w:sz w:val="20"/>
                <w:szCs w:val="20"/>
                <w:color w:val="auto"/>
              </w:rPr>
            </w:pPr>
            <w:r>
              <w:rPr>
                <w:rFonts w:ascii="Times New Roman" w:cs="Times New Roman" w:eastAsia="Times New Roman" w:hAnsi="Times New Roman"/>
                <w:sz w:val="15"/>
                <w:szCs w:val="15"/>
                <w:color w:val="auto"/>
              </w:rPr>
              <w:t>Total current assets</w:t>
            </w: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17,923</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20,600</w:t>
            </w:r>
          </w:p>
        </w:tc>
        <w:tc>
          <w:tcPr>
            <w:tcW w:w="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340</w:t>
            </w: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tcPr>
          <w:p>
            <w:pPr>
              <w:ind w:left="120"/>
              <w:spacing w:after="0" w:line="165" w:lineRule="exact"/>
              <w:rPr>
                <w:sz w:val="20"/>
                <w:szCs w:val="20"/>
                <w:color w:val="auto"/>
              </w:rPr>
            </w:pPr>
            <w:r>
              <w:rPr>
                <w:rFonts w:ascii="Times New Roman" w:cs="Times New Roman" w:eastAsia="Times New Roman" w:hAnsi="Times New Roman"/>
                <w:sz w:val="15"/>
                <w:szCs w:val="15"/>
                <w:color w:val="auto"/>
              </w:rPr>
              <w:t>Total assets</w:t>
            </w: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18,750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21,528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AND MEMBER’S DEFICIT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Current liabilities: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payable</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810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11,881</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6,511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Line of credit</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2,250</w:t>
            </w: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2,250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Contract liabilities</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14,431</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17,231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Operating lease liability, current portion</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29,497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27,513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bottom w:val="single" w:sz="8" w:color="CCEEFF"/>
            </w:tcBorders>
          </w:tcPr>
          <w:p>
            <w:pPr>
              <w:ind w:left="100"/>
              <w:spacing w:after="0" w:line="165" w:lineRule="exact"/>
              <w:rPr>
                <w:sz w:val="20"/>
                <w:szCs w:val="20"/>
                <w:color w:val="auto"/>
              </w:rPr>
            </w:pPr>
            <w:r>
              <w:rPr>
                <w:rFonts w:ascii="Times New Roman" w:cs="Times New Roman" w:eastAsia="Times New Roman" w:hAnsi="Times New Roman"/>
                <w:sz w:val="15"/>
                <w:szCs w:val="15"/>
                <w:color w:val="auto"/>
              </w:rPr>
              <w:t>Operating lease liability, net of current portion</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237</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302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29,734</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27,815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Commitments and contingencies (Note 12)</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 deficit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(10,984)</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(6,287)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top w:val="single" w:sz="8" w:color="CCEEFF"/>
            </w:tcBorders>
          </w:tcPr>
          <w:p>
            <w:pPr>
              <w:ind w:left="100"/>
              <w:spacing w:after="0" w:line="165" w:lineRule="exact"/>
              <w:rPr>
                <w:sz w:val="20"/>
                <w:szCs w:val="20"/>
                <w:color w:val="auto"/>
              </w:rPr>
            </w:pPr>
            <w:r>
              <w:rPr>
                <w:rFonts w:ascii="Times New Roman" w:cs="Times New Roman" w:eastAsia="Times New Roman" w:hAnsi="Times New Roman"/>
                <w:sz w:val="15"/>
                <w:szCs w:val="15"/>
                <w:color w:val="auto"/>
              </w:rPr>
              <w:t>Total liabilities and member’s deficit</w:t>
            </w: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18,750</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21,528</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54" w:name="page255"/>
    <w:bookmarkEnd w:id="25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SUNDER ENERGY LLC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 STATEMENTS OF OPERATIONS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2580" w:type="dxa"/>
            <w:vAlign w:val="bottom"/>
            <w:gridSpan w:val="7"/>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96"/>
        </w:trPr>
        <w:tc>
          <w:tcPr>
            <w:tcW w:w="868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72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40,012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11,930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Sales commissions</w:t>
            </w: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w w:val="96"/>
              </w:rPr>
              <w:t>33,339</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10,765</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Sales and marketing</w:t>
            </w:r>
          </w:p>
        </w:tc>
        <w:tc>
          <w:tcPr>
            <w:tcW w:w="720" w:type="dxa"/>
            <w:vAlign w:val="bottom"/>
          </w:tcPr>
          <w:p>
            <w:pPr>
              <w:spacing w:after="0"/>
              <w:rPr>
                <w:sz w:val="15"/>
                <w:szCs w:val="15"/>
                <w:color w:val="auto"/>
              </w:rPr>
            </w:pPr>
          </w:p>
        </w:tc>
        <w:tc>
          <w:tcPr>
            <w:tcW w:w="64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771</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628</w:t>
            </w:r>
          </w:p>
        </w:tc>
        <w:tc>
          <w:tcPr>
            <w:tcW w:w="80" w:type="dxa"/>
            <w:vAlign w:val="bottom"/>
          </w:tcPr>
          <w:p>
            <w:pPr>
              <w:spacing w:after="0"/>
              <w:rPr>
                <w:sz w:val="15"/>
                <w:szCs w:val="15"/>
                <w:color w:val="auto"/>
              </w:rPr>
            </w:pPr>
          </w:p>
        </w:tc>
      </w:tr>
      <w:tr>
        <w:trPr>
          <w:trHeight w:val="213"/>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w w:val="96"/>
              </w:rPr>
              <w:t>11,458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5,886</w:t>
            </w:r>
          </w:p>
        </w:tc>
        <w:tc>
          <w:tcPr>
            <w:tcW w:w="80" w:type="dxa"/>
            <w:vAlign w:val="bottom"/>
            <w:shd w:val="clear" w:color="auto" w:fill="CCEEFF"/>
          </w:tcPr>
          <w:p>
            <w:pPr>
              <w:spacing w:after="0"/>
              <w:rPr>
                <w:sz w:val="18"/>
                <w:szCs w:val="18"/>
                <w:color w:val="auto"/>
              </w:rPr>
            </w:pPr>
          </w:p>
        </w:tc>
      </w:tr>
      <w:tr>
        <w:trPr>
          <w:trHeight w:val="168"/>
        </w:trPr>
        <w:tc>
          <w:tcPr>
            <w:tcW w:w="8680" w:type="dxa"/>
            <w:vAlign w:val="bottom"/>
            <w:tcBorders>
              <w:top w:val="single" w:sz="8" w:color="CCEEFF"/>
              <w:bottom w:val="single" w:sz="8" w:color="CCEEFF"/>
            </w:tcBorders>
          </w:tcPr>
          <w:p>
            <w:pPr>
              <w:ind w:left="260"/>
              <w:spacing w:after="0" w:line="165" w:lineRule="exact"/>
              <w:rPr>
                <w:sz w:val="20"/>
                <w:szCs w:val="20"/>
                <w:color w:val="auto"/>
              </w:rPr>
            </w:pPr>
            <w:r>
              <w:rPr>
                <w:rFonts w:ascii="Times New Roman" w:cs="Times New Roman" w:eastAsia="Times New Roman" w:hAnsi="Times New Roman"/>
                <w:sz w:val="15"/>
                <w:szCs w:val="15"/>
                <w:color w:val="auto"/>
              </w:rPr>
              <w:t>Total operating expenses</w:t>
            </w:r>
          </w:p>
        </w:tc>
        <w:tc>
          <w:tcPr>
            <w:tcW w:w="7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96"/>
              </w:rPr>
              <w:t>45,568</w:t>
            </w:r>
          </w:p>
        </w:tc>
        <w:tc>
          <w:tcPr>
            <w:tcW w:w="22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17,279</w:t>
            </w:r>
          </w:p>
        </w:tc>
        <w:tc>
          <w:tcPr>
            <w:tcW w:w="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r>
      <w:tr>
        <w:trPr>
          <w:trHeight w:val="20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(5,556</w:t>
            </w:r>
          </w:p>
        </w:tc>
        <w:tc>
          <w:tcPr>
            <w:tcW w:w="2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(5,349</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65"/>
        </w:trPr>
        <w:tc>
          <w:tcPr>
            <w:tcW w:w="86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Interest expense</w:t>
            </w:r>
          </w:p>
        </w:tc>
        <w:tc>
          <w:tcPr>
            <w:tcW w:w="720" w:type="dxa"/>
            <w:vAlign w:val="bottom"/>
          </w:tcPr>
          <w:p>
            <w:pPr>
              <w:spacing w:after="0"/>
              <w:rPr>
                <w:sz w:val="14"/>
                <w:szCs w:val="14"/>
                <w:color w:val="auto"/>
              </w:rPr>
            </w:pPr>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(168)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(86)</w:t>
            </w:r>
          </w:p>
        </w:tc>
        <w:tc>
          <w:tcPr>
            <w:tcW w:w="100" w:type="dxa"/>
            <w:vAlign w:val="bottom"/>
            <w:gridSpan w:val="2"/>
          </w:tcPr>
          <w:p>
            <w:pPr>
              <w:spacing w:after="0"/>
              <w:rPr>
                <w:sz w:val="14"/>
                <w:szCs w:val="14"/>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33</w:t>
            </w:r>
          </w:p>
        </w:tc>
        <w:tc>
          <w:tcPr>
            <w:tcW w:w="2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720" w:type="dxa"/>
            <w:vAlign w:val="bottom"/>
          </w:tcPr>
          <w:p>
            <w:pPr>
              <w:spacing w:after="0"/>
              <w:rPr>
                <w:sz w:val="17"/>
                <w:szCs w:val="17"/>
                <w:color w:val="auto"/>
              </w:rPr>
            </w:pPr>
          </w:p>
        </w:tc>
        <w:tc>
          <w:tcPr>
            <w:tcW w:w="64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815</w:t>
            </w:r>
          </w:p>
        </w:tc>
        <w:tc>
          <w:tcPr>
            <w:tcW w:w="80" w:type="dxa"/>
            <w:vAlign w:val="bottom"/>
          </w:tcPr>
          <w:p>
            <w:pPr>
              <w:spacing w:after="0"/>
              <w:rPr>
                <w:sz w:val="17"/>
                <w:szCs w:val="17"/>
                <w:color w:val="auto"/>
              </w:rPr>
            </w:pPr>
          </w:p>
        </w:tc>
      </w:tr>
      <w:tr>
        <w:trPr>
          <w:trHeight w:val="202"/>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8"/>
        </w:trPr>
        <w:tc>
          <w:tcPr>
            <w:tcW w:w="86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Net loss</w:t>
            </w:r>
          </w:p>
        </w:tc>
        <w:tc>
          <w:tcPr>
            <w:tcW w:w="720" w:type="dxa"/>
            <w:vAlign w:val="bottom"/>
          </w:tcPr>
          <w:p>
            <w:pPr>
              <w:jc w:val="right"/>
              <w:ind w:right="59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(5,681</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(4,620</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600" w:type="dxa"/>
            <w:vAlign w:val="bottom"/>
            <w:gridSpan w:val="2"/>
          </w:tcPr>
          <w:p>
            <w:pPr>
              <w:jc w:val="center"/>
              <w:ind w:right="1864"/>
              <w:spacing w:after="0"/>
              <w:rPr>
                <w:sz w:val="20"/>
                <w:szCs w:val="20"/>
                <w:color w:val="auto"/>
              </w:rPr>
            </w:pPr>
            <w:r>
              <w:rPr>
                <w:rFonts w:ascii="Times New Roman" w:cs="Times New Roman" w:eastAsia="Times New Roman" w:hAnsi="Times New Roman"/>
                <w:sz w:val="15"/>
                <w:szCs w:val="15"/>
                <w:b w:val="1"/>
                <w:bCs w:val="1"/>
                <w:color w:val="auto"/>
              </w:rPr>
              <w:t>SUNDER ENERGY LLC</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600" w:type="dxa"/>
            <w:vAlign w:val="bottom"/>
            <w:gridSpan w:val="2"/>
          </w:tcPr>
          <w:p>
            <w:pPr>
              <w:jc w:val="center"/>
              <w:ind w:right="1884"/>
              <w:spacing w:after="0"/>
              <w:rPr>
                <w:sz w:val="20"/>
                <w:szCs w:val="20"/>
                <w:color w:val="auto"/>
              </w:rPr>
            </w:pPr>
            <w:r>
              <w:rPr>
                <w:rFonts w:ascii="Times New Roman" w:cs="Times New Roman" w:eastAsia="Times New Roman" w:hAnsi="Times New Roman"/>
                <w:sz w:val="15"/>
                <w:szCs w:val="15"/>
                <w:b w:val="1"/>
                <w:bCs w:val="1"/>
                <w:color w:val="auto"/>
              </w:rPr>
              <w:t>UNAUDITED STATEMENTS OF CHANGES IN MEMBER’S DEFICIT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600" w:type="dxa"/>
            <w:vAlign w:val="bottom"/>
            <w:gridSpan w:val="2"/>
          </w:tcPr>
          <w:p>
            <w:pPr>
              <w:jc w:val="center"/>
              <w:ind w:right="1864"/>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78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 deficit as of January 1, 2025</w:t>
            </w:r>
          </w:p>
        </w:tc>
        <w:tc>
          <w:tcPr>
            <w:tcW w:w="760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(6,287)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7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(5,681)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Capital contribution</w:t>
            </w:r>
          </w:p>
        </w:tc>
        <w:tc>
          <w:tcPr>
            <w:tcW w:w="7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7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 deficit as of June 30, 2025</w:t>
            </w:r>
          </w:p>
        </w:tc>
        <w:tc>
          <w:tcPr>
            <w:tcW w:w="7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(10,984</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800" w:type="dxa"/>
            <w:vAlign w:val="bottom"/>
            <w:gridSpan w:val="2"/>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2780" w:type="dxa"/>
            <w:vAlign w:val="bottom"/>
          </w:tcPr>
          <w:p>
            <w:pPr>
              <w:spacing w:after="0"/>
              <w:rPr>
                <w:sz w:val="15"/>
                <w:szCs w:val="15"/>
                <w:color w:val="auto"/>
              </w:rPr>
            </w:pPr>
          </w:p>
        </w:tc>
        <w:tc>
          <w:tcPr>
            <w:tcW w:w="7600" w:type="dxa"/>
            <w:vAlign w:val="bottom"/>
            <w:gridSpan w:val="2"/>
          </w:tcPr>
          <w:p>
            <w:pPr>
              <w:spacing w:after="0"/>
              <w:rPr>
                <w:sz w:val="15"/>
                <w:szCs w:val="15"/>
                <w:color w:val="auto"/>
              </w:rPr>
            </w:pPr>
          </w:p>
        </w:tc>
        <w:tc>
          <w:tcPr>
            <w:tcW w:w="8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 deficit as of January 1, 2024</w:t>
            </w:r>
          </w:p>
        </w:tc>
        <w:tc>
          <w:tcPr>
            <w:tcW w:w="760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(3,675)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7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(4,620)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Capital contribution</w:t>
            </w:r>
          </w:p>
        </w:tc>
        <w:tc>
          <w:tcPr>
            <w:tcW w:w="7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1,800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7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(181)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 deficit as of June 30, 2024</w:t>
            </w:r>
          </w:p>
        </w:tc>
        <w:tc>
          <w:tcPr>
            <w:tcW w:w="7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(6,676</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56" w:name="page257"/>
    <w:bookmarkEnd w:id="256"/>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SUNDER ENERGY LLC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 STATEMENTS OF CASH FLOWS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580" w:type="dxa"/>
            <w:vAlign w:val="bottom"/>
            <w:gridSpan w:val="6"/>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72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(5,681)</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(4,620)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Non-cash lease expense</w:t>
            </w:r>
          </w:p>
        </w:tc>
        <w:tc>
          <w:tcPr>
            <w:tcW w:w="720" w:type="dxa"/>
            <w:vAlign w:val="bottom"/>
          </w:tcPr>
          <w:p>
            <w:pPr>
              <w:spacing w:after="0"/>
              <w:rPr>
                <w:sz w:val="15"/>
                <w:szCs w:val="15"/>
                <w:color w:val="auto"/>
              </w:rPr>
            </w:pPr>
          </w:p>
        </w:tc>
        <w:tc>
          <w:tcPr>
            <w:tcW w:w="64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57</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433</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Accounts receivable, net</w:t>
            </w: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(2,757)</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(1,501)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Due from related entity</w:t>
            </w:r>
          </w:p>
        </w:tc>
        <w:tc>
          <w:tcPr>
            <w:tcW w:w="720" w:type="dxa"/>
            <w:vAlign w:val="bottom"/>
          </w:tcPr>
          <w:p>
            <w:pPr>
              <w:spacing w:after="0"/>
              <w:rPr>
                <w:sz w:val="15"/>
                <w:szCs w:val="15"/>
                <w:color w:val="auto"/>
              </w:rPr>
            </w:pPr>
          </w:p>
        </w:tc>
        <w:tc>
          <w:tcPr>
            <w:tcW w:w="64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559</w:t>
            </w:r>
          </w:p>
        </w:tc>
        <w:tc>
          <w:tcPr>
            <w:tcW w:w="240" w:type="dxa"/>
            <w:vAlign w:val="bottom"/>
          </w:tcPr>
          <w:p>
            <w:pPr>
              <w:spacing w:after="0"/>
              <w:rPr>
                <w:sz w:val="15"/>
                <w:szCs w:val="15"/>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(519)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3,678</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(8,214)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noncurrent assets</w:t>
            </w:r>
          </w:p>
        </w:tc>
        <w:tc>
          <w:tcPr>
            <w:tcW w:w="720" w:type="dxa"/>
            <w:vAlign w:val="bottom"/>
          </w:tcPr>
          <w:p>
            <w:pPr>
              <w:spacing w:after="0"/>
              <w:rPr>
                <w:sz w:val="15"/>
                <w:szCs w:val="15"/>
                <w:color w:val="auto"/>
              </w:rPr>
            </w:pPr>
          </w:p>
        </w:tc>
        <w:tc>
          <w:tcPr>
            <w:tcW w:w="64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w:t>
            </w:r>
          </w:p>
        </w:tc>
        <w:tc>
          <w:tcPr>
            <w:tcW w:w="240" w:type="dxa"/>
            <w:vAlign w:val="bottom"/>
          </w:tcPr>
          <w:p>
            <w:pPr>
              <w:spacing w:after="0"/>
              <w:rPr>
                <w:sz w:val="15"/>
                <w:szCs w:val="15"/>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Accounts payable</w:t>
            </w: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(592)</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720" w:type="dxa"/>
            <w:vAlign w:val="bottom"/>
          </w:tcPr>
          <w:p>
            <w:pPr>
              <w:spacing w:after="0"/>
              <w:rPr>
                <w:sz w:val="15"/>
                <w:szCs w:val="15"/>
                <w:color w:val="auto"/>
              </w:rPr>
            </w:pPr>
          </w:p>
        </w:tc>
        <w:tc>
          <w:tcPr>
            <w:tcW w:w="64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5,370</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1,796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Contract liabilities</w:t>
            </w: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(2,800)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10,957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720" w:type="dxa"/>
            <w:vAlign w:val="bottom"/>
          </w:tcPr>
          <w:p>
            <w:pPr>
              <w:spacing w:after="0"/>
              <w:rPr>
                <w:sz w:val="17"/>
                <w:szCs w:val="17"/>
                <w:color w:val="auto"/>
              </w:rPr>
            </w:pPr>
          </w:p>
        </w:tc>
        <w:tc>
          <w:tcPr>
            <w:tcW w:w="6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(59)</w:t>
            </w:r>
          </w:p>
        </w:tc>
        <w:tc>
          <w:tcPr>
            <w:tcW w:w="240" w:type="dxa"/>
            <w:vAlign w:val="bottom"/>
          </w:tcPr>
          <w:p>
            <w:pPr>
              <w:spacing w:after="0"/>
              <w:rPr>
                <w:sz w:val="17"/>
                <w:szCs w:val="17"/>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(1,746</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(1,816</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7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w:t>
            </w:r>
          </w:p>
        </w:tc>
        <w:tc>
          <w:tcPr>
            <w:tcW w:w="220" w:type="dxa"/>
            <w:vAlign w:val="bottom"/>
            <w:tcBorders>
              <w:top w:val="single" w:sz="8" w:color="CCEEFF"/>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(19</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Borrowing on line of credit</w:t>
            </w:r>
          </w:p>
        </w:tc>
        <w:tc>
          <w:tcPr>
            <w:tcW w:w="720" w:type="dxa"/>
            <w:vAlign w:val="bottom"/>
          </w:tcPr>
          <w:p>
            <w:pPr>
              <w:spacing w:after="0"/>
              <w:rPr>
                <w:sz w:val="15"/>
                <w:szCs w:val="15"/>
                <w:color w:val="auto"/>
              </w:rPr>
            </w:pPr>
          </w:p>
        </w:tc>
        <w:tc>
          <w:tcPr>
            <w:tcW w:w="64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Capital contributions</w:t>
            </w: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1,000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1,800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720" w:type="dxa"/>
            <w:vAlign w:val="bottom"/>
          </w:tcPr>
          <w:p>
            <w:pPr>
              <w:spacing w:after="0"/>
              <w:rPr>
                <w:sz w:val="17"/>
                <w:szCs w:val="17"/>
                <w:color w:val="auto"/>
              </w:rPr>
            </w:pPr>
          </w:p>
        </w:tc>
        <w:tc>
          <w:tcPr>
            <w:tcW w:w="64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7"/>
                <w:szCs w:val="17"/>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(764</w:t>
            </w:r>
          </w:p>
        </w:tc>
        <w:tc>
          <w:tcPr>
            <w:tcW w:w="220" w:type="dxa"/>
            <w:vAlign w:val="bottom"/>
            <w:tcBorders>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284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restricted cash at beginning of period</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Cash and restricted cash at end of period</w:t>
            </w:r>
          </w:p>
        </w:tc>
        <w:tc>
          <w:tcPr>
            <w:tcW w:w="7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2,778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1,994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Cash</w:t>
            </w:r>
          </w:p>
        </w:tc>
        <w:tc>
          <w:tcPr>
            <w:tcW w:w="720" w:type="dxa"/>
            <w:vAlign w:val="bottom"/>
          </w:tcPr>
          <w:p>
            <w:pPr>
              <w:jc w:val="right"/>
              <w:ind w:right="60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762</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1,524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2,016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2,018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Cash and restricted cash</w:t>
            </w:r>
          </w:p>
        </w:tc>
        <w:tc>
          <w:tcPr>
            <w:tcW w:w="72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2,778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3,542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during the period for interest</w:t>
            </w:r>
          </w:p>
        </w:tc>
        <w:tc>
          <w:tcPr>
            <w:tcW w:w="72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130</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5"/>
          <w:szCs w:val="15"/>
          <w:b w:val="1"/>
          <w:bCs w:val="1"/>
          <w:color w:val="auto"/>
        </w:rPr>
        <w:t>SUNDER ENERGY LLC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Notes to Unaudited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(Dollars in thousands except per share amounts)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 </w:t>
      </w:r>
      <w:r>
        <w:rPr>
          <w:rFonts w:ascii="Times New Roman" w:cs="Times New Roman" w:eastAsia="Times New Roman" w:hAnsi="Times New Roman"/>
          <w:sz w:val="15"/>
          <w:szCs w:val="15"/>
          <w:b w:val="1"/>
          <w:bCs w:val="1"/>
          <w:i w:val="1"/>
          <w:iCs w:val="1"/>
          <w:color w:val="auto"/>
        </w:rPr>
        <w:t>BUSINESS AND ORGANIZATION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Description of Business and Organization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financial statements and accompanying notes have been prepared in accordance with generally accepted accounting principles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of Significant Accounting Policies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Management Estimates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Company’s financial instruments that may be exposed to concentrations of credit risk consist primarily of temporary cash investments and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Customers, A, B and C accounted for 20%, 15% and 11%, of the Company’s revenue, respectively, for the six months ended June 30, 2025. Customers A, B and D accounted for 27%, 12% and 10% of the Company’s revenue, respectively, for the six months ended June 30, 2024.</w:t>
      </w:r>
    </w:p>
    <w:p>
      <w:pPr>
        <w:spacing w:after="0" w:line="13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As of June 30, 2025, Customers E and F accounted for 27% and 12%, respectively, of the Company’s trade accounts receivable balance. As of December 31, 2024, Customers E and G accounted for 50% and 12%, respectively, of the Company’s trade accounts receivable. As of December 31, 2023, there were no trade accounts receivable concentrations.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Cash</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Restricted cash represents cash balances that are subject to contractual restrictions related to the Company’s litigation financing agreement. Restricted cash is included with cash and cash equivalents when reconciling beginning and ending balances on the Company’s statements of cash flows and is classified as current on the Company’s balance sheet based on the expected timing of its accessibility.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 Net</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Prepaid expenses and Other Current Assets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 net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The Company recognizes an expense for these leases on a straight-line basis over the lease term. Short-term leases are those leases with an initial term of 12 months or less and are not recorded on the Company’s balance sheet. The Company did not have any short-term leases as of and for the periods ended June 30, 2025 and 2024.</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Liabilities</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Contract liabilities consist of deferred revenue and customer advances, which represent consideration received from a customer for revenue not yet recognized. Such consideration is accounted for as contract liabilities prior to achieving permission to operate (“PTO”).</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earns sales revenue based on residential solar installation contracts for residential homeowners that are sold to installation companies in accordance with the Company’s contracts with those installation companies (the “Customer”).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 does not have any significant financing components. Due to being a service provider, the Company is not obligated to warranty installed systems, and therefore the Company has not recorded a reserve for warranty work.</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Contract liabilities as of June 30, 2025 and December 31,2024 consist of deferred revenue of $14,431 and $17,231, respectively. Revenue for the six months ended June 30, 2025 that was included in the contract liabilities balance at the beginning of the period was $14,644.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Company’s income is passed through to the members for income tax purposes and therefore, no provision for federal and state income taxes has been provided for in these statements.</w:t>
      </w:r>
    </w:p>
    <w:p>
      <w:pPr>
        <w:spacing w:after="0" w:line="35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Promotions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All costs associated with advertising and promoting the Company’s goods and services are expensed in the years incurred. Advertising expense totaled $766 and $806 for the six months ended June 30, 2025 and 2024,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Limited Liability of Member</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Chicken Parm Pizza, LLC is the sole member (“Parent”, “Sole Member” or “Member”) of the Company. The rights and obligations as the Sole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spacing w:after="0" w:line="14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 xml:space="preserve">The Company also entered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 w:cs="Times New Roman" w:eastAsia="Times New Roman" w:hAnsi="Times New Roman"/>
          <w:sz w:val="15"/>
          <w:szCs w:val="15"/>
          <w:i w:val="1"/>
          <w:iCs w:val="1"/>
          <w:color w:val="auto"/>
        </w:rPr>
        <w:t>Compensation—Stock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2. </w:t>
      </w:r>
      <w:r>
        <w:rPr>
          <w:rFonts w:ascii="Times New Roman" w:cs="Times New Roman" w:eastAsia="Times New Roman" w:hAnsi="Times New Roman"/>
          <w:sz w:val="15"/>
          <w:szCs w:val="15"/>
          <w:b w:val="1"/>
          <w:bCs w:val="1"/>
          <w:i w:val="1"/>
          <w:iCs w:val="1"/>
          <w:color w:val="auto"/>
        </w:rPr>
        <w:t>GOING CONCERN AND SALE OF COMPANY</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Management of the Company has assessed the Company’s liquidity position. As of June 30, 2025, the Company has incurred net losses for the past two years and the six months ended June 30, 2025,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Therefore, there is substantial doubt about the Company’s ability to continue as a going concern within one year after the date that the unaudited financial statements are issued. The accompanying unaudited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14 – </w:t>
      </w:r>
      <w:r>
        <w:rPr>
          <w:rFonts w:ascii="Times New Roman" w:cs="Times New Roman" w:eastAsia="Times New Roman" w:hAnsi="Times New Roman"/>
          <w:sz w:val="15"/>
          <w:szCs w:val="15"/>
          <w:i w:val="1"/>
          <w:iCs w:val="1"/>
          <w:color w:val="auto"/>
        </w:rPr>
        <w:t>Subsequent Events</w:t>
      </w:r>
      <w:r>
        <w:rPr>
          <w:rFonts w:ascii="Times New Roman" w:cs="Times New Roman" w:eastAsia="Times New Roman" w:hAnsi="Times New Roman"/>
          <w:sz w:val="15"/>
          <w:szCs w:val="15"/>
          <w:color w:val="auto"/>
        </w:rPr>
        <w:t>, for a further discussion of the sale of the Company.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01"/>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Note 3. </w:t>
            </w:r>
            <w:r>
              <w:rPr>
                <w:rFonts w:ascii="Times New Roman" w:cs="Times New Roman" w:eastAsia="Times New Roman" w:hAnsi="Times New Roman"/>
                <w:sz w:val="15"/>
                <w:szCs w:val="15"/>
                <w:b w:val="1"/>
                <w:bCs w:val="1"/>
                <w:i w:val="1"/>
                <w:iCs w:val="1"/>
                <w:color w:val="auto"/>
              </w:rPr>
              <w:t>ACCOUNTS RECEIVABLE, NET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Amounts comprising accounts receivable are as follows</w:t>
            </w:r>
            <w:r>
              <w:rPr>
                <w:rFonts w:ascii="Times New Roman" w:cs="Times New Roman" w:eastAsia="Times New Roman" w:hAnsi="Times New Roman"/>
                <w:sz w:val="15"/>
                <w:szCs w:val="15"/>
                <w:i w:val="1"/>
                <w:iCs w:val="1"/>
                <w:color w:val="auto"/>
              </w:rPr>
              <w: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 accounts receivable</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(548)</w:t>
            </w:r>
          </w:p>
        </w:tc>
        <w:tc>
          <w:tcPr>
            <w:tcW w:w="10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(286)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 accounts receivable, net</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Contractor advances receivable</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786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Transaction fee receivable</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Commissions overpayment receivable</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2,942</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(487)</w:t>
            </w:r>
          </w:p>
        </w:tc>
        <w:tc>
          <w:tcPr>
            <w:tcW w:w="10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due from sales representatives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Total accounts receivable, net</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5,315</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2,991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4</w:t>
      </w:r>
      <w:r>
        <w:rPr>
          <w:rFonts w:ascii="Times New Roman" w:cs="Times New Roman" w:eastAsia="Times New Roman" w:hAnsi="Times New Roman"/>
          <w:sz w:val="15"/>
          <w:szCs w:val="15"/>
          <w:b w:val="1"/>
          <w:bCs w:val="1"/>
          <w:i w:val="1"/>
          <w:iCs w:val="1"/>
          <w:color w:val="auto"/>
        </w:rPr>
        <w:t>. ALLOWANCE FOR CREDIT LOSSES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allowances for credit losses for receivables by portfolio segment and the related activity for the six months ended June 30, 2025 and 2024, are as follows</w:t>
      </w:r>
      <w:r>
        <w:rPr>
          <w:rFonts w:ascii="Times New Roman" w:cs="Times New Roman" w:eastAsia="Times New Roman" w:hAnsi="Times New Roman"/>
          <w:sz w:val="15"/>
          <w:szCs w:val="15"/>
          <w:i w:val="1"/>
          <w:i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5"/>
                <w:szCs w:val="15"/>
                <w:b w:val="1"/>
                <w:bCs w:val="1"/>
                <w:color w:val="auto"/>
              </w:rPr>
              <w:t>As of and for the six months ended June 30, 2025</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3"/>
        </w:trPr>
        <w:tc>
          <w:tcPr>
            <w:tcW w:w="462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auto"/>
              </w:rPr>
              <w:t>Accounts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line="164" w:lineRule="exact"/>
              <w:rPr>
                <w:sz w:val="20"/>
                <w:szCs w:val="20"/>
                <w:color w:val="auto"/>
              </w:rPr>
            </w:pPr>
            <w:r>
              <w:rPr>
                <w:rFonts w:ascii="Times New Roman" w:cs="Times New Roman" w:eastAsia="Times New Roman" w:hAnsi="Times New Roman"/>
                <w:sz w:val="15"/>
                <w:szCs w:val="15"/>
                <w:b w:val="1"/>
                <w:bCs w:val="1"/>
                <w:color w:val="auto"/>
              </w:rPr>
              <w:t>Contractor</w:t>
            </w:r>
          </w:p>
        </w:tc>
        <w:tc>
          <w:tcPr>
            <w:tcW w:w="100" w:type="dxa"/>
            <w:vAlign w:val="bottom"/>
          </w:tcPr>
          <w:p>
            <w:pPr>
              <w:spacing w:after="0"/>
              <w:rPr>
                <w:sz w:val="14"/>
                <w:szCs w:val="14"/>
                <w:color w:val="auto"/>
              </w:rPr>
            </w:pPr>
          </w:p>
        </w:tc>
        <w:tc>
          <w:tcPr>
            <w:tcW w:w="122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5"/>
                <w:szCs w:val="15"/>
                <w:b w:val="1"/>
                <w:bCs w:val="1"/>
                <w:color w:val="auto"/>
              </w:rPr>
              <w:t>Commissions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receivable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Transaction fees</w:t>
            </w:r>
          </w:p>
        </w:tc>
        <w:tc>
          <w:tcPr>
            <w:tcW w:w="14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advances</w:t>
            </w:r>
          </w:p>
        </w:tc>
        <w:tc>
          <w:tcPr>
            <w:tcW w:w="1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receivable</w:t>
            </w:r>
          </w:p>
        </w:tc>
        <w:tc>
          <w:tcPr>
            <w:tcW w:w="24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Beginning balance</w:t>
            </w:r>
          </w:p>
        </w:tc>
        <w:tc>
          <w:tcPr>
            <w:tcW w:w="900" w:type="dxa"/>
            <w:vAlign w:val="bottom"/>
            <w:tcBorders>
              <w:top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286</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90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7"/>
              </w:rPr>
              <w:t>248</w:t>
            </w:r>
          </w:p>
        </w:tc>
        <w:tc>
          <w:tcPr>
            <w:tcW w:w="2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191</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433</w:t>
            </w: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Write-offs</w:t>
            </w:r>
          </w:p>
        </w:tc>
        <w:tc>
          <w:tcPr>
            <w:tcW w:w="9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Recoveries</w:t>
            </w:r>
          </w:p>
        </w:tc>
        <w:tc>
          <w:tcPr>
            <w:tcW w:w="90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w:t>
            </w:r>
          </w:p>
        </w:tc>
      </w:tr>
      <w:tr>
        <w:trPr>
          <w:trHeight w:val="185"/>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90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548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10"/>
          </w:tcPr>
          <w:p>
            <w:pPr>
              <w:ind w:left="120"/>
              <w:spacing w:after="0"/>
              <w:rPr>
                <w:sz w:val="20"/>
                <w:szCs w:val="20"/>
                <w:color w:val="auto"/>
              </w:rPr>
            </w:pPr>
            <w:r>
              <w:rPr>
                <w:rFonts w:ascii="Times New Roman" w:cs="Times New Roman" w:eastAsia="Times New Roman" w:hAnsi="Times New Roman"/>
                <w:sz w:val="15"/>
                <w:szCs w:val="15"/>
                <w:b w:val="1"/>
                <w:bCs w:val="1"/>
                <w:color w:val="auto"/>
              </w:rPr>
              <w:t>As of and for the six months ended June 30, 2024</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auto"/>
              </w:rPr>
              <w:t>Accounts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Contractor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320"/>
              <w:spacing w:after="0" w:line="164" w:lineRule="exact"/>
              <w:rPr>
                <w:sz w:val="20"/>
                <w:szCs w:val="20"/>
                <w:color w:val="auto"/>
              </w:rPr>
            </w:pPr>
            <w:r>
              <w:rPr>
                <w:rFonts w:ascii="Times New Roman" w:cs="Times New Roman" w:eastAsia="Times New Roman" w:hAnsi="Times New Roman"/>
                <w:sz w:val="15"/>
                <w:szCs w:val="15"/>
                <w:b w:val="1"/>
                <w:bCs w:val="1"/>
                <w:color w:val="auto"/>
              </w:rPr>
              <w:t>Commissions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receivable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Transaction fees</w:t>
            </w:r>
          </w:p>
        </w:tc>
        <w:tc>
          <w:tcPr>
            <w:tcW w:w="1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advances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receivable</w:t>
            </w:r>
          </w:p>
        </w:tc>
        <w:tc>
          <w:tcPr>
            <w:tcW w:w="10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Beginning balance</w:t>
            </w:r>
          </w:p>
        </w:tc>
        <w:tc>
          <w:tcPr>
            <w:tcW w:w="900" w:type="dxa"/>
            <w:vAlign w:val="bottom"/>
            <w:tcBorders>
              <w:top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900" w:type="dxa"/>
            <w:vAlign w:val="bottom"/>
          </w:tcPr>
          <w:p>
            <w:pPr>
              <w:spacing w:after="0"/>
              <w:rPr>
                <w:sz w:val="15"/>
                <w:szCs w:val="15"/>
                <w:color w:val="auto"/>
              </w:rPr>
            </w:pPr>
          </w:p>
        </w:tc>
        <w:tc>
          <w:tcPr>
            <w:tcW w:w="4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w w:val="97"/>
              </w:rPr>
              <w:t>137</w:t>
            </w:r>
          </w:p>
        </w:tc>
        <w:tc>
          <w:tcPr>
            <w:tcW w:w="2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Write-offs</w:t>
            </w:r>
          </w:p>
        </w:tc>
        <w:tc>
          <w:tcPr>
            <w:tcW w:w="9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Recoveries</w:t>
            </w:r>
          </w:p>
        </w:tc>
        <w:tc>
          <w:tcPr>
            <w:tcW w:w="900" w:type="dxa"/>
            <w:vAlign w:val="bottom"/>
          </w:tcPr>
          <w:p>
            <w:pPr>
              <w:spacing w:after="0"/>
              <w:rPr>
                <w:sz w:val="17"/>
                <w:szCs w:val="17"/>
                <w:color w:val="auto"/>
              </w:rPr>
            </w:pPr>
          </w:p>
        </w:tc>
        <w:tc>
          <w:tcPr>
            <w:tcW w:w="4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90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137</w:t>
            </w:r>
          </w:p>
        </w:tc>
        <w:tc>
          <w:tcPr>
            <w:tcW w:w="220" w:type="dxa"/>
            <w:vAlign w:val="bottom"/>
            <w:tcBorders>
              <w:top w:val="single" w:sz="8" w:color="CCEEFF"/>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Note 5</w:t>
            </w:r>
            <w:r>
              <w:rPr>
                <w:rFonts w:ascii="Times New Roman" w:cs="Times New Roman" w:eastAsia="Times New Roman" w:hAnsi="Times New Roman"/>
                <w:sz w:val="15"/>
                <w:szCs w:val="15"/>
                <w:b w:val="1"/>
                <w:bCs w:val="1"/>
                <w:i w:val="1"/>
                <w:iCs w:val="1"/>
                <w:color w:val="auto"/>
              </w:rPr>
              <w:t>. PREPAID EXPENSES AND OTHER CURRENT ASSETS</w:t>
            </w: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Amounts comprising prepaid expenses and other current assets are as follows</w:t>
            </w:r>
            <w:r>
              <w:rPr>
                <w:rFonts w:ascii="Times New Roman" w:cs="Times New Roman" w:eastAsia="Times New Roman" w:hAnsi="Times New Roman"/>
                <w:sz w:val="15"/>
                <w:szCs w:val="15"/>
                <w:i w:val="1"/>
                <w:iCs w:val="1"/>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160"/>
              <w:spacing w:after="0" w:line="164"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Pr>
          <w:p>
            <w:pPr>
              <w:spacing w:after="0"/>
              <w:rPr>
                <w:sz w:val="14"/>
                <w:szCs w:val="14"/>
                <w:color w:val="auto"/>
              </w:rPr>
            </w:pPr>
          </w:p>
        </w:tc>
        <w:tc>
          <w:tcPr>
            <w:tcW w:w="1020" w:type="dxa"/>
            <w:vAlign w:val="bottom"/>
          </w:tcPr>
          <w:p>
            <w:pPr>
              <w:jc w:val="center"/>
              <w:ind w:right="24"/>
              <w:spacing w:after="0" w:line="164"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commissions</w:t>
            </w: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9,609</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12,840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Bonus install commitment</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62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9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9,830</w:t>
            </w: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13,508</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recognized $10,527 of commission expense in the six months ended June 30, 2025, that was included in the deferred commission balance at the beginning of the period.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6</w:t>
            </w:r>
            <w:r>
              <w:rPr>
                <w:rFonts w:ascii="Times New Roman" w:cs="Times New Roman" w:eastAsia="Times New Roman" w:hAnsi="Times New Roman"/>
                <w:sz w:val="15"/>
                <w:szCs w:val="15"/>
                <w:b w:val="1"/>
                <w:bCs w:val="1"/>
                <w:i w:val="1"/>
                <w:iCs w:val="1"/>
                <w:color w:val="auto"/>
              </w:rPr>
              <w:t>. PROPERTY AND EQUIPMENT, NET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consists of the following: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362"/>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Pr>
          <w:p>
            <w:pPr>
              <w:spacing w:after="0"/>
              <w:rPr>
                <w:sz w:val="15"/>
                <w:szCs w:val="15"/>
                <w:color w:val="auto"/>
              </w:rPr>
            </w:pPr>
          </w:p>
        </w:tc>
        <w:tc>
          <w:tcPr>
            <w:tcW w:w="10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180" w:type="dxa"/>
            <w:vAlign w:val="bottom"/>
          </w:tcPr>
          <w:p>
            <w:pPr>
              <w:spacing w:after="0"/>
              <w:rPr>
                <w:sz w:val="15"/>
                <w:szCs w:val="15"/>
                <w:color w:val="auto"/>
              </w:rPr>
            </w:pPr>
          </w:p>
        </w:tc>
        <w:tc>
          <w:tcPr>
            <w:tcW w:w="11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188</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 equipment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16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cost</w:t>
            </w: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465</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463</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2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8"/>
        </w:trPr>
        <w:tc>
          <w:tcPr>
            <w:tcW w:w="86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Property and equipment, net</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260</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Depreciation expense for the six months ended June 30, 2025 and 2024 was $40 and $39, respectively</w:t>
            </w:r>
            <w:r>
              <w:rPr>
                <w:rFonts w:ascii="Times New Roman" w:cs="Times New Roman" w:eastAsia="Times New Roman" w:hAnsi="Times New Roman"/>
                <w:sz w:val="15"/>
                <w:szCs w:val="15"/>
                <w:b w:val="1"/>
                <w:bCs w:val="1"/>
                <w:color w:val="auto"/>
              </w:rPr>
              <w:t>.</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Note 7. </w:t>
            </w:r>
            <w:r>
              <w:rPr>
                <w:rFonts w:ascii="Times New Roman" w:cs="Times New Roman" w:eastAsia="Times New Roman" w:hAnsi="Times New Roman"/>
                <w:sz w:val="15"/>
                <w:szCs w:val="15"/>
                <w:b w:val="1"/>
                <w:bCs w:val="1"/>
                <w:i w:val="1"/>
                <w:iCs w:val="1"/>
                <w:color w:val="auto"/>
              </w:rPr>
              <w:t>ACCRUED EXPENSES AND OTHER CURRENT LIABILITIES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 are as follows: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362"/>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Pr>
          <w:p>
            <w:pPr>
              <w:spacing w:after="0"/>
              <w:rPr>
                <w:sz w:val="15"/>
                <w:szCs w:val="15"/>
                <w:color w:val="auto"/>
              </w:rPr>
            </w:pPr>
          </w:p>
        </w:tc>
        <w:tc>
          <w:tcPr>
            <w:tcW w:w="10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salaries, wages and related expenses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Commissions payable</w:t>
            </w:r>
          </w:p>
        </w:tc>
        <w:tc>
          <w:tcPr>
            <w:tcW w:w="180" w:type="dxa"/>
            <w:vAlign w:val="bottom"/>
          </w:tcPr>
          <w:p>
            <w:pPr>
              <w:spacing w:after="0"/>
              <w:rPr>
                <w:sz w:val="15"/>
                <w:szCs w:val="15"/>
                <w:color w:val="auto"/>
              </w:rPr>
            </w:pPr>
          </w:p>
        </w:tc>
        <w:tc>
          <w:tcPr>
            <w:tcW w:w="11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3,177</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1,814</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payable</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8,195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4,136</w:t>
            </w: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Accrued interest payable</w:t>
            </w:r>
          </w:p>
        </w:tc>
        <w:tc>
          <w:tcPr>
            <w:tcW w:w="180" w:type="dxa"/>
            <w:vAlign w:val="bottom"/>
          </w:tcPr>
          <w:p>
            <w:pPr>
              <w:spacing w:after="0"/>
              <w:rPr>
                <w:sz w:val="15"/>
                <w:szCs w:val="15"/>
                <w:color w:val="auto"/>
              </w:rPr>
            </w:pPr>
          </w:p>
        </w:tc>
        <w:tc>
          <w:tcPr>
            <w:tcW w:w="11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tcPr>
          <w:p>
            <w:pPr>
              <w:spacing w:after="0"/>
              <w:rPr>
                <w:sz w:val="15"/>
                <w:szCs w:val="15"/>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Credit card obligation</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101</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7"/>
                <w:szCs w:val="17"/>
                <w:color w:val="auto"/>
              </w:rPr>
            </w:pPr>
          </w:p>
        </w:tc>
        <w:tc>
          <w:tcPr>
            <w:tcW w:w="118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317</w:t>
            </w:r>
          </w:p>
        </w:tc>
        <w:tc>
          <w:tcPr>
            <w:tcW w:w="100" w:type="dxa"/>
            <w:vAlign w:val="bottom"/>
          </w:tcPr>
          <w:p>
            <w:pPr>
              <w:spacing w:after="0"/>
              <w:rPr>
                <w:sz w:val="17"/>
                <w:szCs w:val="17"/>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293</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accrued expenses and other current liabilities</w:t>
            </w: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11,881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8. </w:t>
      </w:r>
      <w:r>
        <w:rPr>
          <w:rFonts w:ascii="Times New Roman" w:cs="Times New Roman" w:eastAsia="Times New Roman" w:hAnsi="Times New Roman"/>
          <w:sz w:val="15"/>
          <w:szCs w:val="15"/>
          <w:b w:val="1"/>
          <w:bCs w:val="1"/>
          <w:i w:val="1"/>
          <w:iCs w:val="1"/>
          <w:color w:val="auto"/>
        </w:rPr>
        <w:t>LINE OF CREDIT</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During the year ended December 31, 2023, the Company entered into an unsecured line of credit (“LOC”) agreement with a borrowing limit of $3,000. The LOC had a fixed interest rate of 7.5% and was scheduled to mature on June 30, 2025. The outstanding balance on the line was $2,250 as of June 30, 2025 and December 31, 2024. The LOC was repaid in September 2025 in connection with the sale of the membership interest in the Company. Refer to Note 2 – </w:t>
      </w:r>
      <w:r>
        <w:rPr>
          <w:rFonts w:ascii="Times New Roman" w:cs="Times New Roman" w:eastAsia="Times New Roman" w:hAnsi="Times New Roman"/>
          <w:sz w:val="15"/>
          <w:szCs w:val="15"/>
          <w:i w:val="1"/>
          <w:iCs w:val="1"/>
          <w:color w:val="auto"/>
        </w:rPr>
        <w:t>Liquidity Considerations and Sale of Company</w:t>
      </w:r>
      <w:r>
        <w:rPr>
          <w:rFonts w:ascii="Times New Roman" w:cs="Times New Roman" w:eastAsia="Times New Roman" w:hAnsi="Times New Roman"/>
          <w:sz w:val="15"/>
          <w:szCs w:val="15"/>
          <w:color w:val="auto"/>
        </w:rPr>
        <w:t xml:space="preserve"> for discussion of the sale of the Company.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9. </w:t>
      </w:r>
      <w:r>
        <w:rPr>
          <w:rFonts w:ascii="Times New Roman" w:cs="Times New Roman" w:eastAsia="Times New Roman" w:hAnsi="Times New Roman"/>
          <w:sz w:val="15"/>
          <w:szCs w:val="15"/>
          <w:b w:val="1"/>
          <w:bCs w:val="1"/>
          <w:i w:val="1"/>
          <w:iCs w:val="1"/>
          <w:color w:val="auto"/>
        </w:rPr>
        <w:t>LITIGATION FINANCING AND SETTLEMENT</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During the six months ended June 30,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 w:cs="Times New Roman" w:eastAsia="Times New Roman" w:hAnsi="Times New Roman"/>
          <w:sz w:val="15"/>
          <w:szCs w:val="15"/>
          <w:i w:val="1"/>
          <w:iCs w:val="1"/>
          <w:color w:val="auto"/>
        </w:rPr>
        <w:t>Related Party Transactions</w:t>
      </w:r>
      <w:r>
        <w:rPr>
          <w:rFonts w:ascii="Times New Roman" w:cs="Times New Roman" w:eastAsia="Times New Roman" w:hAnsi="Times New Roman"/>
          <w:sz w:val="15"/>
          <w:szCs w:val="15"/>
          <w:color w:val="auto"/>
        </w:rPr>
        <w:t xml:space="preserve"> for detail. These proceeds are presented within Other income, net on the statement of operations and member’s deficit.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63" w:name="page264"/>
    <w:bookmarkEnd w:id="263"/>
    <w:p>
      <w:pPr>
        <w:jc w:val="both"/>
        <w:spacing w:after="0" w:line="258" w:lineRule="auto"/>
        <w:rPr>
          <w:sz w:val="20"/>
          <w:szCs w:val="20"/>
          <w:color w:val="auto"/>
        </w:rPr>
      </w:pPr>
      <w:r>
        <w:rPr>
          <w:rFonts w:ascii="Times New Roman" w:cs="Times New Roman" w:eastAsia="Times New Roman" w:hAnsi="Times New Roman"/>
          <w:sz w:val="15"/>
          <w:szCs w:val="15"/>
          <w:color w:val="auto"/>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 w:cs="Times New Roman" w:eastAsia="Times New Roman" w:hAnsi="Times New Roman"/>
          <w:sz w:val="15"/>
          <w:szCs w:val="15"/>
          <w:i w:val="1"/>
          <w:iCs w:val="1"/>
          <w:color w:val="auto"/>
        </w:rPr>
        <w:t>Debt</w:t>
      </w:r>
      <w:r>
        <w:rPr>
          <w:rFonts w:ascii="Times New Roman" w:cs="Times New Roman" w:eastAsia="Times New Roman" w:hAnsi="Times New Roman"/>
          <w:sz w:val="15"/>
          <w:szCs w:val="15"/>
          <w:color w:val="auto"/>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 w:cs="Times New Roman" w:eastAsia="Times New Roman" w:hAnsi="Times New Roman"/>
          <w:sz w:val="15"/>
          <w:szCs w:val="15"/>
          <w:i w:val="1"/>
          <w:iCs w:val="1"/>
          <w:color w:val="auto"/>
        </w:rPr>
        <w:t>Contingencies,</w:t>
      </w:r>
      <w:r>
        <w:rPr>
          <w:rFonts w:ascii="Times New Roman" w:cs="Times New Roman" w:eastAsia="Times New Roman" w:hAnsi="Times New Roman"/>
          <w:sz w:val="15"/>
          <w:szCs w:val="15"/>
          <w:color w:val="auto"/>
        </w:rPr>
        <w:t xml:space="preserve"> with no balance sheet recognition as of the reporting date. The cash received via the funding and investment agreement has been recorded as other income on the Statement of Operations for the fiscal year December 31, 2024.</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recognized in the financial statements related to the Settlement Agreement or payment of the litigation funding investment. The Company’s obligation to pay the litigation finance investor is only required when Freedom Forever makes a payment to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w:t>
      </w:r>
      <w:r>
        <w:rPr>
          <w:rFonts w:ascii="Times New Roman" w:cs="Times New Roman" w:eastAsia="Times New Roman" w:hAnsi="Times New Roman"/>
          <w:sz w:val="15"/>
          <w:szCs w:val="15"/>
          <w:b w:val="1"/>
          <w:bCs w:val="1"/>
          <w:i w:val="1"/>
          <w:iCs w:val="1"/>
          <w:color w:val="auto"/>
        </w:rPr>
        <w:t>. LEASES</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may include one or more options to renew. The exercise of any lease renewal option is at the Company’s sole discretion.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presents the operating lease components recorded in the Company’s balance sheets as of June 30, 2025 and December 31, 2024</w:t>
      </w:r>
      <w:r>
        <w:rPr>
          <w:rFonts w:ascii="Times New Roman" w:cs="Times New Roman" w:eastAsia="Times New Roman" w:hAnsi="Times New Roman"/>
          <w:sz w:val="15"/>
          <w:szCs w:val="15"/>
          <w:i w:val="1"/>
          <w:i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 net</w:t>
            </w:r>
          </w:p>
        </w:tc>
        <w:tc>
          <w:tcPr>
            <w:tcW w:w="86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operating lease liability</w:t>
            </w:r>
          </w:p>
        </w:tc>
        <w:tc>
          <w:tcPr>
            <w:tcW w:w="86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Noncurrent portion of operating lease liability</w:t>
            </w:r>
          </w:p>
        </w:tc>
        <w:tc>
          <w:tcPr>
            <w:tcW w:w="86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237</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lease liability</w:t>
            </w:r>
          </w:p>
        </w:tc>
        <w:tc>
          <w:tcPr>
            <w:tcW w:w="860" w:type="dxa"/>
            <w:vAlign w:val="bottom"/>
            <w:tcBorders>
              <w:top w:val="single" w:sz="8" w:color="auto"/>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operating lease liabilities totaled $58 and $53 for the six months ended June 30, 2025 and 2024, respectively.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3" w:right="3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5"/>
          <w:szCs w:val="15"/>
          <w:color w:val="auto"/>
        </w:rPr>
        <w:t>Because the Company generally does not have access to the rate implicit in a lease, the Company uses its incremental borrowing rate to determine the present value of its leases.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summarizes the weighted average remaining lease term and discount rates for the Company’s operating leases: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8"/>
        </w:trPr>
        <w:tc>
          <w:tcPr>
            <w:tcW w:w="8660" w:type="dxa"/>
            <w:vAlign w:val="bottom"/>
          </w:tcPr>
          <w:p>
            <w:pPr>
              <w:spacing w:after="0"/>
              <w:rPr>
                <w:sz w:val="24"/>
                <w:szCs w:val="24"/>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8660" w:type="dxa"/>
            <w:vAlign w:val="bottom"/>
          </w:tcPr>
          <w:p>
            <w:pPr>
              <w:spacing w:after="0"/>
              <w:rPr>
                <w:sz w:val="15"/>
                <w:szCs w:val="15"/>
                <w:color w:val="auto"/>
              </w:rPr>
            </w:pPr>
          </w:p>
        </w:tc>
        <w:tc>
          <w:tcPr>
            <w:tcW w:w="1460" w:type="dxa"/>
            <w:vAlign w:val="bottom"/>
            <w:gridSpan w:val="4"/>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0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6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remaining lease term</w:t>
            </w:r>
          </w:p>
        </w:tc>
        <w:tc>
          <w:tcPr>
            <w:tcW w:w="1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97"/>
              </w:rPr>
              <w:t>2.67 years</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w w:val="97"/>
              </w:rPr>
              <w:t>3.17 years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7"/>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350"/>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The future maturities of the operating lease liabilities as of June 30, 2025, were as follows</w:t>
            </w:r>
            <w:r>
              <w:rPr>
                <w:rFonts w:ascii="Times New Roman" w:cs="Times New Roman" w:eastAsia="Times New Roman" w:hAnsi="Times New Roman"/>
                <w:sz w:val="15"/>
                <w:szCs w:val="15"/>
                <w:i w:val="1"/>
                <w:iCs w:val="1"/>
                <w:color w:val="auto"/>
              </w:rPr>
              <w:t>:</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Years ending:</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2025</w:t>
            </w: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71</w:t>
            </w:r>
          </w:p>
        </w:tc>
      </w:tr>
      <w:tr>
        <w:trPr>
          <w:trHeight w:val="182"/>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62"/>
              <w:spacing w:after="0"/>
              <w:rPr>
                <w:sz w:val="20"/>
                <w:szCs w:val="20"/>
                <w:color w:val="auto"/>
              </w:rPr>
            </w:pPr>
            <w:r>
              <w:rPr>
                <w:rFonts w:ascii="Times New Roman" w:cs="Times New Roman" w:eastAsia="Times New Roman" w:hAnsi="Times New Roman"/>
                <w:sz w:val="15"/>
                <w:szCs w:val="15"/>
                <w:color w:val="auto"/>
              </w:rPr>
              <w:t>147</w:t>
            </w: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151</w:t>
            </w:r>
          </w:p>
        </w:tc>
      </w:tr>
      <w:tr>
        <w:trPr>
          <w:trHeight w:val="196"/>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62"/>
              <w:spacing w:after="0"/>
              <w:rPr>
                <w:sz w:val="20"/>
                <w:szCs w:val="20"/>
                <w:color w:val="auto"/>
              </w:rPr>
            </w:pPr>
            <w:r>
              <w:rPr>
                <w:rFonts w:ascii="Times New Roman" w:cs="Times New Roman" w:eastAsia="Times New Roman" w:hAnsi="Times New Roman"/>
                <w:sz w:val="15"/>
                <w:szCs w:val="15"/>
                <w:color w:val="auto"/>
              </w:rPr>
              <w:t>25</w:t>
            </w:r>
          </w:p>
        </w:tc>
      </w:tr>
      <w:tr>
        <w:trPr>
          <w:trHeight w:val="202"/>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lease payments</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8"/>
        </w:trPr>
        <w:tc>
          <w:tcPr>
            <w:tcW w:w="866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Less: imputed interest</w:t>
            </w:r>
          </w:p>
        </w:tc>
        <w:tc>
          <w:tcPr>
            <w:tcW w:w="1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(32</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85"/>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8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Lease expense is presented as rent under operating expenses on the statements of operations and member’s deficit.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11. </w:t>
      </w:r>
      <w:r>
        <w:rPr>
          <w:rFonts w:ascii="Times New Roman" w:cs="Times New Roman" w:eastAsia="Times New Roman" w:hAnsi="Times New Roman"/>
          <w:sz w:val="15"/>
          <w:szCs w:val="15"/>
          <w:b w:val="1"/>
          <w:bCs w:val="1"/>
          <w:i w:val="1"/>
          <w:iCs w:val="1"/>
          <w:color w:val="auto"/>
        </w:rPr>
        <w:t>RELATED PARTY TRANSACTIONS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Enzy Technologies LLC (Enzy) is an entity related to the Company by common ownership. 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$50 and $536 for the six months ended June 30, 2025 and 2024, respectively. Expenses incurred for Enzy and fees charged to Enzy totaled $Nil and $924 for the six months ended June 30, 2025 and 2024, respectively. The Company has balances due from Enzy of $Nil and $559 as of June 30, 2025 and December 31, 2024, respectively. This balance is presented as due from related party on the Company’s balance sheets.</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The Company had obtained a number of insurance policies to help protect the Company from potential losses through a captive insurance company related by common ownership. As discussed in Note 9 – </w:t>
      </w:r>
      <w:r>
        <w:rPr>
          <w:rFonts w:ascii="Times New Roman" w:cs="Times New Roman" w:eastAsia="Times New Roman" w:hAnsi="Times New Roman"/>
          <w:sz w:val="15"/>
          <w:szCs w:val="15"/>
          <w:i w:val="1"/>
          <w:iCs w:val="1"/>
          <w:color w:val="auto"/>
        </w:rPr>
        <w:t>Litigation Financing and Settlement</w:t>
      </w:r>
      <w:r>
        <w:rPr>
          <w:rFonts w:ascii="Times New Roman" w:cs="Times New Roman" w:eastAsia="Times New Roman" w:hAnsi="Times New Roman"/>
          <w:sz w:val="15"/>
          <w:szCs w:val="15"/>
          <w:color w:val="auto"/>
        </w:rPr>
        <w:t>, the Company received $500 in the year ended December 31, 2024, from this insurance captive in connection with a claim related to loss of key employees and business litigation related to its dispute with Freedom Forever.</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equity deficit. The Company recognized expenses of $486 and $442 for the six months ended June 30, 2025 and 2024, respectively, related to these arrangements.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3" w:right="319" w:bottom="1440" w:gutter="0" w:footer="0" w:header="0"/>
        </w:sectPr>
      </w:pPr>
    </w:p>
    <w:bookmarkStart w:id="265" w:name="page266"/>
    <w:bookmarkEnd w:id="265"/>
    <w:p>
      <w:pPr>
        <w:jc w:val="both"/>
        <w:spacing w:after="0" w:line="287" w:lineRule="auto"/>
        <w:rPr>
          <w:sz w:val="20"/>
          <w:szCs w:val="20"/>
          <w:color w:val="auto"/>
        </w:rPr>
      </w:pPr>
      <w:r>
        <w:rPr>
          <w:rFonts w:ascii="Times New Roman" w:cs="Times New Roman" w:eastAsia="Times New Roman" w:hAnsi="Times New Roman"/>
          <w:sz w:val="15"/>
          <w:szCs w:val="15"/>
          <w:color w:val="auto"/>
        </w:rPr>
        <w:t>In 2025, the Company’s CEO directly paid $1,000 to certain legal firms for services provided to the Company. The Company’s CEO and the Sole Member entered into an arrangement on or around March 19, 2025 that resulted in the Sole Member and the Company recognizing this payment on behalf of the Company as a capital contribution to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12. </w:t>
      </w:r>
      <w:r>
        <w:rPr>
          <w:rFonts w:ascii="Times New Roman" w:cs="Times New Roman" w:eastAsia="Times New Roman" w:hAnsi="Times New Roman"/>
          <w:sz w:val="15"/>
          <w:szCs w:val="15"/>
          <w:b w:val="1"/>
          <w:bCs w:val="1"/>
          <w:i w:val="1"/>
          <w:iCs w:val="1"/>
          <w:color w:val="auto"/>
        </w:rPr>
        <w:t>COMMITMENTS AND CONTINGENCIES</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Company may be involved in legal proceedings arising in the normal course of business. Management has concluded that no material legal reserves are required to be recorded as of June 30, 2025 and December 31, 2024.</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13. </w:t>
      </w:r>
      <w:r>
        <w:rPr>
          <w:rFonts w:ascii="Times New Roman" w:cs="Times New Roman" w:eastAsia="Times New Roman" w:hAnsi="Times New Roman"/>
          <w:sz w:val="15"/>
          <w:szCs w:val="15"/>
          <w:b w:val="1"/>
          <w:bCs w:val="1"/>
          <w:i w:val="1"/>
          <w:iCs w:val="1"/>
          <w:color w:val="auto"/>
        </w:rPr>
        <w:t>STOCK BASED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Incentive Stock Units (“Incentive Units”)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spacing w:after="0" w:line="15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There was no activity in the Incentive Units during the six months ended June 30, 2025. The number of outstanding Incentive Units was 46,574 at each of June 30, 2025, and December 31, 2024.</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Incentive Units were estimated to have $0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six months ended June 30, 2025 and 2024. As of June 30, 2025 and December 31, 2024, unrecognized compensation cost related to unvested Incentive Units was $0.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Award (“Compensation Award”)</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197"/>
        </w:trPr>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A summary of the Compensation Award activity for the six months ended June 30, 2025 is presented below:</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45"/>
        </w:trPr>
        <w:tc>
          <w:tcPr>
            <w:tcW w:w="10000" w:type="dxa"/>
            <w:vAlign w:val="bottom"/>
          </w:tcPr>
          <w:p>
            <w:pPr>
              <w:spacing w:after="0"/>
              <w:rPr>
                <w:sz w:val="24"/>
                <w:szCs w:val="24"/>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Percentage</w:t>
            </w:r>
          </w:p>
        </w:tc>
      </w:tr>
      <w:tr>
        <w:trPr>
          <w:trHeight w:val="203"/>
        </w:trPr>
        <w:tc>
          <w:tcPr>
            <w:tcW w:w="100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40" w:type="dxa"/>
            <w:vAlign w:val="bottom"/>
            <w:tcBorders>
              <w:bottom w:val="single" w:sz="8" w:color="CCEEFF"/>
            </w:tcBorders>
            <w:gridSpan w:val="2"/>
          </w:tcPr>
          <w:p>
            <w:pPr>
              <w:spacing w:after="0"/>
              <w:rPr>
                <w:sz w:val="17"/>
                <w:szCs w:val="17"/>
                <w:color w:val="auto"/>
              </w:rPr>
            </w:pPr>
          </w:p>
        </w:tc>
      </w:tr>
      <w:tr>
        <w:trPr>
          <w:trHeight w:val="182"/>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award outstanding, December 31, 2024</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w:t>
            </w:r>
          </w:p>
        </w:tc>
      </w:tr>
      <w:tr>
        <w:trPr>
          <w:trHeight w:val="182"/>
        </w:trPr>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20" w:type="dxa"/>
            <w:vAlign w:val="bottom"/>
          </w:tcPr>
          <w:p>
            <w:pPr>
              <w:spacing w:after="0"/>
              <w:rPr>
                <w:sz w:val="15"/>
                <w:szCs w:val="15"/>
                <w:color w:val="auto"/>
              </w:rPr>
            </w:pPr>
          </w:p>
        </w:tc>
      </w:tr>
      <w:tr>
        <w:trPr>
          <w:trHeight w:val="213"/>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Forfeitures</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r>
      <w:tr>
        <w:trPr>
          <w:trHeight w:val="168"/>
        </w:trPr>
        <w:tc>
          <w:tcPr>
            <w:tcW w:w="1000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Compensation award outstanding, June 30, 2025</w:t>
            </w:r>
          </w:p>
        </w:tc>
        <w:tc>
          <w:tcPr>
            <w:tcW w:w="11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w:t>
            </w:r>
          </w:p>
        </w:tc>
        <w:tc>
          <w:tcPr>
            <w:tcW w:w="140" w:type="dxa"/>
            <w:vAlign w:val="bottom"/>
            <w:tcBorders>
              <w:top w:val="single" w:sz="8" w:color="CCEEFF"/>
            </w:tcBorders>
            <w:gridSpan w:val="2"/>
          </w:tcPr>
          <w:p>
            <w:pPr>
              <w:jc w:val="right"/>
              <w:ind w:right="20"/>
              <w:spacing w:after="0" w:line="165" w:lineRule="exact"/>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10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six months ended June 30, 2025 and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Liquidity Based Bonus Plan</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in either of the six months ended June 30, 2025 and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14. </w:t>
      </w:r>
      <w:r>
        <w:rPr>
          <w:rFonts w:ascii="Times New Roman" w:cs="Times New Roman" w:eastAsia="Times New Roman" w:hAnsi="Times New Roman"/>
          <w:sz w:val="15"/>
          <w:szCs w:val="15"/>
          <w:b w:val="1"/>
          <w:bCs w:val="1"/>
          <w:i w:val="1"/>
          <w:iCs w:val="1"/>
          <w:color w:val="auto"/>
        </w:rPr>
        <w:t>SUBSEQUENT EVENTS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Management of the Company has evaluated subsequent events through January 9, 2026, which is also the date the financial statements were available to be issued. Except as noted in Note 2 – </w:t>
      </w:r>
      <w:r>
        <w:rPr>
          <w:rFonts w:ascii="Times New Roman" w:cs="Times New Roman" w:eastAsia="Times New Roman" w:hAnsi="Times New Roman"/>
          <w:sz w:val="15"/>
          <w:szCs w:val="15"/>
          <w:i w:val="1"/>
          <w:iCs w:val="1"/>
          <w:color w:val="auto"/>
        </w:rPr>
        <w:t>Liquidity Considerations and Sale of Company,</w:t>
      </w:r>
      <w:r>
        <w:rPr>
          <w:rFonts w:ascii="Times New Roman" w:cs="Times New Roman" w:eastAsia="Times New Roman" w:hAnsi="Times New Roman"/>
          <w:sz w:val="15"/>
          <w:szCs w:val="15"/>
          <w:color w:val="auto"/>
        </w:rPr>
        <w:t xml:space="preserve"> Note 8 </w:t>
      </w:r>
      <w:r>
        <w:rPr>
          <w:rFonts w:ascii="Times New Roman" w:cs="Times New Roman" w:eastAsia="Times New Roman" w:hAnsi="Times New Roman"/>
          <w:sz w:val="15"/>
          <w:szCs w:val="15"/>
          <w:i w:val="1"/>
          <w:iCs w:val="1"/>
          <w:color w:val="auto"/>
        </w:rPr>
        <w:t>– Line of Credit,</w:t>
      </w:r>
      <w:r>
        <w:rPr>
          <w:rFonts w:ascii="Times New Roman" w:cs="Times New Roman" w:eastAsia="Times New Roman" w:hAnsi="Times New Roman"/>
          <w:sz w:val="15"/>
          <w:szCs w:val="15"/>
          <w:color w:val="auto"/>
        </w:rPr>
        <w:t xml:space="preserve"> Note 9 </w:t>
      </w:r>
      <w:r>
        <w:rPr>
          <w:rFonts w:ascii="Times New Roman" w:cs="Times New Roman" w:eastAsia="Times New Roman" w:hAnsi="Times New Roman"/>
          <w:sz w:val="15"/>
          <w:szCs w:val="15"/>
          <w:i w:val="1"/>
          <w:iCs w:val="1"/>
          <w:color w:val="auto"/>
        </w:rPr>
        <w:t>– Litigation Financing and Settlement</w:t>
      </w:r>
      <w:r>
        <w:rPr>
          <w:rFonts w:ascii="Times New Roman" w:cs="Times New Roman" w:eastAsia="Times New Roman" w:hAnsi="Times New Roman"/>
          <w:sz w:val="15"/>
          <w:szCs w:val="15"/>
          <w:color w:val="auto"/>
        </w:rPr>
        <w:t xml:space="preserve"> and below, no other subsequent events were noted during this evaluation that require recognition or disclosure in these financial statements.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September 24, 2025 (“Closing”), the Member completed the sale of all assets and assumption of all liabilities of its Membership Interests in Sunder to Complete Solaria for aggregate consideration of $57,800. Per the terms of the MIPA, the Member sold all of the outstanding membership interest of Sunder for (1) $20,700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SUNDER ENERGY LLC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FINANCIAL STATEMENTS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7153910" cy="146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2"/>
          </w:tcPr>
          <w:p>
            <w:pPr>
              <w:jc w:val="center"/>
              <w:ind w:right="1720"/>
              <w:spacing w:after="0"/>
              <w:rPr>
                <w:sz w:val="20"/>
                <w:szCs w:val="20"/>
                <w:color w:val="auto"/>
              </w:rPr>
            </w:pPr>
            <w:r>
              <w:rPr>
                <w:rFonts w:ascii="Times New Roman" w:cs="Times New Roman" w:eastAsia="Times New Roman" w:hAnsi="Times New Roman"/>
                <w:sz w:val="15"/>
                <w:szCs w:val="15"/>
                <w:b w:val="1"/>
                <w:bCs w:val="1"/>
                <w:color w:val="auto"/>
                <w:w w:val="99"/>
              </w:rPr>
              <w:t>Table of Contents</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Independent Auditor’s Report</w:t>
            </w:r>
          </w:p>
        </w:tc>
        <w:tc>
          <w:tcPr>
            <w:tcW w:w="2880" w:type="dxa"/>
            <w:vAlign w:val="bottom"/>
            <w:shd w:val="clear" w:color="auto" w:fill="CCEEFF"/>
          </w:tcPr>
          <w:p>
            <w:pPr>
              <w:ind w:left="2180"/>
              <w:spacing w:after="0" w:line="148" w:lineRule="exact"/>
              <w:rPr>
                <w:sz w:val="20"/>
                <w:szCs w:val="20"/>
                <w:color w:val="auto"/>
              </w:rPr>
            </w:pPr>
            <w:r>
              <w:rPr>
                <w:rFonts w:ascii="Times New Roman" w:cs="Times New Roman" w:eastAsia="Times New Roman" w:hAnsi="Times New Roman"/>
                <w:sz w:val="15"/>
                <w:szCs w:val="15"/>
                <w:color w:val="auto"/>
              </w:rPr>
              <w:t>F-134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8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Balance Sheets as of December 31, 2024 and 2023</w:t>
            </w:r>
          </w:p>
        </w:tc>
        <w:tc>
          <w:tcPr>
            <w:tcW w:w="2880" w:type="dxa"/>
            <w:vAlign w:val="bottom"/>
            <w:shd w:val="clear" w:color="auto" w:fill="CCEEFF"/>
          </w:tcPr>
          <w:p>
            <w:pPr>
              <w:ind w:left="2180"/>
              <w:spacing w:after="0" w:line="148" w:lineRule="exact"/>
              <w:rPr>
                <w:sz w:val="20"/>
                <w:szCs w:val="20"/>
                <w:color w:val="auto"/>
              </w:rPr>
            </w:pPr>
            <w:r>
              <w:rPr>
                <w:rFonts w:ascii="Times New Roman" w:cs="Times New Roman" w:eastAsia="Times New Roman" w:hAnsi="Times New Roman"/>
                <w:sz w:val="15"/>
                <w:szCs w:val="15"/>
                <w:color w:val="auto"/>
              </w:rPr>
              <w:t>F-136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8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Statements of Operations for the years ended December 31, 2024 and 2023</w:t>
            </w:r>
          </w:p>
        </w:tc>
        <w:tc>
          <w:tcPr>
            <w:tcW w:w="2880" w:type="dxa"/>
            <w:vAlign w:val="bottom"/>
            <w:shd w:val="clear" w:color="auto" w:fill="CCEEFF"/>
          </w:tcPr>
          <w:p>
            <w:pPr>
              <w:ind w:left="2180"/>
              <w:spacing w:after="0" w:line="148" w:lineRule="exact"/>
              <w:rPr>
                <w:sz w:val="20"/>
                <w:szCs w:val="20"/>
                <w:color w:val="auto"/>
              </w:rPr>
            </w:pPr>
            <w:r>
              <w:rPr>
                <w:rFonts w:ascii="Times New Roman" w:cs="Times New Roman" w:eastAsia="Times New Roman" w:hAnsi="Times New Roman"/>
                <w:sz w:val="15"/>
                <w:szCs w:val="15"/>
                <w:color w:val="auto"/>
              </w:rPr>
              <w:t>F-137</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tcPr>
          <w:p>
            <w:pPr>
              <w:spacing w:after="0"/>
              <w:rPr>
                <w:sz w:val="15"/>
                <w:szCs w:val="15"/>
                <w:color w:val="auto"/>
              </w:rPr>
            </w:pPr>
          </w:p>
        </w:tc>
        <w:tc>
          <w:tcPr>
            <w:tcW w:w="148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8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Statements of Changes in Member’s Deficit for the years ended December 31, 2024 and 2023</w:t>
            </w:r>
          </w:p>
        </w:tc>
        <w:tc>
          <w:tcPr>
            <w:tcW w:w="2880" w:type="dxa"/>
            <w:vAlign w:val="bottom"/>
            <w:shd w:val="clear" w:color="auto" w:fill="CCEEFF"/>
          </w:tcPr>
          <w:p>
            <w:pPr>
              <w:ind w:left="2180"/>
              <w:spacing w:after="0" w:line="148" w:lineRule="exact"/>
              <w:rPr>
                <w:sz w:val="20"/>
                <w:szCs w:val="20"/>
                <w:color w:val="auto"/>
              </w:rPr>
            </w:pPr>
            <w:r>
              <w:rPr>
                <w:rFonts w:ascii="Times New Roman" w:cs="Times New Roman" w:eastAsia="Times New Roman" w:hAnsi="Times New Roman"/>
                <w:sz w:val="15"/>
                <w:szCs w:val="15"/>
                <w:color w:val="auto"/>
              </w:rPr>
              <w:t>F-138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tcPr>
          <w:p>
            <w:pPr>
              <w:spacing w:after="0"/>
              <w:rPr>
                <w:sz w:val="15"/>
                <w:szCs w:val="15"/>
                <w:color w:val="auto"/>
              </w:rPr>
            </w:pPr>
          </w:p>
        </w:tc>
        <w:tc>
          <w:tcPr>
            <w:tcW w:w="1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8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Statements of Cash Flows for the years ended December 31, 2024 and 2023</w:t>
            </w:r>
          </w:p>
        </w:tc>
        <w:tc>
          <w:tcPr>
            <w:tcW w:w="2880" w:type="dxa"/>
            <w:vAlign w:val="bottom"/>
            <w:shd w:val="clear" w:color="auto" w:fill="CCEEFF"/>
          </w:tcPr>
          <w:p>
            <w:pPr>
              <w:ind w:left="2180"/>
              <w:spacing w:after="0" w:line="148" w:lineRule="exact"/>
              <w:rPr>
                <w:sz w:val="20"/>
                <w:szCs w:val="20"/>
                <w:color w:val="auto"/>
              </w:rPr>
            </w:pPr>
            <w:r>
              <w:rPr>
                <w:rFonts w:ascii="Times New Roman" w:cs="Times New Roman" w:eastAsia="Times New Roman" w:hAnsi="Times New Roman"/>
                <w:sz w:val="15"/>
                <w:szCs w:val="15"/>
                <w:color w:val="auto"/>
              </w:rPr>
              <w:t>F-139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tcPr>
          <w:p>
            <w:pPr>
              <w:spacing w:after="0"/>
              <w:rPr>
                <w:sz w:val="15"/>
                <w:szCs w:val="15"/>
                <w:color w:val="auto"/>
              </w:rPr>
            </w:pPr>
          </w:p>
        </w:tc>
        <w:tc>
          <w:tcPr>
            <w:tcW w:w="14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28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360" w:type="dxa"/>
            <w:vAlign w:val="bottom"/>
            <w:gridSpan w:val="6"/>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0000EE"/>
              </w:rPr>
              <w:t>Notes to Financial Statements</w:t>
            </w:r>
          </w:p>
        </w:tc>
        <w:tc>
          <w:tcPr>
            <w:tcW w:w="2880" w:type="dxa"/>
            <w:vAlign w:val="bottom"/>
            <w:shd w:val="clear" w:color="auto" w:fill="CCEEFF"/>
          </w:tcPr>
          <w:p>
            <w:pPr>
              <w:ind w:left="2180"/>
              <w:spacing w:after="0" w:line="148" w:lineRule="exact"/>
              <w:rPr>
                <w:sz w:val="20"/>
                <w:szCs w:val="20"/>
                <w:color w:val="auto"/>
              </w:rPr>
            </w:pPr>
            <w:r>
              <w:rPr>
                <w:rFonts w:ascii="Times New Roman" w:cs="Times New Roman" w:eastAsia="Times New Roman" w:hAnsi="Times New Roman"/>
                <w:sz w:val="15"/>
                <w:szCs w:val="15"/>
                <w:color w:val="auto"/>
              </w:rPr>
              <w:t>F-140</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178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780" w:type="dxa"/>
            <w:vAlign w:val="bottom"/>
            <w:tcBorders>
              <w:top w:val="single" w:sz="8" w:color="CCEEFF"/>
              <w:bottom w:val="single" w:sz="8" w:color="auto"/>
            </w:tcBorders>
            <w:gridSpan w:val="2"/>
          </w:tcPr>
          <w:p>
            <w:pPr>
              <w:jc w:val="center"/>
              <w:ind w:right="1740"/>
              <w:spacing w:after="0"/>
              <w:rPr>
                <w:sz w:val="20"/>
                <w:szCs w:val="20"/>
                <w:color w:val="auto"/>
              </w:rPr>
            </w:pPr>
            <w:r>
              <w:rPr>
                <w:rFonts w:ascii="Times New Roman" w:cs="Times New Roman" w:eastAsia="Times New Roman" w:hAnsi="Times New Roman"/>
                <w:sz w:val="15"/>
                <w:szCs w:val="15"/>
                <w:color w:val="auto"/>
              </w:rPr>
              <w:t>F-133</w:t>
            </w:r>
          </w:p>
        </w:tc>
        <w:tc>
          <w:tcPr>
            <w:tcW w:w="28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58" w:right="319" w:bottom="1440" w:gutter="0" w:footer="0" w:header="0"/>
        </w:sectPr>
      </w:pPr>
    </w:p>
    <w:bookmarkStart w:id="269" w:name="page270"/>
    <w:bookmarkEnd w:id="269"/>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Independent Auditor’s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Audit Committee of the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SunPower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Fremont, California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Opinion</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We have audited the financial statements of Sunder Energy LLC (the Company), which comprise the balance sheets as of December 31, 2024 and 2023, and the related statements of operations, changes in member’s deficit, and cash flows for the years ended December 31, 2024 and 2023, and the related notes to the financial statements.</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In our opinion, the accompanying financial statements present fairly, in all material respects, the financial position of the Company as of December 31, 2024 and 2023, and the results of its operations and its cash flows for the years then ended in accordance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for Opinion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Substantial Doubt About the Company’s Ability to Continue as a Going Concern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accompanying financial statements have been prepared assuming that the Company will continue as a going concern. As described in Note 2 to the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Responsibilities of Management for the Financial Statements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5"/>
          <w:szCs w:val="15"/>
          <w:b w:val="1"/>
          <w:bCs w:val="1"/>
          <w:i w:val="1"/>
          <w:iCs w:val="1"/>
          <w:color w:val="auto"/>
        </w:rPr>
        <w:t>Auditor’s Responsibilities for the Audit of the Financial Statements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performing an audit in accordance with GAAS, we:</w:t>
      </w:r>
    </w:p>
    <w:p>
      <w:pPr>
        <w:spacing w:after="0" w:line="192" w:lineRule="exact"/>
        <w:rPr>
          <w:sz w:val="20"/>
          <w:szCs w:val="20"/>
          <w:color w:val="auto"/>
        </w:rPr>
      </w:pPr>
    </w:p>
    <w:p>
      <w:pPr>
        <w:ind w:left="540" w:hanging="276"/>
        <w:spacing w:after="0"/>
        <w:tabs>
          <w:tab w:leader="none" w:pos="5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Exercise professional judgment and maintain professional skepticism throughout the audit.</w:t>
      </w:r>
    </w:p>
    <w:p>
      <w:pPr>
        <w:spacing w:after="0" w:line="191"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the appropriateness of accounting policies used and the reasonableness of significant accounting estimates made by management, as well as evaluate the overall presentation of the financial statements.</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Conclude whether, in our judgment, there are conditions or events, considered in the aggregate, that raise substantial doubt about the Company’s ability to continue as a going concern for a reasonable period of time.</w:t>
      </w:r>
    </w:p>
    <w:p>
      <w:pPr>
        <w:spacing w:after="0" w:line="13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5"/>
          <w:szCs w:val="15"/>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BDO USA, P.C.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Atlanta, GA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January 9, 2026</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71" w:name="page272"/>
    <w:bookmarkEnd w:id="271"/>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SUNDER ENERGlY LLC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BALANCE SHEETS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2080" w:type="dxa"/>
            <w:vAlign w:val="bottom"/>
            <w:tcBorders>
              <w:bottom w:val="single" w:sz="8" w:color="auto"/>
            </w:tcBorders>
            <w:gridSpan w:val="4"/>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6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7"/>
        </w:trPr>
        <w:tc>
          <w:tcPr>
            <w:tcW w:w="8680" w:type="dxa"/>
            <w:vAlign w:val="bottom"/>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ASSETS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w:t>
            </w:r>
          </w:p>
        </w:tc>
        <w:tc>
          <w:tcPr>
            <w:tcW w:w="7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1,524</w:t>
            </w:r>
          </w:p>
        </w:tc>
        <w:tc>
          <w:tcPr>
            <w:tcW w:w="72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1,710</w:t>
            </w: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Restricted cash</w:t>
            </w:r>
          </w:p>
        </w:tc>
        <w:tc>
          <w:tcPr>
            <w:tcW w:w="7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2,018</w:t>
            </w:r>
          </w:p>
        </w:tc>
        <w:tc>
          <w:tcPr>
            <w:tcW w:w="72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receivable, net of allowance for credit losses of $588 and $54 as of December 31, 2024 and 2023, respectively</w:t>
            </w: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2,991</w:t>
            </w:r>
          </w:p>
        </w:tc>
        <w:tc>
          <w:tcPr>
            <w:tcW w:w="7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229</w:t>
            </w: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Due from related party</w:t>
            </w:r>
          </w:p>
        </w:tc>
        <w:tc>
          <w:tcPr>
            <w:tcW w:w="7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559</w:t>
            </w:r>
          </w:p>
        </w:tc>
        <w:tc>
          <w:tcPr>
            <w:tcW w:w="72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94</w:t>
            </w:r>
          </w:p>
        </w:tc>
      </w:tr>
      <w:tr>
        <w:trPr>
          <w:trHeight w:val="213"/>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6"/>
              </w:rPr>
              <w:t>13,508</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1,839</w:t>
            </w:r>
          </w:p>
        </w:tc>
      </w:tr>
      <w:tr>
        <w:trPr>
          <w:trHeight w:val="16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current assets</w:t>
            </w:r>
          </w:p>
        </w:tc>
        <w:tc>
          <w:tcPr>
            <w:tcW w:w="7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96"/>
              </w:rPr>
              <w:t>20,600</w:t>
            </w:r>
          </w:p>
        </w:tc>
        <w:tc>
          <w:tcPr>
            <w:tcW w:w="220" w:type="dxa"/>
            <w:vAlign w:val="bottom"/>
            <w:tcBorders>
              <w:top w:val="single" w:sz="8" w:color="CCEEFF"/>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3,872</w:t>
            </w:r>
          </w:p>
        </w:tc>
        <w:tc>
          <w:tcPr>
            <w:tcW w:w="100" w:type="dxa"/>
            <w:vAlign w:val="bottom"/>
            <w:tcBorders>
              <w:top w:val="single" w:sz="8" w:color="CCEEFF"/>
              <w:bottom w:val="single" w:sz="8" w:color="CCEEFF"/>
            </w:tcBorders>
          </w:tcPr>
          <w:p>
            <w:pPr>
              <w:spacing w:after="0"/>
              <w:rPr>
                <w:sz w:val="14"/>
                <w:szCs w:val="14"/>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7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397</w:t>
            </w:r>
          </w:p>
        </w:tc>
        <w:tc>
          <w:tcPr>
            <w:tcW w:w="72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506</w:t>
            </w: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233</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250</w:t>
            </w:r>
          </w:p>
        </w:tc>
      </w:tr>
      <w:tr>
        <w:trPr>
          <w:trHeight w:val="20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assets</w:t>
            </w:r>
          </w:p>
        </w:tc>
        <w:tc>
          <w:tcPr>
            <w:tcW w:w="72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96"/>
              </w:rPr>
              <w:t>21,528</w:t>
            </w:r>
          </w:p>
        </w:tc>
        <w:tc>
          <w:tcPr>
            <w:tcW w:w="2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6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4,977</w:t>
            </w:r>
          </w:p>
        </w:tc>
        <w:tc>
          <w:tcPr>
            <w:tcW w:w="100" w:type="dxa"/>
            <w:vAlign w:val="bottom"/>
            <w:tcBorders>
              <w:top w:val="single" w:sz="8" w:color="CCEEFF"/>
              <w:bottom w:val="single" w:sz="8" w:color="CCEEFF"/>
            </w:tcBorders>
          </w:tcPr>
          <w:p>
            <w:pPr>
              <w:spacing w:after="0"/>
              <w:rPr>
                <w:sz w:val="18"/>
                <w:szCs w:val="18"/>
                <w:color w:val="auto"/>
              </w:rPr>
            </w:pPr>
          </w:p>
        </w:tc>
      </w:tr>
      <w:tr>
        <w:trPr>
          <w:trHeight w:val="17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MEMBER’S DEFICIT</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72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1,402</w:t>
            </w:r>
          </w:p>
        </w:tc>
        <w:tc>
          <w:tcPr>
            <w:tcW w:w="72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3,487</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7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6,511</w:t>
            </w:r>
          </w:p>
        </w:tc>
        <w:tc>
          <w:tcPr>
            <w:tcW w:w="7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255</w:t>
            </w:r>
          </w:p>
        </w:tc>
      </w:tr>
      <w:tr>
        <w:trPr>
          <w:trHeight w:val="182"/>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Line of credit payable</w:t>
            </w:r>
          </w:p>
        </w:tc>
        <w:tc>
          <w:tcPr>
            <w:tcW w:w="7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2,250</w:t>
            </w:r>
          </w:p>
        </w:tc>
        <w:tc>
          <w:tcPr>
            <w:tcW w:w="7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2,000</w:t>
            </w:r>
          </w:p>
        </w:tc>
      </w:tr>
      <w:tr>
        <w:trPr>
          <w:trHeight w:val="182"/>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Contract liabilities</w:t>
            </w:r>
          </w:p>
        </w:tc>
        <w:tc>
          <w:tcPr>
            <w:tcW w:w="7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6"/>
              </w:rPr>
              <w:t>17,231</w:t>
            </w:r>
          </w:p>
        </w:tc>
        <w:tc>
          <w:tcPr>
            <w:tcW w:w="72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2,381</w:t>
            </w:r>
          </w:p>
        </w:tc>
      </w:tr>
      <w:tr>
        <w:trPr>
          <w:trHeight w:val="213"/>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 liabilities, current portion</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119</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108</w:t>
            </w:r>
          </w:p>
        </w:tc>
      </w:tr>
      <w:tr>
        <w:trPr>
          <w:trHeight w:val="16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current liabilities</w:t>
            </w:r>
          </w:p>
        </w:tc>
        <w:tc>
          <w:tcPr>
            <w:tcW w:w="7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96"/>
              </w:rPr>
              <w:t>27,513</w:t>
            </w:r>
          </w:p>
        </w:tc>
        <w:tc>
          <w:tcPr>
            <w:tcW w:w="220" w:type="dxa"/>
            <w:vAlign w:val="bottom"/>
            <w:tcBorders>
              <w:top w:val="single" w:sz="8" w:color="CCEEFF"/>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8,231</w:t>
            </w:r>
          </w:p>
        </w:tc>
        <w:tc>
          <w:tcPr>
            <w:tcW w:w="100" w:type="dxa"/>
            <w:vAlign w:val="bottom"/>
            <w:tcBorders>
              <w:top w:val="single" w:sz="8" w:color="CCEEFF"/>
              <w:bottom w:val="single" w:sz="8" w:color="CCEEFF"/>
            </w:tcBorders>
          </w:tcPr>
          <w:p>
            <w:pPr>
              <w:spacing w:after="0"/>
              <w:rPr>
                <w:sz w:val="14"/>
                <w:szCs w:val="14"/>
                <w:color w:val="auto"/>
              </w:rPr>
            </w:pPr>
          </w:p>
        </w:tc>
      </w:tr>
      <w:tr>
        <w:trPr>
          <w:trHeight w:val="20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68"/>
        </w:trPr>
        <w:tc>
          <w:tcPr>
            <w:tcW w:w="868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liabilities</w:t>
            </w: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96"/>
              </w:rPr>
              <w:t>27,815</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8,652</w:t>
            </w:r>
          </w:p>
        </w:tc>
        <w:tc>
          <w:tcPr>
            <w:tcW w:w="100" w:type="dxa"/>
            <w:vAlign w:val="bottom"/>
            <w:tcBorders>
              <w:bottom w:val="single" w:sz="8" w:color="CCEEFF"/>
            </w:tcBorders>
          </w:tcPr>
          <w:p>
            <w:pPr>
              <w:spacing w:after="0"/>
              <w:rPr>
                <w:sz w:val="14"/>
                <w:szCs w:val="14"/>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Commitments and Contingencies (Note 12)</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Member’s deficit</w:t>
            </w:r>
          </w:p>
        </w:tc>
        <w:tc>
          <w:tcPr>
            <w:tcW w:w="72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(6,287)</w:t>
            </w:r>
          </w:p>
        </w:tc>
        <w:tc>
          <w:tcPr>
            <w:tcW w:w="7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95"/>
              </w:rPr>
              <w:t>(3,675)</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 and member’s deficit</w:t>
            </w:r>
          </w:p>
        </w:tc>
        <w:tc>
          <w:tcPr>
            <w:tcW w:w="72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21,528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72" w:name="page273"/>
    <w:bookmarkEnd w:id="272"/>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SUNDER ENERGY LLC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STATEMENTS OF OPERATIONS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6"/>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r>
      <w:tr>
        <w:trPr>
          <w:trHeight w:val="196"/>
        </w:trPr>
        <w:tc>
          <w:tcPr>
            <w:tcW w:w="86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44,293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56,928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Sales commissions</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37,554</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46,815</w:t>
            </w: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Sales and marketing</w:t>
            </w:r>
          </w:p>
        </w:tc>
        <w:tc>
          <w:tcPr>
            <w:tcW w:w="220" w:type="dxa"/>
            <w:vAlign w:val="bottom"/>
          </w:tcPr>
          <w:p>
            <w:pPr>
              <w:spacing w:after="0"/>
              <w:rPr>
                <w:sz w:val="15"/>
                <w:szCs w:val="15"/>
                <w:color w:val="auto"/>
              </w:rPr>
            </w:pPr>
          </w:p>
        </w:tc>
        <w:tc>
          <w:tcPr>
            <w:tcW w:w="114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1,170</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989</w:t>
            </w:r>
          </w:p>
        </w:tc>
        <w:tc>
          <w:tcPr>
            <w:tcW w:w="80" w:type="dxa"/>
            <w:vAlign w:val="bottom"/>
          </w:tcPr>
          <w:p>
            <w:pPr>
              <w:spacing w:after="0"/>
              <w:rPr>
                <w:sz w:val="15"/>
                <w:szCs w:val="15"/>
                <w:color w:val="auto"/>
              </w:rPr>
            </w:pPr>
          </w:p>
        </w:tc>
      </w:tr>
      <w:tr>
        <w:trPr>
          <w:trHeight w:val="213"/>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16,146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15,851</w:t>
            </w:r>
          </w:p>
        </w:tc>
        <w:tc>
          <w:tcPr>
            <w:tcW w:w="80" w:type="dxa"/>
            <w:vAlign w:val="bottom"/>
            <w:shd w:val="clear" w:color="auto" w:fill="CCEEFF"/>
          </w:tcPr>
          <w:p>
            <w:pPr>
              <w:spacing w:after="0"/>
              <w:rPr>
                <w:sz w:val="18"/>
                <w:szCs w:val="18"/>
                <w:color w:val="auto"/>
              </w:rPr>
            </w:pPr>
          </w:p>
        </w:tc>
      </w:tr>
      <w:tr>
        <w:trPr>
          <w:trHeight w:val="16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operating expenses</w:t>
            </w: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54,870</w:t>
            </w:r>
          </w:p>
        </w:tc>
        <w:tc>
          <w:tcPr>
            <w:tcW w:w="22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63,655</w:t>
            </w:r>
          </w:p>
        </w:tc>
        <w:tc>
          <w:tcPr>
            <w:tcW w:w="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r>
      <w:tr>
        <w:trPr>
          <w:trHeight w:val="20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(10,577</w:t>
            </w:r>
          </w:p>
        </w:tc>
        <w:tc>
          <w:tcPr>
            <w:tcW w:w="2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(6,727</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65"/>
        </w:trPr>
        <w:tc>
          <w:tcPr>
            <w:tcW w:w="86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Interest expense</w:t>
            </w:r>
          </w:p>
        </w:tc>
        <w:tc>
          <w:tcPr>
            <w:tcW w:w="220" w:type="dxa"/>
            <w:vAlign w:val="bottom"/>
          </w:tcPr>
          <w:p>
            <w:pPr>
              <w:spacing w:after="0"/>
              <w:rPr>
                <w:sz w:val="14"/>
                <w:szCs w:val="14"/>
                <w:color w:val="auto"/>
              </w:rPr>
            </w:pPr>
          </w:p>
        </w:tc>
        <w:tc>
          <w:tcPr>
            <w:tcW w:w="9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(180)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(18)</w:t>
            </w:r>
          </w:p>
        </w:tc>
        <w:tc>
          <w:tcPr>
            <w:tcW w:w="100" w:type="dxa"/>
            <w:vAlign w:val="bottom"/>
            <w:gridSpan w:val="2"/>
          </w:tcPr>
          <w:p>
            <w:pPr>
              <w:spacing w:after="0"/>
              <w:rPr>
                <w:sz w:val="14"/>
                <w:szCs w:val="14"/>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18</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220" w:type="dxa"/>
            <w:vAlign w:val="bottom"/>
          </w:tcPr>
          <w:p>
            <w:pPr>
              <w:spacing w:after="0"/>
              <w:rPr>
                <w:sz w:val="17"/>
                <w:szCs w:val="17"/>
                <w:color w:val="auto"/>
              </w:rPr>
            </w:pPr>
          </w:p>
        </w:tc>
        <w:tc>
          <w:tcPr>
            <w:tcW w:w="114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4,525</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r>
      <w:tr>
        <w:trPr>
          <w:trHeight w:val="202"/>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68"/>
        </w:trPr>
        <w:tc>
          <w:tcPr>
            <w:tcW w:w="868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Loss from continuing operations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(6,214</w:t>
            </w:r>
          </w:p>
        </w:tc>
        <w:tc>
          <w:tcPr>
            <w:tcW w:w="220" w:type="dxa"/>
            <w:vAlign w:val="bottom"/>
            <w:tcBorders>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(6,743</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discontinued operations</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68"/>
        </w:trPr>
        <w:tc>
          <w:tcPr>
            <w:tcW w:w="86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Net loss</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(6,214</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(6,803</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280" w:type="dxa"/>
            <w:vAlign w:val="bottom"/>
            <w:gridSpan w:val="2"/>
          </w:tcPr>
          <w:p>
            <w:pPr>
              <w:jc w:val="center"/>
              <w:ind w:right="2264"/>
              <w:spacing w:after="0"/>
              <w:rPr>
                <w:sz w:val="20"/>
                <w:szCs w:val="20"/>
                <w:color w:val="auto"/>
              </w:rPr>
            </w:pPr>
            <w:r>
              <w:rPr>
                <w:rFonts w:ascii="Times New Roman" w:cs="Times New Roman" w:eastAsia="Times New Roman" w:hAnsi="Times New Roman"/>
                <w:sz w:val="15"/>
                <w:szCs w:val="15"/>
                <w:b w:val="1"/>
                <w:bCs w:val="1"/>
                <w:color w:val="auto"/>
              </w:rPr>
              <w:t>SUNDER ENERGY LLC</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280" w:type="dxa"/>
            <w:vAlign w:val="bottom"/>
            <w:gridSpan w:val="2"/>
          </w:tcPr>
          <w:p>
            <w:pPr>
              <w:jc w:val="center"/>
              <w:ind w:right="2284"/>
              <w:spacing w:after="0"/>
              <w:rPr>
                <w:sz w:val="20"/>
                <w:szCs w:val="20"/>
                <w:color w:val="auto"/>
              </w:rPr>
            </w:pPr>
            <w:r>
              <w:rPr>
                <w:rFonts w:ascii="Times New Roman" w:cs="Times New Roman" w:eastAsia="Times New Roman" w:hAnsi="Times New Roman"/>
                <w:sz w:val="15"/>
                <w:szCs w:val="15"/>
                <w:b w:val="1"/>
                <w:bCs w:val="1"/>
                <w:color w:val="auto"/>
              </w:rPr>
              <w:t>STATEMENTS OF CHANGES IN MEMBER’S DEFICIT</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7280" w:type="dxa"/>
            <w:vAlign w:val="bottom"/>
            <w:gridSpan w:val="2"/>
          </w:tcPr>
          <w:p>
            <w:pPr>
              <w:jc w:val="center"/>
              <w:ind w:right="2264"/>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 equity as of January 1, 2023</w:t>
            </w:r>
          </w:p>
        </w:tc>
        <w:tc>
          <w:tcPr>
            <w:tcW w:w="72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6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(6,803)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6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(3,202)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4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Member’s deficit as of December 31, 2023</w:t>
            </w:r>
          </w:p>
        </w:tc>
        <w:tc>
          <w:tcPr>
            <w:tcW w:w="6860" w:type="dxa"/>
            <w:vAlign w:val="bottom"/>
            <w:tcBorders>
              <w:top w:val="single" w:sz="8" w:color="CCEEFF"/>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(3,675</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w:t>
            </w:r>
          </w:p>
        </w:tc>
        <w:tc>
          <w:tcPr>
            <w:tcW w:w="10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Capital contribution</w:t>
            </w:r>
          </w:p>
        </w:tc>
        <w:tc>
          <w:tcPr>
            <w:tcW w:w="6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Distributions</w:t>
            </w:r>
          </w:p>
        </w:tc>
        <w:tc>
          <w:tcPr>
            <w:tcW w:w="6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(457)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4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Member’s deficit as of December 31, 2024</w:t>
            </w:r>
          </w:p>
        </w:tc>
        <w:tc>
          <w:tcPr>
            <w:tcW w:w="686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jc w:val="right"/>
              <w:ind w:right="26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(6,287</w:t>
            </w:r>
          </w:p>
        </w:tc>
        <w:tc>
          <w:tcPr>
            <w:tcW w:w="1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74" w:name="page275"/>
    <w:bookmarkEnd w:id="27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SUNDER ENERGY LLC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STATEMENTS OF CASH FLOWS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173"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5"/>
          <w:szCs w:val="15"/>
          <w:b w:val="1"/>
          <w:bCs w:val="1"/>
          <w:color w:val="auto"/>
        </w:rPr>
        <w:t>Years Ended</w:t>
      </w:r>
    </w:p>
    <w:p>
      <w:pPr>
        <w:spacing w:after="0" w:line="29"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 from continuing operations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(6,214)</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(6,803)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Net loss from discontinued operations, net of tax</w:t>
            </w:r>
          </w:p>
        </w:tc>
        <w:tc>
          <w:tcPr>
            <w:tcW w:w="240" w:type="dxa"/>
            <w:vAlign w:val="bottom"/>
          </w:tcPr>
          <w:p>
            <w:pPr>
              <w:spacing w:after="0"/>
              <w:rPr>
                <w:sz w:val="17"/>
                <w:szCs w:val="17"/>
                <w:color w:val="auto"/>
              </w:rPr>
            </w:pPr>
          </w:p>
        </w:tc>
        <w:tc>
          <w:tcPr>
            <w:tcW w:w="11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from continuing operations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(6,743</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Adjustments to reconcile net loss from continuing operations to net cash from operating activities: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79</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240" w:type="dxa"/>
            <w:vAlign w:val="bottom"/>
          </w:tcPr>
          <w:p>
            <w:pPr>
              <w:spacing w:after="0"/>
              <w:rPr>
                <w:sz w:val="15"/>
                <w:szCs w:val="15"/>
                <w:color w:val="auto"/>
              </w:rPr>
            </w:pPr>
          </w:p>
        </w:tc>
        <w:tc>
          <w:tcPr>
            <w:tcW w:w="11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1,759</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3,677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Amortization of operating lease right-of-use asset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109</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Trade accounts receivable</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(4,521)</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Due from related party</w:t>
            </w:r>
          </w:p>
        </w:tc>
        <w:tc>
          <w:tcPr>
            <w:tcW w:w="240" w:type="dxa"/>
            <w:vAlign w:val="bottom"/>
          </w:tcPr>
          <w:p>
            <w:pPr>
              <w:spacing w:after="0"/>
              <w:rPr>
                <w:sz w:val="15"/>
                <w:szCs w:val="15"/>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(465)</w:t>
            </w:r>
          </w:p>
        </w:tc>
        <w:tc>
          <w:tcPr>
            <w:tcW w:w="240" w:type="dxa"/>
            <w:vAlign w:val="bottom"/>
          </w:tcPr>
          <w:p>
            <w:pPr>
              <w:spacing w:after="0"/>
              <w:rPr>
                <w:sz w:val="15"/>
                <w:szCs w:val="15"/>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(11,669)</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(1,022)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noncurrent assets</w:t>
            </w:r>
          </w:p>
        </w:tc>
        <w:tc>
          <w:tcPr>
            <w:tcW w:w="240" w:type="dxa"/>
            <w:vAlign w:val="bottom"/>
          </w:tcPr>
          <w:p>
            <w:pPr>
              <w:spacing w:after="0"/>
              <w:rPr>
                <w:sz w:val="15"/>
                <w:szCs w:val="15"/>
                <w:color w:val="auto"/>
              </w:rPr>
            </w:pPr>
          </w:p>
        </w:tc>
        <w:tc>
          <w:tcPr>
            <w:tcW w:w="11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17</w:t>
            </w:r>
          </w:p>
        </w:tc>
        <w:tc>
          <w:tcPr>
            <w:tcW w:w="240" w:type="dxa"/>
            <w:vAlign w:val="bottom"/>
          </w:tcPr>
          <w:p>
            <w:pPr>
              <w:spacing w:after="0"/>
              <w:rPr>
                <w:sz w:val="15"/>
                <w:szCs w:val="15"/>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(2,085)</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3,380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Accrued expenses</w:t>
            </w:r>
          </w:p>
        </w:tc>
        <w:tc>
          <w:tcPr>
            <w:tcW w:w="240" w:type="dxa"/>
            <w:vAlign w:val="bottom"/>
          </w:tcPr>
          <w:p>
            <w:pPr>
              <w:spacing w:after="0"/>
              <w:rPr>
                <w:sz w:val="15"/>
                <w:szCs w:val="15"/>
                <w:color w:val="auto"/>
              </w:rPr>
            </w:pPr>
          </w:p>
        </w:tc>
        <w:tc>
          <w:tcPr>
            <w:tcW w:w="11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6,256</w:t>
            </w:r>
          </w:p>
        </w:tc>
        <w:tc>
          <w:tcPr>
            <w:tcW w:w="240" w:type="dxa"/>
            <w:vAlign w:val="bottom"/>
          </w:tcPr>
          <w:p>
            <w:pPr>
              <w:spacing w:after="0"/>
              <w:rPr>
                <w:sz w:val="15"/>
                <w:szCs w:val="15"/>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(1,125)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Contract liabilities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14,850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2,381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Operating lease liability</w:t>
            </w:r>
          </w:p>
        </w:tc>
        <w:tc>
          <w:tcPr>
            <w:tcW w:w="240" w:type="dxa"/>
            <w:vAlign w:val="bottom"/>
          </w:tcPr>
          <w:p>
            <w:pPr>
              <w:spacing w:after="0"/>
              <w:rPr>
                <w:sz w:val="17"/>
                <w:szCs w:val="17"/>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(108)</w:t>
            </w:r>
          </w:p>
        </w:tc>
        <w:tc>
          <w:tcPr>
            <w:tcW w:w="240" w:type="dxa"/>
            <w:vAlign w:val="bottom"/>
          </w:tcPr>
          <w:p>
            <w:pPr>
              <w:spacing w:after="0"/>
              <w:rPr>
                <w:sz w:val="17"/>
                <w:szCs w:val="17"/>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provided by operating activities from continuing operations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(1,992</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purchase of property and equipment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cash used in investing activities from continuing operations</w:t>
            </w: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(28</w:t>
            </w:r>
          </w:p>
        </w:tc>
        <w:tc>
          <w:tcPr>
            <w:tcW w:w="220" w:type="dxa"/>
            <w:vAlign w:val="bottom"/>
            <w:tcBorders>
              <w:top w:val="single" w:sz="8" w:color="CCEEFF"/>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(338</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Cash distribution to member</w:t>
            </w:r>
          </w:p>
        </w:tc>
        <w:tc>
          <w:tcPr>
            <w:tcW w:w="240" w:type="dxa"/>
            <w:vAlign w:val="bottom"/>
          </w:tcPr>
          <w:p>
            <w:pPr>
              <w:spacing w:after="0"/>
              <w:rPr>
                <w:sz w:val="15"/>
                <w:szCs w:val="15"/>
                <w:color w:val="auto"/>
              </w:rPr>
            </w:pPr>
          </w:p>
        </w:tc>
        <w:tc>
          <w:tcPr>
            <w:tcW w:w="112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(457)</w:t>
            </w:r>
          </w:p>
        </w:tc>
        <w:tc>
          <w:tcPr>
            <w:tcW w:w="240" w:type="dxa"/>
            <w:vAlign w:val="bottom"/>
          </w:tcPr>
          <w:p>
            <w:pPr>
              <w:spacing w:after="0"/>
              <w:rPr>
                <w:sz w:val="15"/>
                <w:szCs w:val="15"/>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(3,202)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contributions from member</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4,059</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Borrowings on the line of credit</w:t>
            </w:r>
          </w:p>
        </w:tc>
        <w:tc>
          <w:tcPr>
            <w:tcW w:w="240" w:type="dxa"/>
            <w:vAlign w:val="bottom"/>
          </w:tcPr>
          <w:p>
            <w:pPr>
              <w:spacing w:after="0"/>
              <w:rPr>
                <w:sz w:val="15"/>
                <w:szCs w:val="15"/>
                <w:color w:val="auto"/>
              </w:rPr>
            </w:pPr>
          </w:p>
        </w:tc>
        <w:tc>
          <w:tcPr>
            <w:tcW w:w="11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500</w:t>
            </w:r>
          </w:p>
        </w:tc>
        <w:tc>
          <w:tcPr>
            <w:tcW w:w="240" w:type="dxa"/>
            <w:vAlign w:val="bottom"/>
          </w:tcPr>
          <w:p>
            <w:pPr>
              <w:spacing w:after="0"/>
              <w:rPr>
                <w:sz w:val="15"/>
                <w:szCs w:val="15"/>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Repayments on the line of credit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cash provided by (used in) financing activities from continuing operations</w:t>
            </w: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3,852</w:t>
            </w:r>
          </w:p>
        </w:tc>
        <w:tc>
          <w:tcPr>
            <w:tcW w:w="22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(1,202</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cash</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(1,022</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Cash and restricted cash beginning of year</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1,710</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2,732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restricted cash end of year</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3,542</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1,524</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1,710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40" w:type="dxa"/>
            <w:vAlign w:val="bottom"/>
          </w:tcPr>
          <w:p>
            <w:pPr>
              <w:spacing w:after="0"/>
              <w:rPr>
                <w:sz w:val="17"/>
                <w:szCs w:val="17"/>
                <w:color w:val="auto"/>
              </w:rPr>
            </w:pPr>
          </w:p>
        </w:tc>
        <w:tc>
          <w:tcPr>
            <w:tcW w:w="11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2,018</w:t>
            </w:r>
          </w:p>
        </w:tc>
        <w:tc>
          <w:tcPr>
            <w:tcW w:w="240" w:type="dxa"/>
            <w:vAlign w:val="bottom"/>
          </w:tcPr>
          <w:p>
            <w:pPr>
              <w:spacing w:after="0"/>
              <w:rPr>
                <w:sz w:val="17"/>
                <w:szCs w:val="17"/>
                <w:color w:val="auto"/>
              </w:rPr>
            </w:pP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cash and restricted cash</w:t>
            </w: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8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Non-cash investing activities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 acquired in exchange for operating lease liability</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609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Cash paid for interest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152</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5"/>
          <w:szCs w:val="15"/>
          <w:b w:val="1"/>
          <w:bCs w:val="1"/>
          <w:color w:val="auto"/>
        </w:rPr>
        <w:t>SUNDER ENERGY LLC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Notes to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(Dollars in thousands except per share amounts)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 </w:t>
      </w:r>
      <w:r>
        <w:rPr>
          <w:rFonts w:ascii="Times New Roman" w:cs="Times New Roman" w:eastAsia="Times New Roman" w:hAnsi="Times New Roman"/>
          <w:sz w:val="15"/>
          <w:szCs w:val="15"/>
          <w:b w:val="1"/>
          <w:bCs w:val="1"/>
          <w:i w:val="1"/>
          <w:iCs w:val="1"/>
          <w:color w:val="auto"/>
        </w:rPr>
        <w:t>BUSINESS AND ORGANIZATION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Description of Business and Organization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In 2023, the Company began selling internally developed software as a service (“SaaS”). On October 20, 2023, the Company spun off the internally developed software assets into a separate entity under common ownership. The Company accounted for these activities as discontinued operations within its financial statements for the year ended December 31,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financial statements and accompanying notes have been prepared in accordance with generally accepted accounting principles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of Significant Accounting Policies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Management Estimates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Company’s financial instruments that may be exposed to concentrations of credit risk consist primarily of temporary cash investments and trade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 For the year ended December 31, 2024, the Company earned virtually all of its revenue from solar installation companies. Customer A, Customer B and Customer C accounted for 23%, 15%, and 10%, respectively, of the Company’s revenue for the year ended December 31, 2024. For part of the year ended December 31, 2023, the Company’s sales force worked exclusively with one solar installation company. The exclusive agreement, originally expiring in August 2024, was terminated on September 30, 2023. For the year ended December 31, 2023, 99% of total revenues was earned from this installation company. As of December 31, 2024, Customer D and Customer E accounted for 50% and 12%, respectively, of the Company’s trade accounts receivable. As of December 31, 2023, there were no trade accounts receivable concentrations.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Cash</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Restricted cash represents cash balances that are subject to contractual restrictions related to the Company’s litigation financing agreement. Restricted cash is included with cash when reconciling beginning and ending balances on the Statements of Cash Flows and is classified as current on the Balance Sheets based on the expected timing of its use.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 Net</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Due from Related Party</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Due from related party represents a loan receivable from Enzy Technologies LLC (“Enzy”) an entity related to the Company by common ownership. The Company collected revenues for Enzy and paid certain shared expenses for Enzy’s benefit.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Prepaid expenses and Other Current Assets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 net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statements of operations.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Short-term leases with an initial term of 12 months or less (of which there were none during the years ended December 31, 2024 and 2023) are not recorded on the balance sheets, and related lease payments are expensed on a straight-line basis over the term of the lease.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Noncurrent Assets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noncurrent assets represent a security deposit for the operating lease, noncurrent prepaid expenses, and bonus install commitments.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Liabilities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Contract liabilities consist of deferred revenue and customer advances, which represent consideration received from a customer for revenue not yet recognized. Through October 2023, such consideration was accounted as contract liabilities prior to having the project installed. Thereafter, such consideration was accounted for as contract liabilities prior to achieving permission to operate (“PTO”).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 earns sales revenue based on residential solar installation contracts for residential homeowners that are sold to installation companies in accordance with the Company’s contracts with those installation companies (the “Customer”). Through October 2023, upon entering into a sales contract, the requisite performance obligation of the Company was to assist the customer in the progress of the installation. Subsequent to October 2023,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78" w:name="page279"/>
    <w:bookmarkEnd w:id="278"/>
    <w:p>
      <w:pPr>
        <w:jc w:val="both"/>
        <w:spacing w:after="0" w:line="273" w:lineRule="auto"/>
        <w:rPr>
          <w:sz w:val="20"/>
          <w:szCs w:val="20"/>
          <w:color w:val="auto"/>
        </w:rPr>
      </w:pPr>
      <w:r>
        <w:rPr>
          <w:rFonts w:ascii="Times New Roman" w:cs="Times New Roman" w:eastAsia="Times New Roman" w:hAnsi="Times New Roman"/>
          <w:sz w:val="15"/>
          <w:szCs w:val="15"/>
          <w:color w:val="auto"/>
        </w:rPr>
        <w:t xml:space="preserve">For the year ended December 31, 2023, the Company also had revenue from the sale of software as a service (these operations were discontinued, See Note 14 – </w:t>
      </w:r>
      <w:r>
        <w:rPr>
          <w:rFonts w:ascii="Times New Roman" w:cs="Times New Roman" w:eastAsia="Times New Roman" w:hAnsi="Times New Roman"/>
          <w:sz w:val="15"/>
          <w:szCs w:val="15"/>
          <w:i w:val="1"/>
          <w:iCs w:val="1"/>
          <w:color w:val="auto"/>
        </w:rPr>
        <w:t>Discontinued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Operations</w:t>
      </w:r>
      <w:r>
        <w:rPr>
          <w:rFonts w:ascii="Times New Roman" w:cs="Times New Roman" w:eastAsia="Times New Roman" w:hAnsi="Times New Roman"/>
          <w:sz w:val="15"/>
          <w:szCs w:val="15"/>
          <w:color w:val="auto"/>
        </w:rPr>
        <w:t>). This revenue is considered earned by the Company based on the contract period and is recognized over time. For the year ended December 31, 2023, the Company had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gross revenue of $321 that was earned over time. Because of the spin off, there was no further revenue earned for the sale of software as a service for the year ended December 31, 2024.</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 does not have any significant financing components. Due to being a service provider, the Company is not obligated to warranty installed systems and therefore the Company has not recorded a reserve for warranty work.</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Contract liabilities as of December 31, 2024 and 2023 consist of deferred revenue of $17,231 and $2,381, respectively. The deferred revenue balance increased $14,850 from December 31, 2023 to December 31, 2024 primarily due to the Company’s transition to a new business model following the termination of its partnership with Freedom Forever LLC at the end of September 2023. Revenue for the year ended December 31, 2024 that was included in the contract liability balance at the beginning of the period was approximately $2,020.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Company’s income is passed through to the members for income tax purposes and therefore, no provision for federal and state income taxes has been provided for in these statements.</w:t>
      </w:r>
    </w:p>
    <w:p>
      <w:pPr>
        <w:spacing w:after="0" w:line="35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Promotions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All costs associated with advertising and promotions are expensed in the year incurred. Advertising and promotions expense totaled $1,393 and $1,791 for the years ended December 31, 2024 and 2023,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Member Ownership Interest and Limited Liability of Member</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Prior to October 30, 2023, ownership interest in the Company consisted of multiple members. On October 30, 2023, the members of the Company (consisting of common and incentive unit holders) executed multiple simultaneous actions to effectuate the transfer of their interests in the Company from themselves to a new entity, Chicken Parm Pizza LLC (“CPP”). Among these actions was to create the new entity, CPP, with a membership structure that mirrored the Company’s membership structure. Additionally, the Company’s members unanimously consented to the transfer of their interests in the Company from themselves to CPP. Finally, each unit holder executed a “Unit Transfer Power” agreement in which they transferred their personal units in the Company to CPP. Upon completion of the transfer of their interests, CPP became the sole member of Sunder.</w:t>
      </w:r>
    </w:p>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rights and obligations of Chicken Parm Pizza, LLC as the sole member (“Parent”, “Sole Member” or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spacing w:after="0" w:line="14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 xml:space="preserve">The Company also entered into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 w:cs="Times New Roman" w:eastAsia="Times New Roman" w:hAnsi="Times New Roman"/>
          <w:sz w:val="15"/>
          <w:szCs w:val="15"/>
          <w:i w:val="1"/>
          <w:iCs w:val="1"/>
          <w:color w:val="auto"/>
        </w:rPr>
        <w:t>Compensation—Stock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2. </w:t>
      </w:r>
      <w:r>
        <w:rPr>
          <w:rFonts w:ascii="Times New Roman" w:cs="Times New Roman" w:eastAsia="Times New Roman" w:hAnsi="Times New Roman"/>
          <w:sz w:val="15"/>
          <w:szCs w:val="15"/>
          <w:b w:val="1"/>
          <w:bCs w:val="1"/>
          <w:i w:val="1"/>
          <w:iCs w:val="1"/>
          <w:color w:val="auto"/>
        </w:rPr>
        <w:t>GOING CONCERN AND SALE OF COMPANY</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Management of the Company has assessed the Company’s liquidity position. As of December 31, 2024, the Company has incurred net losses for the past two years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Therefore, there is substantial doubt about the Company’s ability to continue as a going concern within one year after the date that the unaudited financial statements are issued. The accompanying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15 – </w:t>
      </w:r>
      <w:r>
        <w:rPr>
          <w:rFonts w:ascii="Times New Roman" w:cs="Times New Roman" w:eastAsia="Times New Roman" w:hAnsi="Times New Roman"/>
          <w:sz w:val="15"/>
          <w:szCs w:val="15"/>
          <w:i w:val="1"/>
          <w:iCs w:val="1"/>
          <w:color w:val="auto"/>
        </w:rPr>
        <w:t>Subsequent Events</w:t>
      </w:r>
      <w:r>
        <w:rPr>
          <w:rFonts w:ascii="Times New Roman" w:cs="Times New Roman" w:eastAsia="Times New Roman" w:hAnsi="Times New Roman"/>
          <w:sz w:val="15"/>
          <w:szCs w:val="15"/>
          <w:color w:val="auto"/>
        </w:rPr>
        <w:t>, for a further discussion of the sale of the Company.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201"/>
        </w:trPr>
        <w:tc>
          <w:tcPr>
            <w:tcW w:w="4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Note 3. </w:t>
            </w:r>
            <w:r>
              <w:rPr>
                <w:rFonts w:ascii="Times New Roman" w:cs="Times New Roman" w:eastAsia="Times New Roman" w:hAnsi="Times New Roman"/>
                <w:sz w:val="15"/>
                <w:szCs w:val="15"/>
                <w:b w:val="1"/>
                <w:bCs w:val="1"/>
                <w:i w:val="1"/>
                <w:iCs w:val="1"/>
                <w:color w:val="auto"/>
              </w:rPr>
              <w:t>ACCOUNTS RECEIVABLE, NET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4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Amounts comprising accounts receivable, net are as follows: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7"/>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 accounts receivable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(286)</w:t>
            </w:r>
          </w:p>
        </w:tc>
        <w:tc>
          <w:tcPr>
            <w:tcW w:w="24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 accounts receivable, net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Contractor advances receivable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786</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Transaction fee receivable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Commissions overpayment receivable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1,574</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(302)</w:t>
            </w:r>
          </w:p>
        </w:tc>
        <w:tc>
          <w:tcPr>
            <w:tcW w:w="24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due from sales representatives</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Total accounts receivable, net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2,991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Note 4. ALLOWANCE FOR CREDIT LOSSES</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840" w:type="dxa"/>
            <w:vAlign w:val="bottom"/>
            <w:gridSpan w:val="13"/>
          </w:tcPr>
          <w:p>
            <w:pPr>
              <w:spacing w:after="0"/>
              <w:rPr>
                <w:sz w:val="20"/>
                <w:szCs w:val="20"/>
                <w:color w:val="auto"/>
              </w:rPr>
            </w:pPr>
            <w:r>
              <w:rPr>
                <w:rFonts w:ascii="Times New Roman" w:cs="Times New Roman" w:eastAsia="Times New Roman" w:hAnsi="Times New Roman"/>
                <w:sz w:val="15"/>
                <w:szCs w:val="15"/>
                <w:color w:val="auto"/>
              </w:rPr>
              <w:t>The allowance for credit losses for receivables by portfolio segment and the related activity for the year ended December 31, 2024 are as follows</w:t>
            </w:r>
            <w:r>
              <w:rPr>
                <w:rFonts w:ascii="Times New Roman" w:cs="Times New Roman" w:eastAsia="Times New Roman" w:hAnsi="Times New Roman"/>
                <w:sz w:val="15"/>
                <w:szCs w:val="15"/>
                <w:i w:val="1"/>
                <w:iCs w:val="1"/>
                <w:color w:val="auto"/>
              </w:rPr>
              <w:t>:</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0"/>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As of and for the year ended December 31, 2024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80"/>
              <w:spacing w:after="0" w:line="164" w:lineRule="exact"/>
              <w:rPr>
                <w:sz w:val="20"/>
                <w:szCs w:val="20"/>
                <w:color w:val="auto"/>
              </w:rPr>
            </w:pPr>
            <w:r>
              <w:rPr>
                <w:rFonts w:ascii="Times New Roman" w:cs="Times New Roman" w:eastAsia="Times New Roman" w:hAnsi="Times New Roman"/>
                <w:sz w:val="15"/>
                <w:szCs w:val="15"/>
                <w:b w:val="1"/>
                <w:bCs w:val="1"/>
                <w:color w:val="auto"/>
              </w:rPr>
              <w:t>Accounts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Contractor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Commissions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receivable</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Transaction fees</w:t>
            </w:r>
          </w:p>
        </w:tc>
        <w:tc>
          <w:tcPr>
            <w:tcW w:w="1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advances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receivable</w:t>
            </w:r>
          </w:p>
        </w:tc>
        <w:tc>
          <w:tcPr>
            <w:tcW w:w="240" w:type="dxa"/>
            <w:vAlign w:val="bottom"/>
          </w:tcPr>
          <w:p>
            <w:pPr>
              <w:spacing w:after="0"/>
              <w:rPr>
                <w:sz w:val="17"/>
                <w:szCs w:val="17"/>
                <w:color w:val="auto"/>
              </w:rPr>
            </w:pP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Beginning balance</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1,053</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26</w:t>
            </w:r>
          </w:p>
        </w:tc>
        <w:tc>
          <w:tcPr>
            <w:tcW w:w="1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545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189</w:t>
            </w: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Write-offs</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(767)</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(24)</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(414)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(20)</w:t>
            </w:r>
          </w:p>
        </w:tc>
        <w:tc>
          <w:tcPr>
            <w:tcW w:w="2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Recoveries</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40" w:type="dxa"/>
            <w:vAlign w:val="bottom"/>
            <w:gridSpan w:val="13"/>
          </w:tcPr>
          <w:p>
            <w:pPr>
              <w:spacing w:after="0"/>
              <w:rPr>
                <w:sz w:val="20"/>
                <w:szCs w:val="20"/>
                <w:color w:val="auto"/>
              </w:rPr>
            </w:pPr>
            <w:r>
              <w:rPr>
                <w:rFonts w:ascii="Times New Roman" w:cs="Times New Roman" w:eastAsia="Times New Roman" w:hAnsi="Times New Roman"/>
                <w:sz w:val="15"/>
                <w:szCs w:val="15"/>
                <w:color w:val="auto"/>
              </w:rPr>
              <w:t>The allowance for credit losses for receivables by portfolio segment and the related activity for the year ended December 31, 2023 are as follows: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0"/>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As of and for the year ended December 31, 2023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80"/>
              <w:spacing w:after="0" w:line="164" w:lineRule="exact"/>
              <w:rPr>
                <w:sz w:val="20"/>
                <w:szCs w:val="20"/>
                <w:color w:val="auto"/>
              </w:rPr>
            </w:pPr>
            <w:r>
              <w:rPr>
                <w:rFonts w:ascii="Times New Roman" w:cs="Times New Roman" w:eastAsia="Times New Roman" w:hAnsi="Times New Roman"/>
                <w:sz w:val="15"/>
                <w:szCs w:val="15"/>
                <w:b w:val="1"/>
                <w:bCs w:val="1"/>
                <w:color w:val="auto"/>
              </w:rPr>
              <w:t>Accounts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Contractor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340"/>
              <w:spacing w:after="0" w:line="164" w:lineRule="exact"/>
              <w:rPr>
                <w:sz w:val="20"/>
                <w:szCs w:val="20"/>
                <w:color w:val="auto"/>
              </w:rPr>
            </w:pPr>
            <w:r>
              <w:rPr>
                <w:rFonts w:ascii="Times New Roman" w:cs="Times New Roman" w:eastAsia="Times New Roman" w:hAnsi="Times New Roman"/>
                <w:sz w:val="15"/>
                <w:szCs w:val="15"/>
                <w:b w:val="1"/>
                <w:bCs w:val="1"/>
                <w:color w:val="auto"/>
              </w:rPr>
              <w:t>Commissions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receivable</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Transaction fees</w:t>
            </w:r>
          </w:p>
        </w:tc>
        <w:tc>
          <w:tcPr>
            <w:tcW w:w="1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advances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receivable</w:t>
            </w:r>
          </w:p>
        </w:tc>
        <w:tc>
          <w:tcPr>
            <w:tcW w:w="240" w:type="dxa"/>
            <w:vAlign w:val="bottom"/>
          </w:tcPr>
          <w:p>
            <w:pPr>
              <w:spacing w:after="0"/>
              <w:rPr>
                <w:sz w:val="17"/>
                <w:szCs w:val="17"/>
                <w:color w:val="auto"/>
              </w:rPr>
            </w:pP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Beginning balance</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4,157</w:t>
            </w: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1,041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5,206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Write-offs</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(4,157)</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(995)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(5,152)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Recoveries</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 xml:space="preserve">Note 5. </w:t>
            </w:r>
            <w:r>
              <w:rPr>
                <w:rFonts w:ascii="Times New Roman" w:cs="Times New Roman" w:eastAsia="Times New Roman" w:hAnsi="Times New Roman"/>
                <w:sz w:val="15"/>
                <w:szCs w:val="15"/>
                <w:b w:val="1"/>
                <w:bCs w:val="1"/>
                <w:i w:val="1"/>
                <w:iCs w:val="1"/>
                <w:color w:val="auto"/>
              </w:rPr>
              <w:t>PREPAID EXPENSES AND OTHER CURRENT ASSETS</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Amounts comprising prepaid expenses and other current assets are as follows: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7"/>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commissions</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12,840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Bonus install commitment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18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13,508</w:t>
            </w: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1,839</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recognized $1,247 of commission expense in the year ended December 31, 2024 that was included in the deferred commission balance at the beginning of the period.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Note 6. </w:t>
            </w:r>
            <w:r>
              <w:rPr>
                <w:rFonts w:ascii="Times New Roman" w:cs="Times New Roman" w:eastAsia="Times New Roman" w:hAnsi="Times New Roman"/>
                <w:sz w:val="15"/>
                <w:szCs w:val="15"/>
                <w:b w:val="1"/>
                <w:bCs w:val="1"/>
                <w:i w:val="1"/>
                <w:iCs w:val="1"/>
                <w:color w:val="auto"/>
              </w:rPr>
              <w:t>PROPERTY AND EQUIPMENT, NET</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consists of the following:</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80" w:type="dxa"/>
            <w:vAlign w:val="bottom"/>
          </w:tcPr>
          <w:p>
            <w:pPr>
              <w:spacing w:after="0"/>
              <w:rPr>
                <w:sz w:val="24"/>
                <w:szCs w:val="24"/>
                <w:color w:val="auto"/>
              </w:rPr>
            </w:pPr>
          </w:p>
        </w:tc>
        <w:tc>
          <w:tcPr>
            <w:tcW w:w="216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76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760" w:type="dxa"/>
            <w:vAlign w:val="bottom"/>
          </w:tcPr>
          <w:p>
            <w:pPr>
              <w:spacing w:after="0"/>
              <w:rPr>
                <w:sz w:val="15"/>
                <w:szCs w:val="15"/>
                <w:color w:val="auto"/>
              </w:rPr>
            </w:pPr>
          </w:p>
        </w:tc>
        <w:tc>
          <w:tcPr>
            <w:tcW w:w="60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188</w:t>
            </w:r>
          </w:p>
        </w:tc>
        <w:tc>
          <w:tcPr>
            <w:tcW w:w="80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 equipment</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73</w:t>
            </w: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cost</w:t>
            </w:r>
          </w:p>
        </w:tc>
        <w:tc>
          <w:tcPr>
            <w:tcW w:w="7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463</w:t>
            </w:r>
          </w:p>
        </w:tc>
        <w:tc>
          <w:tcPr>
            <w:tcW w:w="22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435</w:t>
            </w:r>
          </w:p>
        </w:tc>
        <w:tc>
          <w:tcPr>
            <w:tcW w:w="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7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2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8"/>
        </w:trPr>
        <w:tc>
          <w:tcPr>
            <w:tcW w:w="86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Property and equipment, net</w:t>
            </w:r>
          </w:p>
        </w:tc>
        <w:tc>
          <w:tcPr>
            <w:tcW w:w="7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298</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6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Depreciation and amortization expense for the years ended December 31, 2024 and 2023 was $79 and $160, respectively</w:t>
            </w:r>
            <w:r>
              <w:rPr>
                <w:rFonts w:ascii="Times New Roman" w:cs="Times New Roman" w:eastAsia="Times New Roman" w:hAnsi="Times New Roman"/>
                <w:sz w:val="15"/>
                <w:szCs w:val="15"/>
                <w:b w:val="1"/>
                <w:bCs w:val="1"/>
                <w:color w:val="auto"/>
              </w:rPr>
              <w:t>.</w:t>
            </w: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Note 7. </w:t>
            </w:r>
            <w:r>
              <w:rPr>
                <w:rFonts w:ascii="Times New Roman" w:cs="Times New Roman" w:eastAsia="Times New Roman" w:hAnsi="Times New Roman"/>
                <w:sz w:val="15"/>
                <w:szCs w:val="15"/>
                <w:b w:val="1"/>
                <w:bCs w:val="1"/>
                <w:i w:val="1"/>
                <w:iCs w:val="1"/>
                <w:color w:val="auto"/>
              </w:rPr>
              <w:t>ACCRUED EXPENSES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 are as follows: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80" w:type="dxa"/>
            <w:vAlign w:val="bottom"/>
          </w:tcPr>
          <w:p>
            <w:pPr>
              <w:spacing w:after="0"/>
              <w:rPr>
                <w:sz w:val="24"/>
                <w:szCs w:val="24"/>
                <w:color w:val="auto"/>
              </w:rPr>
            </w:pPr>
          </w:p>
        </w:tc>
        <w:tc>
          <w:tcPr>
            <w:tcW w:w="216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salaries, wages and related expenses</w:t>
            </w:r>
          </w:p>
        </w:tc>
        <w:tc>
          <w:tcPr>
            <w:tcW w:w="76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Legal fees payable</w:t>
            </w:r>
          </w:p>
        </w:tc>
        <w:tc>
          <w:tcPr>
            <w:tcW w:w="760" w:type="dxa"/>
            <w:vAlign w:val="bottom"/>
          </w:tcPr>
          <w:p>
            <w:pPr>
              <w:spacing w:after="0"/>
              <w:rPr>
                <w:sz w:val="15"/>
                <w:szCs w:val="15"/>
                <w:color w:val="auto"/>
              </w:rPr>
            </w:pPr>
          </w:p>
        </w:tc>
        <w:tc>
          <w:tcPr>
            <w:tcW w:w="60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4,136</w:t>
            </w:r>
          </w:p>
        </w:tc>
        <w:tc>
          <w:tcPr>
            <w:tcW w:w="800" w:type="dxa"/>
            <w:vAlign w:val="bottom"/>
          </w:tcPr>
          <w:p>
            <w:pPr>
              <w:spacing w:after="0"/>
              <w:rPr>
                <w:sz w:val="15"/>
                <w:szCs w:val="15"/>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Commissions payable</w:t>
            </w:r>
          </w:p>
        </w:tc>
        <w:tc>
          <w:tcPr>
            <w:tcW w:w="7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1,814</w:t>
            </w: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Accrued interest payable</w:t>
            </w:r>
          </w:p>
        </w:tc>
        <w:tc>
          <w:tcPr>
            <w:tcW w:w="760" w:type="dxa"/>
            <w:vAlign w:val="bottom"/>
          </w:tcPr>
          <w:p>
            <w:pPr>
              <w:spacing w:after="0"/>
              <w:rPr>
                <w:sz w:val="15"/>
                <w:szCs w:val="15"/>
                <w:color w:val="auto"/>
              </w:rPr>
            </w:pPr>
          </w:p>
        </w:tc>
        <w:tc>
          <w:tcPr>
            <w:tcW w:w="60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47</w:t>
            </w:r>
          </w:p>
        </w:tc>
        <w:tc>
          <w:tcPr>
            <w:tcW w:w="80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 tax payable</w:t>
            </w:r>
          </w:p>
        </w:tc>
        <w:tc>
          <w:tcPr>
            <w:tcW w:w="7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Credit card obligation</w:t>
            </w:r>
          </w:p>
        </w:tc>
        <w:tc>
          <w:tcPr>
            <w:tcW w:w="760" w:type="dxa"/>
            <w:vAlign w:val="bottom"/>
          </w:tcPr>
          <w:p>
            <w:pPr>
              <w:spacing w:after="0"/>
              <w:rPr>
                <w:sz w:val="15"/>
                <w:szCs w:val="15"/>
                <w:color w:val="auto"/>
              </w:rPr>
            </w:pPr>
          </w:p>
        </w:tc>
        <w:tc>
          <w:tcPr>
            <w:tcW w:w="60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101</w:t>
            </w:r>
          </w:p>
        </w:tc>
        <w:tc>
          <w:tcPr>
            <w:tcW w:w="80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293</w:t>
            </w:r>
          </w:p>
        </w:tc>
        <w:tc>
          <w:tcPr>
            <w:tcW w:w="8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accrued expenses and other current liabilities</w:t>
            </w:r>
          </w:p>
        </w:tc>
        <w:tc>
          <w:tcPr>
            <w:tcW w:w="76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6,511</w:t>
            </w:r>
          </w:p>
        </w:tc>
        <w:tc>
          <w:tcPr>
            <w:tcW w:w="220" w:type="dxa"/>
            <w:vAlign w:val="bottom"/>
            <w:tcBorders>
              <w:top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6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255</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8. </w:t>
      </w:r>
      <w:r>
        <w:rPr>
          <w:rFonts w:ascii="Times New Roman" w:cs="Times New Roman" w:eastAsia="Times New Roman" w:hAnsi="Times New Roman"/>
          <w:sz w:val="15"/>
          <w:szCs w:val="15"/>
          <w:b w:val="1"/>
          <w:bCs w:val="1"/>
          <w:i w:val="1"/>
          <w:iCs w:val="1"/>
          <w:color w:val="auto"/>
        </w:rPr>
        <w:t>LINE OF CREDIT</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During the year ended December 31, 2023, the Company entered into an unsecured line of credit (“LOC”) agreement with a borrowing limit of $3,000. The LOC had a fixed interest rate of 7.5% and was scheduled to mature on June 30, 2025. The outstanding balance on the line was $2,250 and $2,000 as of December 31, 2024, and 2023, respectively. The remaining available balance under the facility as of December 31, 2024 was $750.</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As of December 31, 2024, the Company was not in compliance with certain financial covenants under its LOC agreement with SolarEdge Technologies, Inc, specifically related to the maximum additional external financing covenant. The breach in compliance was related to the litigation financing the Company received of $3,325 during 2024 discussed in Note 9 – </w:t>
      </w:r>
      <w:r>
        <w:rPr>
          <w:rFonts w:ascii="Times New Roman" w:cs="Times New Roman" w:eastAsia="Times New Roman" w:hAnsi="Times New Roman"/>
          <w:sz w:val="15"/>
          <w:szCs w:val="15"/>
          <w:i w:val="1"/>
          <w:iCs w:val="1"/>
          <w:color w:val="auto"/>
        </w:rPr>
        <w:t>Litigation Financing and Settlement</w:t>
      </w:r>
      <w:r>
        <w:rPr>
          <w:rFonts w:ascii="Times New Roman" w:cs="Times New Roman" w:eastAsia="Times New Roman" w:hAnsi="Times New Roman"/>
          <w:sz w:val="15"/>
          <w:szCs w:val="15"/>
          <w:color w:val="auto"/>
        </w:rPr>
        <w:t>. The covenant violation provided the lender the right to accelerate repayment of the outstanding balance at its discretion. The LOC was repaid in full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in September 2025 in connection with the sale of the membership interest in the Company. Refer to Note 15 – </w:t>
      </w:r>
      <w:r>
        <w:rPr>
          <w:rFonts w:ascii="Times New Roman" w:cs="Times New Roman" w:eastAsia="Times New Roman" w:hAnsi="Times New Roman"/>
          <w:sz w:val="15"/>
          <w:szCs w:val="15"/>
          <w:i w:val="1"/>
          <w:iCs w:val="1"/>
          <w:color w:val="auto"/>
        </w:rPr>
        <w:t>Subsequent Events</w:t>
      </w:r>
      <w:r>
        <w:rPr>
          <w:rFonts w:ascii="Times New Roman" w:cs="Times New Roman" w:eastAsia="Times New Roman" w:hAnsi="Times New Roman"/>
          <w:sz w:val="15"/>
          <w:szCs w:val="15"/>
          <w:color w:val="auto"/>
        </w:rPr>
        <w:t xml:space="preserve"> for details of the sale of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9. </w:t>
      </w:r>
      <w:r>
        <w:rPr>
          <w:rFonts w:ascii="Times New Roman" w:cs="Times New Roman" w:eastAsia="Times New Roman" w:hAnsi="Times New Roman"/>
          <w:sz w:val="15"/>
          <w:szCs w:val="15"/>
          <w:b w:val="1"/>
          <w:bCs w:val="1"/>
          <w:i w:val="1"/>
          <w:iCs w:val="1"/>
          <w:color w:val="auto"/>
        </w:rPr>
        <w:t>LITIGATION FINANCING AND SETTLEMENT</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During the year ended December 31,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 w:cs="Times New Roman" w:eastAsia="Times New Roman" w:hAnsi="Times New Roman"/>
          <w:sz w:val="15"/>
          <w:szCs w:val="15"/>
          <w:i w:val="1"/>
          <w:iCs w:val="1"/>
          <w:color w:val="auto"/>
        </w:rPr>
        <w:t>Related Party Transactions</w:t>
      </w:r>
      <w:r>
        <w:rPr>
          <w:rFonts w:ascii="Times New Roman" w:cs="Times New Roman" w:eastAsia="Times New Roman" w:hAnsi="Times New Roman"/>
          <w:sz w:val="15"/>
          <w:szCs w:val="15"/>
          <w:color w:val="auto"/>
        </w:rPr>
        <w:t xml:space="preserve"> for detail. These proceeds are presented within Other income, net on the statement of operations and member’s deficit.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82" w:name="page283"/>
    <w:bookmarkEnd w:id="282"/>
    <w:p>
      <w:pPr>
        <w:jc w:val="both"/>
        <w:spacing w:after="0" w:line="258" w:lineRule="auto"/>
        <w:rPr>
          <w:sz w:val="20"/>
          <w:szCs w:val="20"/>
          <w:color w:val="auto"/>
        </w:rPr>
      </w:pPr>
      <w:r>
        <w:rPr>
          <w:rFonts w:ascii="Times New Roman" w:cs="Times New Roman" w:eastAsia="Times New Roman" w:hAnsi="Times New Roman"/>
          <w:sz w:val="15"/>
          <w:szCs w:val="15"/>
          <w:color w:val="auto"/>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 w:cs="Times New Roman" w:eastAsia="Times New Roman" w:hAnsi="Times New Roman"/>
          <w:sz w:val="15"/>
          <w:szCs w:val="15"/>
          <w:i w:val="1"/>
          <w:iCs w:val="1"/>
          <w:color w:val="auto"/>
        </w:rPr>
        <w:t>Debt</w:t>
      </w:r>
      <w:r>
        <w:rPr>
          <w:rFonts w:ascii="Times New Roman" w:cs="Times New Roman" w:eastAsia="Times New Roman" w:hAnsi="Times New Roman"/>
          <w:sz w:val="15"/>
          <w:szCs w:val="15"/>
          <w:color w:val="auto"/>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 w:cs="Times New Roman" w:eastAsia="Times New Roman" w:hAnsi="Times New Roman"/>
          <w:sz w:val="15"/>
          <w:szCs w:val="15"/>
          <w:i w:val="1"/>
          <w:iCs w:val="1"/>
          <w:color w:val="auto"/>
        </w:rPr>
        <w:t>Contingencies,</w:t>
      </w:r>
      <w:r>
        <w:rPr>
          <w:rFonts w:ascii="Times New Roman" w:cs="Times New Roman" w:eastAsia="Times New Roman" w:hAnsi="Times New Roman"/>
          <w:sz w:val="15"/>
          <w:szCs w:val="15"/>
          <w:color w:val="auto"/>
        </w:rPr>
        <w:t xml:space="preserve"> with no balance sheet recognition as of the reporting dates. The cash received via the funding and investment agreement has been recorded as other income on the Statement of Operations for the fiscal year December 31, 2024.</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recorded in the Company’s financial statements related to the Settlement Agreement or payment of the litigation funding investment. The Company’s obligation to pay the litigation finance investor is only required when Freedom Forever makes a payment to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10. </w:t>
      </w:r>
      <w:r>
        <w:rPr>
          <w:rFonts w:ascii="Times New Roman" w:cs="Times New Roman" w:eastAsia="Times New Roman" w:hAnsi="Times New Roman"/>
          <w:sz w:val="15"/>
          <w:szCs w:val="15"/>
          <w:b w:val="1"/>
          <w:bCs w:val="1"/>
          <w:i w:val="1"/>
          <w:iCs w:val="1"/>
          <w:color w:val="auto"/>
        </w:rPr>
        <w:t>LEASES</w:t>
      </w:r>
    </w:p>
    <w:p>
      <w:pPr>
        <w:spacing w:after="0" w:line="19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with an initial term of 12 months or less are not recorded on the balances sheet. Lease expense is recognized for these leases on a straight-line basis over the lease term. Leases may include one or more options to renew. The exercise of any lease renewal option is at the Company’s sole discretion.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summarizes the line items in the balance sheets which include amounts for operating leases: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16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bottom w:val="single" w:sz="8" w:color="CCEEFF"/>
            </w:tcBorders>
          </w:tcPr>
          <w:p>
            <w:pPr>
              <w:spacing w:after="0"/>
              <w:rPr>
                <w:sz w:val="17"/>
                <w:szCs w:val="17"/>
                <w:color w:val="auto"/>
              </w:rPr>
            </w:pPr>
          </w:p>
        </w:tc>
        <w:tc>
          <w:tcPr>
            <w:tcW w:w="45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 net</w:t>
            </w:r>
          </w:p>
        </w:tc>
        <w:tc>
          <w:tcPr>
            <w:tcW w:w="45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41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operating lease liability</w:t>
            </w:r>
          </w:p>
        </w:tc>
        <w:tc>
          <w:tcPr>
            <w:tcW w:w="5360" w:type="dxa"/>
            <w:vAlign w:val="bottom"/>
            <w:gridSpan w:val="2"/>
            <w:shd w:val="clear" w:color="auto" w:fill="CCEEFF"/>
          </w:tcPr>
          <w:p>
            <w:pPr>
              <w:jc w:val="right"/>
              <w:ind w:right="67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119</w:t>
            </w:r>
          </w:p>
        </w:tc>
        <w:tc>
          <w:tcPr>
            <w:tcW w:w="80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Noncurrent portion of operating lease liability</w:t>
            </w:r>
          </w:p>
        </w:tc>
        <w:tc>
          <w:tcPr>
            <w:tcW w:w="4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302</w:t>
            </w:r>
          </w:p>
        </w:tc>
        <w:tc>
          <w:tcPr>
            <w:tcW w:w="80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lease liability</w:t>
            </w:r>
          </w:p>
        </w:tc>
        <w:tc>
          <w:tcPr>
            <w:tcW w:w="45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jc w:val="right"/>
              <w:ind w:right="3615"/>
              <w:spacing w:after="0"/>
              <w:rPr>
                <w:sz w:val="20"/>
                <w:szCs w:val="20"/>
                <w:color w:val="auto"/>
              </w:rPr>
            </w:pPr>
            <w:r>
              <w:rPr>
                <w:rFonts w:ascii="Times New Roman" w:cs="Times New Roman" w:eastAsia="Times New Roman" w:hAnsi="Times New Roman"/>
                <w:sz w:val="15"/>
                <w:szCs w:val="15"/>
                <w:color w:val="auto"/>
              </w:rPr>
              <w:t>F-147</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62" w:right="3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operating lease liabilities totaled $108 and $80 for the years ended December 31, 2024 and 2023,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Because the Company generally does not have access to the rate implicit in a lease, the Company uses its incremental borrowing rate to determine the present value of its leases.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summarizes the weighted average remaining lease terms and discount rates: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8"/>
        </w:trPr>
        <w:tc>
          <w:tcPr>
            <w:tcW w:w="8660" w:type="dxa"/>
            <w:vAlign w:val="bottom"/>
          </w:tcPr>
          <w:p>
            <w:pPr>
              <w:spacing w:after="0"/>
              <w:rPr>
                <w:sz w:val="24"/>
                <w:szCs w:val="24"/>
                <w:color w:val="auto"/>
              </w:rPr>
            </w:pPr>
          </w:p>
        </w:tc>
        <w:tc>
          <w:tcPr>
            <w:tcW w:w="2600" w:type="dxa"/>
            <w:vAlign w:val="bottom"/>
            <w:gridSpan w:val="7"/>
          </w:tcPr>
          <w:p>
            <w:pPr>
              <w:jc w:val="right"/>
              <w:ind w:right="702"/>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196"/>
        </w:trPr>
        <w:tc>
          <w:tcPr>
            <w:tcW w:w="86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remaining lease term</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 years</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 years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7"/>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350"/>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The future maturities of the operating lease liabilities as of December 31, 2024, were as follows: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Year ending:</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142</w:t>
            </w:r>
          </w:p>
        </w:tc>
      </w:tr>
      <w:tr>
        <w:trPr>
          <w:trHeight w:val="182"/>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jc w:val="right"/>
              <w:ind w:right="62"/>
              <w:spacing w:after="0"/>
              <w:rPr>
                <w:sz w:val="20"/>
                <w:szCs w:val="20"/>
                <w:color w:val="auto"/>
              </w:rPr>
            </w:pPr>
            <w:r>
              <w:rPr>
                <w:rFonts w:ascii="Times New Roman" w:cs="Times New Roman" w:eastAsia="Times New Roman" w:hAnsi="Times New Roman"/>
                <w:sz w:val="15"/>
                <w:szCs w:val="15"/>
                <w:color w:val="auto"/>
              </w:rPr>
              <w:t>147</w:t>
            </w: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151</w:t>
            </w:r>
          </w:p>
        </w:tc>
      </w:tr>
      <w:tr>
        <w:trPr>
          <w:trHeight w:val="196"/>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right"/>
              <w:ind w:right="62"/>
              <w:spacing w:after="0"/>
              <w:rPr>
                <w:sz w:val="20"/>
                <w:szCs w:val="20"/>
                <w:color w:val="auto"/>
              </w:rPr>
            </w:pPr>
            <w:r>
              <w:rPr>
                <w:rFonts w:ascii="Times New Roman" w:cs="Times New Roman" w:eastAsia="Times New Roman" w:hAnsi="Times New Roman"/>
                <w:sz w:val="15"/>
                <w:szCs w:val="15"/>
                <w:color w:val="auto"/>
              </w:rPr>
              <w:t>25</w:t>
            </w:r>
          </w:p>
        </w:tc>
      </w:tr>
      <w:tr>
        <w:trPr>
          <w:trHeight w:val="202"/>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lease payments</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8"/>
        </w:trPr>
        <w:tc>
          <w:tcPr>
            <w:tcW w:w="8660" w:type="dxa"/>
            <w:vAlign w:val="bottom"/>
            <w:tcBorders>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Less: imputed interest</w:t>
            </w:r>
          </w:p>
        </w:tc>
        <w:tc>
          <w:tcPr>
            <w:tcW w:w="1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line="165" w:lineRule="exact"/>
              <w:rPr>
                <w:sz w:val="20"/>
                <w:szCs w:val="20"/>
                <w:color w:val="auto"/>
              </w:rPr>
            </w:pPr>
            <w:r>
              <w:rPr>
                <w:rFonts w:ascii="Times New Roman" w:cs="Times New Roman" w:eastAsia="Times New Roman" w:hAnsi="Times New Roman"/>
                <w:sz w:val="15"/>
                <w:szCs w:val="15"/>
                <w:color w:val="auto"/>
              </w:rPr>
              <w:t>(44</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85"/>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8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Lease expense is presented as rent under operating expenses on the statements of operations and member’s deficit.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11. </w:t>
      </w:r>
      <w:r>
        <w:rPr>
          <w:rFonts w:ascii="Times New Roman" w:cs="Times New Roman" w:eastAsia="Times New Roman" w:hAnsi="Times New Roman"/>
          <w:sz w:val="15"/>
          <w:szCs w:val="15"/>
          <w:b w:val="1"/>
          <w:bCs w:val="1"/>
          <w:i w:val="1"/>
          <w:iCs w:val="1"/>
          <w:color w:val="auto"/>
        </w:rPr>
        <w:t>RELATED PARTY TRANSACTIONS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The Company obtained a number of insurance policies to help protect the Company from potential losses through a captive insurance company related by common ownership. For the years ended December 31, 2024 and 2023, the Company had insurance expense to the captive of $0 and $651, respectively, which is presented within general and administrative expenses in the statements of operations. As discussed in Note 9 – </w:t>
      </w:r>
      <w:r>
        <w:rPr>
          <w:rFonts w:ascii="Times New Roman" w:cs="Times New Roman" w:eastAsia="Times New Roman" w:hAnsi="Times New Roman"/>
          <w:sz w:val="15"/>
          <w:szCs w:val="15"/>
          <w:i w:val="1"/>
          <w:iCs w:val="1"/>
          <w:color w:val="auto"/>
        </w:rPr>
        <w:t>Litigation Financing and Settlement</w:t>
      </w:r>
      <w:r>
        <w:rPr>
          <w:rFonts w:ascii="Times New Roman" w:cs="Times New Roman" w:eastAsia="Times New Roman" w:hAnsi="Times New Roman"/>
          <w:sz w:val="15"/>
          <w:szCs w:val="15"/>
          <w:color w:val="auto"/>
        </w:rPr>
        <w:t>, the Company received $500 in the year ended December 31, 2024, from this insurance captive in connection with a claim related to loss of key employees and business litigation related to its dispute with Freedom Forever.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$653 and $237 for the years ended December 31, 2024 and 2023, respectively. Expenses incurred for Enzy and fees charged to Enzy totaled $1,015 and $409 for the years ended December 31, 2024 and 2023, respectively. These transactions have resulted in a balance due to the Company from Enzy of $559 and $94 as of December 31, 2024 and 2023, respectively. This balance is presented as due from related party on the Company’s balance sheets.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3" w:right="319" w:bottom="1440" w:gutter="0" w:footer="0" w:header="0"/>
        </w:sectPr>
      </w:pPr>
    </w:p>
    <w:bookmarkStart w:id="284" w:name="page285"/>
    <w:bookmarkEnd w:id="284"/>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deficit. The Company recognized expenses of $884 and $926 in the years ended December 31, 2024 and 2023, respectively, related to these arrangements.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12. </w:t>
      </w:r>
      <w:r>
        <w:rPr>
          <w:rFonts w:ascii="Times New Roman" w:cs="Times New Roman" w:eastAsia="Times New Roman" w:hAnsi="Times New Roman"/>
          <w:sz w:val="15"/>
          <w:szCs w:val="15"/>
          <w:b w:val="1"/>
          <w:bCs w:val="1"/>
          <w:i w:val="1"/>
          <w:iCs w:val="1"/>
          <w:color w:val="auto"/>
        </w:rPr>
        <w:t>COMMITMENTS AND CONTINGENCIES</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Company may be involved in legal proceedings arising in the normal course of business. Management has concluded that no material legal reserves are required to be recorded as of December 31, 2024 and 2023.</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 and no loss has been recorded as of December 31, 2024 and 2023.</w:t>
      </w:r>
    </w:p>
    <w:p>
      <w:pPr>
        <w:spacing w:after="0" w:line="33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As of December 31, 2023, the Company filed suit against the former exclusive installation company, Freedom Forever, for breach of contract. Freedom Forever filed a counter suit based on a similar claim. The parties completed discovery, and a hearing commenced on May 5,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See Note 9 – </w:t>
      </w:r>
      <w:r>
        <w:rPr>
          <w:rFonts w:ascii="Times New Roman" w:cs="Times New Roman" w:eastAsia="Times New Roman" w:hAnsi="Times New Roman"/>
          <w:sz w:val="15"/>
          <w:szCs w:val="15"/>
          <w:i w:val="1"/>
          <w:iCs w:val="1"/>
          <w:color w:val="auto"/>
        </w:rPr>
        <w:t>Litigation Financing and Settlement</w:t>
      </w:r>
      <w:r>
        <w:rPr>
          <w:rFonts w:ascii="Times New Roman" w:cs="Times New Roman" w:eastAsia="Times New Roman" w:hAnsi="Times New Roman"/>
          <w:sz w:val="15"/>
          <w:szCs w:val="15"/>
          <w:color w:val="auto"/>
        </w:rPr>
        <w:t xml:space="preserve"> for further detail on the resolution of the matter with Freedom Forever.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13. </w:t>
      </w:r>
      <w:r>
        <w:rPr>
          <w:rFonts w:ascii="Times New Roman" w:cs="Times New Roman" w:eastAsia="Times New Roman" w:hAnsi="Times New Roman"/>
          <w:sz w:val="15"/>
          <w:szCs w:val="15"/>
          <w:b w:val="1"/>
          <w:bCs w:val="1"/>
          <w:i w:val="1"/>
          <w:iCs w:val="1"/>
          <w:color w:val="auto"/>
        </w:rPr>
        <w:t>STOCK-BASED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Incentive Stock Units (“Incentive Units”)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sectPr>
          <w:pgSz w:w="11900" w:h="16838" w:orient="portrait"/>
          <w:cols w:equalWidth="0" w:num="1">
            <w:col w:w="11260"/>
          </w:cols>
          <w:pgMar w:left="320" w:top="762" w:right="31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summary of the Incentive Units for the years ended December 31, 2024 and 2023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53910" cy="1301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3910" cy="13017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Incentive units outstanding, January 1,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391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Forfeited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Incentive units outstanding, December 31,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53910" cy="1447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3910" cy="14478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Incentive units outstanding,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Incentive units</w:t>
      </w:r>
    </w:p>
    <w:p>
      <w:pPr>
        <w:spacing w:after="0" w:line="3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51,087</w:t>
      </w:r>
    </w:p>
    <w:p>
      <w:pPr>
        <w:spacing w:after="0" w:line="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1,045</w:t>
      </w:r>
    </w:p>
    <w:p>
      <w:pPr>
        <w:spacing w:after="0" w:line="1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(8,000)</w:t>
      </w:r>
    </w:p>
    <w:p>
      <w:pPr>
        <w:spacing w:after="0" w:line="2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44,132</w:t>
      </w:r>
    </w:p>
    <w:p>
      <w:pPr>
        <w:spacing w:after="0" w:line="3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2,442</w:t>
      </w:r>
    </w:p>
    <w:p>
      <w:pPr>
        <w:spacing w:after="0" w:line="3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46,574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15240</wp:posOffset>
            </wp:positionV>
            <wp:extent cx="715645" cy="146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645" cy="1460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36830</wp:posOffset>
            </wp:positionV>
            <wp:extent cx="715645" cy="146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645"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0" w:space="720"/>
            <w:col w:w="1140"/>
          </w:cols>
          <w:pgMar w:left="320" w:top="762" w:right="319" w:bottom="1440" w:gutter="0" w:footer="0" w:header="0"/>
          <w:type w:val="continuous"/>
        </w:sect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type w:val="continuous"/>
        </w:sectPr>
      </w:pPr>
    </w:p>
    <w:bookmarkStart w:id="285" w:name="page286"/>
    <w:bookmarkEnd w:id="285"/>
    <w:p>
      <w:pPr>
        <w:jc w:val="both"/>
        <w:spacing w:after="0" w:line="270" w:lineRule="auto"/>
        <w:rPr>
          <w:sz w:val="20"/>
          <w:szCs w:val="20"/>
          <w:color w:val="auto"/>
        </w:rPr>
      </w:pPr>
      <w:r>
        <w:rPr>
          <w:rFonts w:ascii="Times New Roman" w:cs="Times New Roman" w:eastAsia="Times New Roman" w:hAnsi="Times New Roman"/>
          <w:sz w:val="15"/>
          <w:szCs w:val="15"/>
          <w:color w:val="auto"/>
        </w:rPr>
        <w:t>The Incentive Units were estimated to have de minimis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years ended December 31, 2024, and 2023. As of December 31, 2024, and 2023, unrecognized compensation cost related to unvested Incentive Units was de minimis.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Award (“Compensation Award”)</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sectPr>
          <w:pgSz w:w="11900" w:h="16838" w:orient="portrait"/>
          <w:cols w:equalWidth="0" w:num="1">
            <w:col w:w="11260"/>
          </w:cols>
          <w:pgMar w:left="320" w:top="763" w:right="319" w:bottom="1440" w:gutter="0" w:footer="0" w:header="0"/>
        </w:sectPr>
      </w:pP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summary of the Compensation Award for the years ended December 31, 2024, and 2023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53910" cy="1301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3910" cy="13017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Compensation award outstanding, January 1,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Granted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Compensation award outstanding,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53910" cy="1447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3910" cy="14478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Granted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Compensation award outstanding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53910" cy="1447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3910"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Percentage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ownership</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0%</w:t>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0</w:t>
      </w:r>
    </w:p>
    <w:p>
      <w:pPr>
        <w:spacing w:after="0" w:line="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0</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10</w:t>
      </w:r>
    </w:p>
    <w:p>
      <w:pPr>
        <w:spacing w:after="0" w:line="2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41910</wp:posOffset>
            </wp:positionV>
            <wp:extent cx="708025" cy="146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8025"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80" w:space="720"/>
            <w:col w:w="1060"/>
          </w:cols>
          <w:pgMar w:left="320" w:top="763" w:right="319" w:bottom="1440" w:gutter="0" w:footer="0" w:header="0"/>
          <w:type w:val="continuous"/>
        </w:sectPr>
      </w:pP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years ended December 31, 2024, and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Liquidity Based Bonus Plan</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for the years ended December 31, 2024 and 2023.</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3" w:right="319" w:bottom="1440" w:gutter="0" w:footer="0" w:header="0"/>
          <w:type w:val="continuous"/>
        </w:sectPr>
      </w:pPr>
    </w:p>
    <w:bookmarkStart w:id="286" w:name="page287"/>
    <w:bookmarkEnd w:id="286"/>
    <w:p>
      <w:pPr>
        <w:spacing w:after="0"/>
        <w:rPr>
          <w:sz w:val="20"/>
          <w:szCs w:val="20"/>
          <w:color w:val="auto"/>
        </w:rPr>
      </w:pPr>
      <w:r>
        <w:rPr>
          <w:rFonts w:ascii="Times New Roman" w:cs="Times New Roman" w:eastAsia="Times New Roman" w:hAnsi="Times New Roman"/>
          <w:sz w:val="15"/>
          <w:szCs w:val="15"/>
          <w:b w:val="1"/>
          <w:bCs w:val="1"/>
          <w:color w:val="auto"/>
        </w:rPr>
        <w:t xml:space="preserve">Note 14. </w:t>
      </w:r>
      <w:r>
        <w:rPr>
          <w:rFonts w:ascii="Times New Roman" w:cs="Times New Roman" w:eastAsia="Times New Roman" w:hAnsi="Times New Roman"/>
          <w:sz w:val="15"/>
          <w:szCs w:val="15"/>
          <w:b w:val="1"/>
          <w:bCs w:val="1"/>
          <w:i w:val="1"/>
          <w:iCs w:val="1"/>
          <w:color w:val="auto"/>
        </w:rPr>
        <w:t>DISCONTINUED OPERATIONS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On October 30, 2023, the Company discontinued operations of SaaS sales through a spin-off of internally developed software to a related party. In connection with this transaction, the Company entered into a shared services agreement (see Note 11 – </w:t>
      </w:r>
      <w:r>
        <w:rPr>
          <w:rFonts w:ascii="Times New Roman" w:cs="Times New Roman" w:eastAsia="Times New Roman" w:hAnsi="Times New Roman"/>
          <w:sz w:val="15"/>
          <w:szCs w:val="15"/>
          <w:i w:val="1"/>
          <w:iCs w:val="1"/>
          <w:color w:val="auto"/>
        </w:rPr>
        <w:t>Related Party Transactions</w:t>
      </w:r>
      <w:r>
        <w:rPr>
          <w:rFonts w:ascii="Times New Roman" w:cs="Times New Roman" w:eastAsia="Times New Roman" w:hAnsi="Times New Roman"/>
          <w:sz w:val="15"/>
          <w:szCs w:val="15"/>
          <w:color w:val="auto"/>
        </w:rPr>
        <w:t>). The Company will continue to provide administrative support to the new company for a set monthly fee.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Cash flows related to discontinued operations were not material. The discontinued operations included in the statement of operations and member’s deficit for the year ended December 31, 2023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4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(6,743)</w:t>
            </w: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Discontinued operations:</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4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321</w:t>
            </w: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420" w:type="dxa"/>
            <w:vAlign w:val="bottom"/>
          </w:tcPr>
          <w:p>
            <w:pPr>
              <w:spacing w:after="0"/>
              <w:rPr>
                <w:sz w:val="15"/>
                <w:szCs w:val="15"/>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(66)</w:t>
            </w: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disposal of assets</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(315)</w:t>
            </w:r>
          </w:p>
        </w:tc>
      </w:tr>
      <w:tr>
        <w:trPr>
          <w:trHeight w:val="168"/>
        </w:trPr>
        <w:tc>
          <w:tcPr>
            <w:tcW w:w="1002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Loss from discontinued operations</w:t>
            </w:r>
          </w:p>
        </w:tc>
        <w:tc>
          <w:tcPr>
            <w:tcW w:w="4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(60</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85"/>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(6,803</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0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Note 15. </w:t>
      </w:r>
      <w:r>
        <w:rPr>
          <w:rFonts w:ascii="Times New Roman" w:cs="Times New Roman" w:eastAsia="Times New Roman" w:hAnsi="Times New Roman"/>
          <w:sz w:val="15"/>
          <w:szCs w:val="15"/>
          <w:b w:val="1"/>
          <w:bCs w:val="1"/>
          <w:i w:val="1"/>
          <w:iCs w:val="1"/>
          <w:color w:val="auto"/>
        </w:rPr>
        <w:t>SUBSEQUENT EVENTS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Management of the Company has evaluated subsequent events through January 9, 2026, which is also the date the financial statements were available to be issued. Except as noted in Note 2 – </w:t>
      </w:r>
      <w:r>
        <w:rPr>
          <w:rFonts w:ascii="Times New Roman" w:cs="Times New Roman" w:eastAsia="Times New Roman" w:hAnsi="Times New Roman"/>
          <w:sz w:val="15"/>
          <w:szCs w:val="15"/>
          <w:i w:val="1"/>
          <w:iCs w:val="1"/>
          <w:color w:val="auto"/>
        </w:rPr>
        <w:t>Liquidity Considerations and Sale of Company,</w:t>
      </w:r>
      <w:r>
        <w:rPr>
          <w:rFonts w:ascii="Times New Roman" w:cs="Times New Roman" w:eastAsia="Times New Roman" w:hAnsi="Times New Roman"/>
          <w:sz w:val="15"/>
          <w:szCs w:val="15"/>
          <w:color w:val="auto"/>
        </w:rPr>
        <w:t xml:space="preserve"> Note 8 </w:t>
      </w:r>
      <w:r>
        <w:rPr>
          <w:rFonts w:ascii="Times New Roman" w:cs="Times New Roman" w:eastAsia="Times New Roman" w:hAnsi="Times New Roman"/>
          <w:sz w:val="15"/>
          <w:szCs w:val="15"/>
          <w:i w:val="1"/>
          <w:iCs w:val="1"/>
          <w:color w:val="auto"/>
        </w:rPr>
        <w:t>– Line of Credit,</w:t>
      </w:r>
      <w:r>
        <w:rPr>
          <w:rFonts w:ascii="Times New Roman" w:cs="Times New Roman" w:eastAsia="Times New Roman" w:hAnsi="Times New Roman"/>
          <w:sz w:val="15"/>
          <w:szCs w:val="15"/>
          <w:color w:val="auto"/>
        </w:rPr>
        <w:t xml:space="preserve"> Note 9 </w:t>
      </w:r>
      <w:r>
        <w:rPr>
          <w:rFonts w:ascii="Times New Roman" w:cs="Times New Roman" w:eastAsia="Times New Roman" w:hAnsi="Times New Roman"/>
          <w:sz w:val="15"/>
          <w:szCs w:val="15"/>
          <w:i w:val="1"/>
          <w:iCs w:val="1"/>
          <w:color w:val="auto"/>
        </w:rPr>
        <w:t>– Litigation Financing and Settlement</w:t>
      </w:r>
      <w:r>
        <w:rPr>
          <w:rFonts w:ascii="Times New Roman" w:cs="Times New Roman" w:eastAsia="Times New Roman" w:hAnsi="Times New Roman"/>
          <w:sz w:val="15"/>
          <w:szCs w:val="15"/>
          <w:color w:val="auto"/>
        </w:rPr>
        <w:t xml:space="preserve"> and below, no other subsequent events were noted during this evaluation that require recognition or disclosure in these financial statements.</w:t>
      </w:r>
    </w:p>
    <w:p>
      <w:pPr>
        <w:spacing w:after="0" w:line="14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On March 19, 2025, the Company was loaned $1,000 by its sole member, who in turn was loaned the funds by one of its owners under a convertible promissory note. This transaction was accounted for as a capital contribution.</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September 24, 2025 (“Closing”), the Member completed the sale of all assets and assumption of all liabilities of its Membership Interests in Sunder to Complete Solaria for aggregate consideration of $57,789. Per the terms of the MIPA, the Member sold all of the outstanding membership interest of Sunder for (1) $20,689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287" w:name="page288"/>
    <w:bookmarkEnd w:id="287"/>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AMBIA ENERGY, LLC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of September 30, 2025 and December 31, 2024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and For the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7153910" cy="146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01"/>
        </w:trPr>
        <w:tc>
          <w:tcPr>
            <w:tcW w:w="86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i w:val="1"/>
                <w:iCs w:val="1"/>
                <w:color w:val="auto"/>
              </w:rPr>
              <w:t>Unaudited Balance Sheets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b w:val="1"/>
                <w:bCs w:val="1"/>
                <w:i w:val="1"/>
                <w:iCs w:val="1"/>
                <w:color w:val="auto"/>
              </w:rPr>
              <w:t>As of</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i w:val="1"/>
                <w:iCs w:val="1"/>
                <w:color w:val="auto"/>
              </w:rPr>
              <w:t>September 30,</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i w:val="1"/>
                <w:iCs w:val="1"/>
                <w:color w:val="auto"/>
                <w:w w:val="99"/>
              </w:rPr>
              <w:t>As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i w:val="1"/>
                <w:iCs w:val="1"/>
                <w:color w:val="auto"/>
              </w:rPr>
              <w:t>December 31,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0" w:type="dxa"/>
            <w:vAlign w:val="bottom"/>
          </w:tcPr>
          <w:p>
            <w:pPr>
              <w:spacing w:after="0"/>
              <w:rPr>
                <w:sz w:val="19"/>
                <w:szCs w:val="19"/>
                <w:color w:val="auto"/>
              </w:rPr>
            </w:pPr>
          </w:p>
        </w:tc>
        <w:tc>
          <w:tcPr>
            <w:tcW w:w="102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i w:val="1"/>
                <w:i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680" w:type="dxa"/>
            <w:vAlign w:val="bottom"/>
            <w:gridSpan w:val="4"/>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Assets</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6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693,520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1,043,269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Accounts receivable, net of allowance for credit losses of $225,000 and $123,000, respectively</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1,293,174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1,010,295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Contract assets - unbilled revenues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5,715,605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4,601,890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Other receivables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485,863</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366,027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Sales commissions receivable, net of allowance of $760,413 and $0, respectively</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1,580,974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423,719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Deferred commissions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1,145,672</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3,511,328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Deferred costs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3,943,059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6,137,615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343,410</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531,238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CCEEFF"/>
            </w:tcBorders>
            <w:shd w:val="clear" w:color="auto" w:fill="CCEEFF"/>
          </w:tcPr>
          <w:p>
            <w:pPr>
              <w:spacing w:after="0"/>
              <w:rPr>
                <w:sz w:val="15"/>
                <w:szCs w:val="15"/>
                <w:color w:val="auto"/>
              </w:rPr>
            </w:pPr>
          </w:p>
        </w:tc>
        <w:tc>
          <w:tcPr>
            <w:tcW w:w="6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Total current assets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15,201,277</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17,625,381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424,031</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385,192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2,856,409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740,654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Finance lease right-of-use assets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1,602,376</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1,971,170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Deposits</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181,510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116,819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66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20,265,603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20,839,216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66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66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Liabilities and Member’s Deficit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66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2,489,153</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2,168,566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Accrued expenses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3,431,906</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2,799,860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Accrued commissions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212,469</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180,114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Merchant cash advance, net of debt discount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487,500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Related-party accounts payable</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294,384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509,649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Deferred revenue</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7,701,532</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10,585,293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622,419</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401,456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Current portion of finance lease liabilities</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308,794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315,541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66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15,548,157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16,960,479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2,145,929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367,346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Finance lease liabilities, net of current portion</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985,849</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1,228,546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Related-party lines of credit</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2,675,000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2,175,000</w:t>
            </w:r>
          </w:p>
        </w:tc>
        <w:tc>
          <w:tcPr>
            <w:tcW w:w="0" w:type="dxa"/>
            <w:vAlign w:val="bottom"/>
          </w:tcPr>
          <w:p>
            <w:pPr>
              <w:spacing w:after="0"/>
              <w:rPr>
                <w:sz w:val="1"/>
                <w:szCs w:val="1"/>
                <w:color w:val="auto"/>
              </w:rPr>
            </w:pPr>
          </w:p>
        </w:tc>
      </w:tr>
      <w:tr>
        <w:trPr>
          <w:trHeight w:val="196"/>
        </w:trPr>
        <w:tc>
          <w:tcPr>
            <w:tcW w:w="86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Related-party notes payable</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7,140,109</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7,140,109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CCEEFF"/>
            </w:tcBorders>
            <w:shd w:val="clear" w:color="auto" w:fill="CCEEFF"/>
          </w:tcPr>
          <w:p>
            <w:pPr>
              <w:spacing w:after="0"/>
              <w:rPr>
                <w:sz w:val="15"/>
                <w:szCs w:val="15"/>
                <w:color w:val="auto"/>
              </w:rPr>
            </w:pPr>
          </w:p>
        </w:tc>
        <w:tc>
          <w:tcPr>
            <w:tcW w:w="6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Total liabilities</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28,495,044</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27,871,480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CCEEFF"/>
            </w:tcBorders>
            <w:shd w:val="clear" w:color="auto" w:fill="CCEEFF"/>
          </w:tcPr>
          <w:p>
            <w:pPr>
              <w:spacing w:after="0"/>
              <w:rPr>
                <w:sz w:val="15"/>
                <w:szCs w:val="15"/>
                <w:color w:val="auto"/>
              </w:rPr>
            </w:pPr>
          </w:p>
        </w:tc>
        <w:tc>
          <w:tcPr>
            <w:tcW w:w="6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Member’s deficit</w:t>
            </w: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(8,229,441)</w:t>
            </w:r>
          </w:p>
        </w:tc>
        <w:tc>
          <w:tcPr>
            <w:tcW w:w="1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(7,032,264)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CCEEFF"/>
            </w:tcBorders>
            <w:shd w:val="clear" w:color="auto" w:fill="CCEEFF"/>
          </w:tcPr>
          <w:p>
            <w:pPr>
              <w:spacing w:after="0"/>
              <w:rPr>
                <w:sz w:val="15"/>
                <w:szCs w:val="15"/>
                <w:color w:val="auto"/>
              </w:rPr>
            </w:pPr>
          </w:p>
        </w:tc>
        <w:tc>
          <w:tcPr>
            <w:tcW w:w="6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Total liabilities and member’s deficit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20,265,603</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20,839,216</w:t>
            </w:r>
          </w:p>
        </w:tc>
        <w:tc>
          <w:tcPr>
            <w:tcW w:w="0" w:type="dxa"/>
            <w:vAlign w:val="bottom"/>
          </w:tcPr>
          <w:p>
            <w:pPr>
              <w:spacing w:after="0"/>
              <w:rPr>
                <w:sz w:val="1"/>
                <w:szCs w:val="1"/>
                <w:color w:val="auto"/>
              </w:rPr>
            </w:pPr>
          </w:p>
        </w:tc>
      </w:tr>
      <w:tr>
        <w:trPr>
          <w:trHeight w:val="365"/>
        </w:trPr>
        <w:tc>
          <w:tcPr>
            <w:tcW w:w="86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See accompanying notes to financial statements</w:t>
            </w: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5"/>
                <w:szCs w:val="15"/>
                <w:color w:val="auto"/>
              </w:rPr>
              <w:t>F-153</w:t>
            </w: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3" w:right="319" w:bottom="1440" w:gutter="0" w:footer="0" w:header="0"/>
        </w:sectPr>
      </w:pPr>
    </w:p>
    <w:bookmarkStart w:id="289" w:name="page290"/>
    <w:bookmarkEnd w:id="2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Unaudited Statements of Operations and Member’s Deficit</w:t>
            </w: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720"/>
              <w:spacing w:after="0"/>
              <w:rPr>
                <w:sz w:val="20"/>
                <w:szCs w:val="20"/>
                <w:color w:val="auto"/>
              </w:rPr>
            </w:pPr>
            <w:r>
              <w:rPr>
                <w:rFonts w:ascii="Times New Roman" w:cs="Times New Roman" w:eastAsia="Times New Roman" w:hAnsi="Times New Roman"/>
                <w:sz w:val="15"/>
                <w:szCs w:val="15"/>
                <w:b w:val="1"/>
                <w:bCs w:val="1"/>
                <w:i w:val="1"/>
                <w:i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38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61,075,725</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28,114,668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32,622,179</w:t>
            </w: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20,517,813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Gross profit</w:t>
            </w: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28,453,546</w:t>
            </w: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7,596,855</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86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10,845,446</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7,303,877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Commissions</w:t>
            </w:r>
          </w:p>
        </w:tc>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16,003,211</w:t>
            </w:r>
          </w:p>
        </w:tc>
        <w:tc>
          <w:tcPr>
            <w:tcW w:w="3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8,043,929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Rent</w:t>
            </w:r>
          </w:p>
        </w:tc>
        <w:tc>
          <w:tcPr>
            <w:tcW w:w="3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1,038,258</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888,362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494,567</w:t>
            </w: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236,304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28,381,482</w:t>
            </w: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16,472,472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Income from operations</w:t>
            </w: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72,064</w:t>
            </w:r>
          </w:p>
        </w:tc>
        <w:tc>
          <w:tcPr>
            <w:tcW w:w="3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(8,875,617)</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86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Interest expense</w:t>
            </w:r>
          </w:p>
        </w:tc>
        <w:tc>
          <w:tcPr>
            <w:tcW w:w="3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(1,285,993)</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(925,263)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income, net</w:t>
            </w: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16,752</w:t>
            </w:r>
          </w:p>
        </w:tc>
        <w:tc>
          <w:tcPr>
            <w:tcW w:w="3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(10,970)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(1,269,241)</w:t>
            </w:r>
          </w:p>
        </w:tc>
        <w:tc>
          <w:tcPr>
            <w:tcW w:w="3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(936,233)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Net loss</w:t>
            </w:r>
          </w:p>
        </w:tc>
        <w:tc>
          <w:tcPr>
            <w:tcW w:w="404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(1,197,177)</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(9,811,850)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86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Member’s deficit, beginning of the period</w:t>
            </w:r>
          </w:p>
        </w:tc>
        <w:tc>
          <w:tcPr>
            <w:tcW w:w="404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(7,032,264)</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(5,112,377)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loss</w:t>
            </w:r>
          </w:p>
        </w:tc>
        <w:tc>
          <w:tcPr>
            <w:tcW w:w="3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(1,197,177)</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(9,811,850)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Member’s contribution and conversion of related-party notes payable</w:t>
            </w: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4,333,164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860" w:type="dxa"/>
            <w:vAlign w:val="bottom"/>
            <w:tcBorders>
              <w:top w:val="single" w:sz="8" w:color="CCEEFF"/>
            </w:tcBorders>
            <w:shd w:val="clear" w:color="auto" w:fill="CCEEFF"/>
          </w:tcPr>
          <w:p>
            <w:pPr>
              <w:spacing w:after="0"/>
              <w:rPr>
                <w:sz w:val="15"/>
                <w:szCs w:val="15"/>
                <w:color w:val="auto"/>
              </w:rPr>
            </w:pPr>
          </w:p>
        </w:tc>
        <w:tc>
          <w:tcPr>
            <w:tcW w:w="38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5"/>
                <w:szCs w:val="15"/>
                <w:color w:val="auto"/>
              </w:rPr>
              <w:t>Member’s deficit, end of the period</w:t>
            </w:r>
          </w:p>
        </w:tc>
        <w:tc>
          <w:tcPr>
            <w:tcW w:w="404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(8,229,441)</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(10,591,063)</w:t>
            </w:r>
          </w:p>
        </w:tc>
        <w:tc>
          <w:tcPr>
            <w:tcW w:w="0" w:type="dxa"/>
            <w:vAlign w:val="bottom"/>
          </w:tcPr>
          <w:p>
            <w:pPr>
              <w:spacing w:after="0"/>
              <w:rPr>
                <w:sz w:val="1"/>
                <w:szCs w:val="1"/>
                <w:color w:val="auto"/>
              </w:rPr>
            </w:pPr>
          </w:p>
        </w:tc>
      </w:tr>
      <w:tr>
        <w:trPr>
          <w:trHeight w:val="365"/>
        </w:trPr>
        <w:tc>
          <w:tcPr>
            <w:tcW w:w="4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See accompanying notes to financial statements</w:t>
            </w:r>
          </w:p>
        </w:tc>
        <w:tc>
          <w:tcPr>
            <w:tcW w:w="38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2"/>
          </w:tcPr>
          <w:p>
            <w:pPr>
              <w:jc w:val="right"/>
              <w:ind w:right="3066"/>
              <w:spacing w:after="0"/>
              <w:rPr>
                <w:sz w:val="20"/>
                <w:szCs w:val="20"/>
                <w:color w:val="auto"/>
              </w:rPr>
            </w:pPr>
            <w:r>
              <w:rPr>
                <w:rFonts w:ascii="Times New Roman" w:cs="Times New Roman" w:eastAsia="Times New Roman" w:hAnsi="Times New Roman"/>
                <w:sz w:val="15"/>
                <w:szCs w:val="15"/>
                <w:color w:val="auto"/>
              </w:rPr>
              <w:t>F-154</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3" w:right="319" w:bottom="1440" w:gutter="0" w:footer="0" w:header="0"/>
        </w:sectPr>
      </w:pPr>
    </w:p>
    <w:bookmarkStart w:id="290" w:name="page291"/>
    <w:bookmarkEnd w:id="2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Unaudited Statements of Cash Flows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720"/>
              <w:spacing w:after="0"/>
              <w:rPr>
                <w:sz w:val="20"/>
                <w:szCs w:val="20"/>
                <w:color w:val="auto"/>
              </w:rPr>
            </w:pPr>
            <w:r>
              <w:rPr>
                <w:rFonts w:ascii="Times New Roman" w:cs="Times New Roman" w:eastAsia="Times New Roman" w:hAnsi="Times New Roman"/>
                <w:sz w:val="15"/>
                <w:szCs w:val="15"/>
                <w:b w:val="1"/>
                <w:bCs w:val="1"/>
                <w:i w:val="1"/>
                <w:i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(1,197,177)</w:t>
            </w:r>
          </w:p>
        </w:tc>
        <w:tc>
          <w:tcPr>
            <w:tcW w:w="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(9,811,850)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Amortization of operating right-of-use assets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523,352</w:t>
            </w: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643,603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494,567</w:t>
            </w: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236,304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(282,879)</w:t>
            </w:r>
          </w:p>
        </w:tc>
        <w:tc>
          <w:tcPr>
            <w:tcW w:w="3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(413,593)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Contract assets - unbilled revenues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(1,113,715)</w:t>
            </w: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739,308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 receivables</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(119,836)</w:t>
            </w: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295,812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Sales commissions receivable</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(1,157,255)</w:t>
            </w: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(134,894)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Inventories</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74,447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Deferred costs and commissions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4,560,212</w:t>
            </w: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(848,215)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187,828</w:t>
            </w:r>
          </w:p>
        </w:tc>
        <w:tc>
          <w:tcPr>
            <w:tcW w:w="3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(427,389)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Deposits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(64,691)</w:t>
            </w: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(13,337)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106,122</w:t>
            </w: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539,602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Accrued expenses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369,546</w:t>
            </w: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3,229,015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Accrued commissions</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32,355</w:t>
            </w: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395,000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Related-party accounts payable</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(215,265)</w:t>
            </w: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51,411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Deferred revenue</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(2,883,761)</w:t>
            </w:r>
          </w:p>
        </w:tc>
        <w:tc>
          <w:tcPr>
            <w:tcW w:w="3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(1,314,260)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(425,096)</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(618,953)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(1,185,693)</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(7,377,989)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(191,243)</w:t>
            </w:r>
          </w:p>
        </w:tc>
        <w:tc>
          <w:tcPr>
            <w:tcW w:w="3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(222,908)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Proceeds from related-party revolving lines of credit and notes payable</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500,000</w:t>
            </w: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8,925,000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Payments on related-party revolving lines of credits and notes</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(3,305,747)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Proceeds from member’s contribution</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1,883,164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Merchant cash advance</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1,750,000</w:t>
            </w: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Merchant cash repayments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(1,000,000)</w:t>
            </w: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Payments on finance lease liabilities</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(222,813)</w:t>
            </w:r>
          </w:p>
        </w:tc>
        <w:tc>
          <w:tcPr>
            <w:tcW w:w="3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(363,900)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1,027,187</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7,138,517</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cash</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(349,749)</w:t>
            </w:r>
          </w:p>
        </w:tc>
        <w:tc>
          <w:tcPr>
            <w:tcW w:w="3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(462,380)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Cash at beginning of period</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1,043,269</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728,639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Cash at end of period</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693,520</w:t>
            </w: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266,259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Cash paid for interest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703,167</w:t>
            </w: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50,441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 obtained in exchange for operating lease liabilities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2,424,642</w:t>
            </w:r>
          </w:p>
        </w:tc>
        <w:tc>
          <w:tcPr>
            <w:tcW w:w="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125,849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Increase in operating right-of-use assets and accounts payable for lessor owned tenant improvements paid by the Company</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214,465</w:t>
            </w: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right-of-use assets obtained in exchange for finance lease liabilities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1,169,095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terminations</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26,631</w:t>
            </w: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of related-party notes payable to member’s equity</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2,450,000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Merchant cash advance accrued guaranteed interest payment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262,500</w:t>
            </w: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291" w:name="page292"/>
    <w:bookmarkEnd w:id="291"/>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Notes to Unaudited Financial Statements</w:t>
      </w:r>
    </w:p>
    <w:p>
      <w:pPr>
        <w:spacing w:after="0" w:line="192" w:lineRule="exact"/>
        <w:rPr>
          <w:sz w:val="20"/>
          <w:szCs w:val="20"/>
          <w:color w:val="auto"/>
        </w:rPr>
      </w:pPr>
    </w:p>
    <w:p>
      <w:pPr>
        <w:ind w:left="269" w:hanging="269"/>
        <w:spacing w:after="0"/>
        <w:tabs>
          <w:tab w:leader="none" w:pos="269" w:val="left"/>
        </w:tabs>
        <w:numPr>
          <w:ilvl w:val="0"/>
          <w:numId w:val="1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Nature of Operations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Organization</w:t>
      </w:r>
    </w:p>
    <w:p>
      <w:pPr>
        <w:spacing w:after="0" w:line="196" w:lineRule="exact"/>
        <w:rPr>
          <w:sz w:val="20"/>
          <w:szCs w:val="20"/>
          <w:color w:val="auto"/>
        </w:rPr>
      </w:pPr>
    </w:p>
    <w:p>
      <w:pPr>
        <w:ind w:left="9"/>
        <w:spacing w:after="0" w:line="287" w:lineRule="auto"/>
        <w:rPr>
          <w:sz w:val="20"/>
          <w:szCs w:val="20"/>
          <w:color w:val="auto"/>
        </w:rPr>
      </w:pPr>
      <w:r>
        <w:rPr>
          <w:rFonts w:ascii="Times New Roman" w:cs="Times New Roman" w:eastAsia="Times New Roman" w:hAnsi="Times New Roman"/>
          <w:sz w:val="15"/>
          <w:szCs w:val="15"/>
          <w:color w:val="auto"/>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spacing w:after="0" w:line="130" w:lineRule="exact"/>
        <w:rPr>
          <w:sz w:val="20"/>
          <w:szCs w:val="20"/>
          <w:color w:val="auto"/>
        </w:rPr>
      </w:pPr>
    </w:p>
    <w:p>
      <w:pPr>
        <w:ind w:left="269" w:hanging="269"/>
        <w:spacing w:after="0"/>
        <w:tabs>
          <w:tab w:leader="none" w:pos="269" w:val="left"/>
        </w:tabs>
        <w:numPr>
          <w:ilvl w:val="0"/>
          <w:numId w:val="11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management to make estimates and assumptions that affect reported amounts and disclosures.</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Accordingly, actual results could differ from those estimates.</w:t>
      </w:r>
    </w:p>
    <w:p>
      <w:pPr>
        <w:spacing w:after="0" w:line="17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Concentrations of Credit Risk</w:t>
      </w:r>
    </w:p>
    <w:p>
      <w:pPr>
        <w:spacing w:after="0" w:line="196"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spacing w:after="0" w:line="134" w:lineRule="exact"/>
        <w:rPr>
          <w:sz w:val="20"/>
          <w:szCs w:val="20"/>
          <w:color w:val="auto"/>
        </w:rPr>
      </w:pPr>
    </w:p>
    <w:p>
      <w:pPr>
        <w:jc w:val="both"/>
        <w:ind w:left="9" w:right="20"/>
        <w:spacing w:after="0" w:line="270" w:lineRule="auto"/>
        <w:rPr>
          <w:sz w:val="20"/>
          <w:szCs w:val="20"/>
          <w:color w:val="auto"/>
        </w:rPr>
      </w:pPr>
      <w:r>
        <w:rPr>
          <w:rFonts w:ascii="Times New Roman" w:cs="Times New Roman" w:eastAsia="Times New Roman" w:hAnsi="Times New Roman"/>
          <w:sz w:val="15"/>
          <w:szCs w:val="15"/>
          <w:color w:val="auto"/>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nine months ended September 30, 2025 and 2024.</w:t>
      </w:r>
    </w:p>
    <w:p>
      <w:pPr>
        <w:spacing w:after="0" w:line="1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Company’s residential customers generally pay for the transaction with financing. Significant lenders were as follows for the nine months ended September 30, 2025 and 2024:</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86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Lender A</w:t>
            </w:r>
          </w:p>
        </w:tc>
        <w:tc>
          <w:tcPr>
            <w:tcW w:w="8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r>
      <w:tr>
        <w:trPr>
          <w:trHeight w:val="182"/>
        </w:trPr>
        <w:tc>
          <w:tcPr>
            <w:tcW w:w="9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Lender B</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w:t>
            </w:r>
          </w:p>
        </w:tc>
      </w:tr>
      <w:tr>
        <w:trPr>
          <w:trHeight w:val="182"/>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Lender C</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9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Lender D</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Lender E</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72%</w:t>
            </w:r>
          </w:p>
        </w:tc>
      </w:tr>
      <w:tr>
        <w:trPr>
          <w:trHeight w:val="365"/>
        </w:trPr>
        <w:tc>
          <w:tcPr>
            <w:tcW w:w="948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   Lender funded less than 10% of sales for the year.</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9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Additionally, the following lenders owed a significant portion of the Company’s account receivable balance as of September 30, 2025 and 2024: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86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Lender B</w:t>
            </w:r>
          </w:p>
        </w:tc>
        <w:tc>
          <w:tcPr>
            <w:tcW w:w="8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47%</w:t>
            </w:r>
          </w:p>
        </w:tc>
      </w:tr>
      <w:tr>
        <w:trPr>
          <w:trHeight w:val="182"/>
        </w:trPr>
        <w:tc>
          <w:tcPr>
            <w:tcW w:w="9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Lender E</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32%</w:t>
            </w:r>
          </w:p>
        </w:tc>
      </w:tr>
      <w:tr>
        <w:trPr>
          <w:trHeight w:val="182"/>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Lender A</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w:t>
            </w:r>
          </w:p>
        </w:tc>
      </w:tr>
    </w:tbl>
    <w:p>
      <w:pPr>
        <w:spacing w:after="0" w:line="163" w:lineRule="exact"/>
        <w:rPr>
          <w:sz w:val="20"/>
          <w:szCs w:val="20"/>
          <w:color w:val="auto"/>
        </w:rPr>
      </w:pPr>
    </w:p>
    <w:p>
      <w:pPr>
        <w:ind w:left="9"/>
        <w:spacing w:after="0"/>
        <w:tabs>
          <w:tab w:leader="none" w:pos="249" w:val="left"/>
        </w:tabs>
        <w:rPr>
          <w:sz w:val="20"/>
          <w:szCs w:val="20"/>
          <w:color w:val="auto"/>
        </w:rPr>
      </w:pPr>
      <w:r>
        <w:rPr>
          <w:rFonts w:ascii="Times New Roman" w:cs="Times New Roman" w:eastAsia="Times New Roman" w:hAnsi="Times New Roman"/>
          <w:sz w:val="15"/>
          <w:szCs w:val="15"/>
          <w:i w:val="1"/>
          <w:iCs w:val="1"/>
          <w:color w:val="auto"/>
        </w:rPr>
        <w:t>*</w:t>
        <w:tab/>
        <w:t>Lender accounted for less than 10% of the accounts receivable balance.</w:t>
      </w:r>
    </w:p>
    <w:p>
      <w:pPr>
        <w:spacing w:after="0" w:line="37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292" w:name="page293"/>
    <w:bookmarkEnd w:id="292"/>
    <w:p>
      <w:pPr>
        <w:ind w:left="9" w:right="380"/>
        <w:spacing w:after="0" w:line="287" w:lineRule="auto"/>
        <w:rPr>
          <w:sz w:val="20"/>
          <w:szCs w:val="20"/>
          <w:color w:val="auto"/>
        </w:rPr>
      </w:pPr>
      <w:r>
        <w:rPr>
          <w:rFonts w:ascii="Times New Roman" w:cs="Times New Roman" w:eastAsia="Times New Roman" w:hAnsi="Times New Roman"/>
          <w:sz w:val="15"/>
          <w:szCs w:val="15"/>
          <w:color w:val="auto"/>
        </w:rPr>
        <w:t>Major vendors are defined as those vendors to which expenditures made by the Company are 10% or more of the Company’s total solar materials costs. The following was a major vendor for the nine months ended September 30, 2025 and 2024:</w:t>
      </w:r>
    </w:p>
    <w:p>
      <w:pPr>
        <w:spacing w:after="0" w:line="141"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86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r>
      <w:tr>
        <w:trPr>
          <w:trHeight w:val="18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Vendor A</w:t>
            </w:r>
          </w:p>
        </w:tc>
        <w:tc>
          <w:tcPr>
            <w:tcW w:w="8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29%</w:t>
            </w:r>
          </w:p>
        </w:tc>
      </w:tr>
      <w:tr>
        <w:trPr>
          <w:trHeight w:val="197"/>
        </w:trPr>
        <w:tc>
          <w:tcPr>
            <w:tcW w:w="9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Vendor B</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w:t>
            </w:r>
          </w:p>
        </w:tc>
      </w:tr>
    </w:tbl>
    <w:p>
      <w:pPr>
        <w:spacing w:after="0" w:line="148" w:lineRule="exact"/>
        <w:rPr>
          <w:sz w:val="20"/>
          <w:szCs w:val="20"/>
          <w:color w:val="auto"/>
        </w:rPr>
      </w:pPr>
    </w:p>
    <w:p>
      <w:pPr>
        <w:ind w:left="269" w:hanging="269"/>
        <w:spacing w:after="0"/>
        <w:tabs>
          <w:tab w:leader="none" w:pos="269" w:val="left"/>
        </w:tabs>
        <w:numPr>
          <w:ilvl w:val="0"/>
          <w:numId w:val="11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Vendor did not represent more than 10% of expenditures.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Lease Commitments</w:t>
      </w:r>
    </w:p>
    <w:p>
      <w:pPr>
        <w:spacing w:after="0" w:line="196" w:lineRule="exact"/>
        <w:rPr>
          <w:sz w:val="20"/>
          <w:szCs w:val="20"/>
          <w:color w:val="auto"/>
        </w:rPr>
      </w:pPr>
    </w:p>
    <w:p>
      <w:pPr>
        <w:jc w:val="both"/>
        <w:ind w:left="9"/>
        <w:spacing w:after="0" w:line="258" w:lineRule="auto"/>
        <w:rPr>
          <w:sz w:val="20"/>
          <w:szCs w:val="20"/>
          <w:color w:val="auto"/>
        </w:rPr>
      </w:pPr>
      <w:r>
        <w:rPr>
          <w:rFonts w:ascii="Times New Roman" w:cs="Times New Roman" w:eastAsia="Times New Roman" w:hAnsi="Times New Roman"/>
          <w:sz w:val="15"/>
          <w:szCs w:val="15"/>
          <w:color w:val="auto"/>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spacing w:after="0" w:line="155"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spacing w:after="0" w:line="146"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 Contract Assets, and Allowance for Credit Losses</w:t>
      </w:r>
    </w:p>
    <w:p>
      <w:pPr>
        <w:spacing w:after="0" w:line="196" w:lineRule="exact"/>
        <w:rPr>
          <w:sz w:val="20"/>
          <w:szCs w:val="20"/>
          <w:color w:val="auto"/>
        </w:rPr>
      </w:pPr>
    </w:p>
    <w:p>
      <w:pPr>
        <w:jc w:val="both"/>
        <w:ind w:left="9"/>
        <w:spacing w:after="0" w:line="258" w:lineRule="auto"/>
        <w:rPr>
          <w:sz w:val="20"/>
          <w:szCs w:val="20"/>
          <w:color w:val="auto"/>
        </w:rPr>
      </w:pPr>
      <w:r>
        <w:rPr>
          <w:rFonts w:ascii="Times New Roman" w:cs="Times New Roman" w:eastAsia="Times New Roman" w:hAnsi="Times New Roman"/>
          <w:sz w:val="15"/>
          <w:szCs w:val="15"/>
          <w:color w:val="auto"/>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period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September 30, 2025 and 2024, the allowance for credit losses was $225,000 and $0.</w:t>
      </w:r>
    </w:p>
    <w:p>
      <w:pPr>
        <w:spacing w:after="0" w:line="33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Tools and gear</w:t>
            </w:r>
          </w:p>
        </w:tc>
        <w:tc>
          <w:tcPr>
            <w:tcW w:w="5320" w:type="dxa"/>
            <w:vAlign w:val="bottom"/>
            <w:shd w:val="clear" w:color="auto" w:fill="CCEEFF"/>
          </w:tcPr>
          <w:p>
            <w:pPr>
              <w:jc w:val="center"/>
              <w:ind w:left="4024"/>
              <w:spacing w:after="0"/>
              <w:rPr>
                <w:sz w:val="20"/>
                <w:szCs w:val="20"/>
                <w:color w:val="auto"/>
              </w:rPr>
            </w:pPr>
            <w:r>
              <w:rPr>
                <w:rFonts w:ascii="Times New Roman" w:cs="Times New Roman" w:eastAsia="Times New Roman" w:hAnsi="Times New Roman"/>
                <w:sz w:val="15"/>
                <w:szCs w:val="15"/>
                <w:color w:val="auto"/>
                <w:w w:val="97"/>
              </w:rPr>
              <w:t>3 years</w:t>
            </w:r>
          </w:p>
        </w:tc>
      </w:tr>
      <w:tr>
        <w:trPr>
          <w:trHeight w:val="182"/>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Computer equipment</w:t>
            </w:r>
          </w:p>
        </w:tc>
        <w:tc>
          <w:tcPr>
            <w:tcW w:w="5320" w:type="dxa"/>
            <w:vAlign w:val="bottom"/>
          </w:tcPr>
          <w:p>
            <w:pPr>
              <w:jc w:val="center"/>
              <w:ind w:left="4024"/>
              <w:spacing w:after="0"/>
              <w:rPr>
                <w:sz w:val="20"/>
                <w:szCs w:val="20"/>
                <w:color w:val="auto"/>
              </w:rPr>
            </w:pPr>
            <w:r>
              <w:rPr>
                <w:rFonts w:ascii="Times New Roman" w:cs="Times New Roman" w:eastAsia="Times New Roman" w:hAnsi="Times New Roman"/>
                <w:sz w:val="15"/>
                <w:szCs w:val="15"/>
                <w:color w:val="auto"/>
                <w:w w:val="97"/>
              </w:rPr>
              <w:t>3 years</w:t>
            </w:r>
          </w:p>
        </w:tc>
      </w:tr>
      <w:tr>
        <w:trPr>
          <w:trHeight w:val="18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w:t>
            </w:r>
          </w:p>
        </w:tc>
        <w:tc>
          <w:tcPr>
            <w:tcW w:w="5320" w:type="dxa"/>
            <w:vAlign w:val="bottom"/>
            <w:shd w:val="clear" w:color="auto" w:fill="CCEEFF"/>
          </w:tcPr>
          <w:p>
            <w:pPr>
              <w:jc w:val="center"/>
              <w:ind w:left="4024"/>
              <w:spacing w:after="0"/>
              <w:rPr>
                <w:sz w:val="20"/>
                <w:szCs w:val="20"/>
                <w:color w:val="auto"/>
              </w:rPr>
            </w:pPr>
            <w:r>
              <w:rPr>
                <w:rFonts w:ascii="Times New Roman" w:cs="Times New Roman" w:eastAsia="Times New Roman" w:hAnsi="Times New Roman"/>
                <w:sz w:val="15"/>
                <w:szCs w:val="15"/>
                <w:color w:val="auto"/>
                <w:w w:val="97"/>
              </w:rPr>
              <w:t>5 years</w:t>
            </w:r>
          </w:p>
        </w:tc>
      </w:tr>
      <w:tr>
        <w:trPr>
          <w:trHeight w:val="182"/>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Vehicles</w:t>
            </w:r>
          </w:p>
        </w:tc>
        <w:tc>
          <w:tcPr>
            <w:tcW w:w="5320" w:type="dxa"/>
            <w:vAlign w:val="bottom"/>
          </w:tcPr>
          <w:p>
            <w:pPr>
              <w:jc w:val="center"/>
              <w:ind w:left="4024"/>
              <w:spacing w:after="0"/>
              <w:rPr>
                <w:sz w:val="20"/>
                <w:szCs w:val="20"/>
                <w:color w:val="auto"/>
              </w:rPr>
            </w:pPr>
            <w:r>
              <w:rPr>
                <w:rFonts w:ascii="Times New Roman" w:cs="Times New Roman" w:eastAsia="Times New Roman" w:hAnsi="Times New Roman"/>
                <w:sz w:val="15"/>
                <w:szCs w:val="15"/>
                <w:color w:val="auto"/>
                <w:w w:val="97"/>
              </w:rPr>
              <w:t>3 years</w:t>
            </w:r>
          </w:p>
        </w:tc>
      </w:tr>
      <w:tr>
        <w:trPr>
          <w:trHeight w:val="18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equipment</w:t>
            </w:r>
          </w:p>
        </w:tc>
        <w:tc>
          <w:tcPr>
            <w:tcW w:w="5320" w:type="dxa"/>
            <w:vAlign w:val="bottom"/>
            <w:shd w:val="clear" w:color="auto" w:fill="CCEEFF"/>
          </w:tcPr>
          <w:p>
            <w:pPr>
              <w:jc w:val="center"/>
              <w:ind w:left="4024"/>
              <w:spacing w:after="0"/>
              <w:rPr>
                <w:sz w:val="20"/>
                <w:szCs w:val="20"/>
                <w:color w:val="auto"/>
              </w:rPr>
            </w:pPr>
            <w:r>
              <w:rPr>
                <w:rFonts w:ascii="Times New Roman" w:cs="Times New Roman" w:eastAsia="Times New Roman" w:hAnsi="Times New Roman"/>
                <w:sz w:val="15"/>
                <w:szCs w:val="15"/>
                <w:color w:val="auto"/>
                <w:w w:val="97"/>
              </w:rPr>
              <w:t>3 years</w:t>
            </w:r>
          </w:p>
        </w:tc>
      </w:tr>
      <w:tr>
        <w:trPr>
          <w:trHeight w:val="205"/>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5320" w:type="dxa"/>
            <w:vAlign w:val="bottom"/>
          </w:tcPr>
          <w:p>
            <w:pPr>
              <w:jc w:val="center"/>
              <w:ind w:left="4004"/>
              <w:spacing w:after="0"/>
              <w:rPr>
                <w:sz w:val="20"/>
                <w:szCs w:val="20"/>
                <w:color w:val="auto"/>
              </w:rPr>
            </w:pPr>
            <w:r>
              <w:rPr>
                <w:rFonts w:ascii="Times New Roman" w:cs="Times New Roman" w:eastAsia="Times New Roman" w:hAnsi="Times New Roman"/>
                <w:sz w:val="15"/>
                <w:szCs w:val="15"/>
                <w:color w:val="auto"/>
              </w:rPr>
              <w:t>1-5 years</w:t>
            </w:r>
          </w:p>
        </w:tc>
      </w:tr>
    </w:tbl>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statements of operations and member’s deficit.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Impairment of Long-Lived Tangible Assets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September 30, 2025 and 2024, management determined that the Company’s tangible assets were not impaired.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is organized as a limited liability company and is generally not subject to income taxes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its member to pay income tax liabilities.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September 30, 2025 and 2024, the Company had no uncertain tax positions that qualified for either recognition or disclosure in the financial statements. The Company is subject to routine audits by tax jurisdictions; however, there are currently no audits in progress.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 and Deferred Revenue</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primarily generates its revenues from selling and installing solar energy systems. Revenues are recognized when control of installed solar systems is transferred to customers in an amount that reflects the consideration expected to be received by the Company in exchange for the installed solar system. The Company determines revenue recognition through the following steps:</w:t>
      </w:r>
    </w:p>
    <w:p>
      <w:pPr>
        <w:spacing w:after="0" w:line="146" w:lineRule="exact"/>
        <w:rPr>
          <w:sz w:val="20"/>
          <w:szCs w:val="20"/>
          <w:color w:val="auto"/>
        </w:rPr>
      </w:pPr>
    </w:p>
    <w:p>
      <w:pPr>
        <w:ind w:left="540" w:hanging="276"/>
        <w:spacing w:after="0"/>
        <w:tabs>
          <w:tab w:leader="none" w:pos="5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Identification of the contract, or contracts, with a customer</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Identification of the performance obligations in the contract</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Determination of the transaction price</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Allocation of the transaction price to the performance obligations in the contract</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Recognition of revenue when, or as, each performance obligation is satisfied</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5"/>
          <w:szCs w:val="15"/>
          <w:u w:val="single" w:color="auto"/>
          <w:color w:val="auto"/>
        </w:rPr>
        <w:t>Installation Services</w:t>
      </w:r>
    </w:p>
    <w:p>
      <w:pPr>
        <w:spacing w:after="0" w:line="1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Company’s principal performance obligation is to install a solar energy system. The Company recognizes revenue upon receiving notice of the completion of the final inspection of the respective solar energy system.</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Revenue is recognized at the total contract price that the end residential customer has agreed to pay before any cost of financing incurred by the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HVAC and Roofing Services</w:t>
      </w:r>
    </w:p>
    <w:p>
      <w:pPr>
        <w:spacing w:after="0" w:line="19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Company’s principal performance obligation is to complete the installation of the HVAC system or roof. The Company recognizes revenue upon the completion of the HVAC system or roof installation.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the Company’s revenue disaggregated by revenue source (recognized at a point in time) for the nine months ended September 30, 2025 and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Installation services revenue</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59,438,442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28,114,668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HVAC revenue</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990,177</w:t>
            </w: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Roofing revenue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647,106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r>
      <w:tr>
        <w:trPr>
          <w:trHeight w:val="168"/>
        </w:trPr>
        <w:tc>
          <w:tcPr>
            <w:tcW w:w="868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61,075,725</w:t>
            </w: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28,114,668</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Contract Balances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beginning and ending contract balances were as follows: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5"/>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3"/>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82"/>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1,293,174</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1,010,295</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155,801</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Unbilled receivables</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5,715,605</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4,601,890</w:t>
            </w:r>
          </w:p>
        </w:tc>
        <w:tc>
          <w:tcPr>
            <w:tcW w:w="8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3,916,562</w:t>
            </w:r>
          </w:p>
        </w:tc>
      </w:tr>
      <w:tr>
        <w:trPr>
          <w:trHeight w:val="182"/>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7,701,532</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10,585,293</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11,661,448</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Limited Warranty</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will be watertight. The Company estimates its liability for warranty claims based historical claim patterns and known conditions at the time. To date, warranty claims have been nominal. Accordingly, there was no warranty accrual recorded as of September 30, 2025 and December 31, 2024.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295" w:name="page296"/>
    <w:bookmarkEnd w:id="295"/>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Deferred Commissions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Costs Incurred to Acquire Customer Contracts</w:t>
      </w:r>
    </w:p>
    <w:p>
      <w:pPr>
        <w:spacing w:after="0" w:line="196" w:lineRule="exact"/>
        <w:rPr>
          <w:sz w:val="20"/>
          <w:szCs w:val="20"/>
          <w:color w:val="auto"/>
        </w:rPr>
      </w:pPr>
    </w:p>
    <w:p>
      <w:pPr>
        <w:jc w:val="both"/>
        <w:ind w:left="9"/>
        <w:spacing w:after="0" w:line="260" w:lineRule="auto"/>
        <w:rPr>
          <w:sz w:val="20"/>
          <w:szCs w:val="20"/>
          <w:color w:val="auto"/>
        </w:rPr>
      </w:pPr>
      <w:r>
        <w:rPr>
          <w:rFonts w:ascii="Times New Roman" w:cs="Times New Roman" w:eastAsia="Times New Roman" w:hAnsi="Times New Roman"/>
          <w:sz w:val="15"/>
          <w:szCs w:val="15"/>
          <w:color w:val="auto"/>
        </w:rPr>
        <w:t xml:space="preserve">The Company recognizes an asset for incremental costs of obtaining a contract with the customer if management expects to recover these costs. Incremental costs are those that would not have been incurred if the contract had not existed.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 w:cs="Times New Roman" w:eastAsia="Times New Roman" w:hAnsi="Times New Roman"/>
          <w:sz w:val="15"/>
          <w:szCs w:val="15"/>
          <w:i w:val="1"/>
          <w:iCs w:val="1"/>
          <w:color w:val="auto"/>
        </w:rPr>
        <w:t>Other Assets and Deferred Costs: Contracts with Customers</w:t>
      </w:r>
      <w:r>
        <w:rPr>
          <w:rFonts w:ascii="Times New Roman" w:cs="Times New Roman" w:eastAsia="Times New Roman" w:hAnsi="Times New Roman"/>
          <w:sz w:val="15"/>
          <w:szCs w:val="15"/>
          <w:color w:val="auto"/>
        </w:rPr>
        <w:t xml:space="preserve"> and expenses all incremental costs to acquire customers contracts upon installation of the solar system.</w:t>
      </w:r>
    </w:p>
    <w:p>
      <w:pPr>
        <w:spacing w:after="0" w:line="14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Deferred Contract Fulfillment Costs</w:t>
      </w:r>
    </w:p>
    <w:p>
      <w:pPr>
        <w:spacing w:after="0" w:line="196" w:lineRule="exact"/>
        <w:rPr>
          <w:sz w:val="20"/>
          <w:szCs w:val="20"/>
          <w:color w:val="auto"/>
        </w:rPr>
      </w:pPr>
    </w:p>
    <w:p>
      <w:pPr>
        <w:jc w:val="both"/>
        <w:ind w:left="9" w:right="20"/>
        <w:spacing w:after="0" w:line="270" w:lineRule="auto"/>
        <w:rPr>
          <w:sz w:val="20"/>
          <w:szCs w:val="20"/>
          <w:color w:val="auto"/>
        </w:rPr>
      </w:pPr>
      <w:r>
        <w:rPr>
          <w:rFonts w:ascii="Times New Roman" w:cs="Times New Roman" w:eastAsia="Times New Roman" w:hAnsi="Times New Roman"/>
          <w:sz w:val="15"/>
          <w:szCs w:val="15"/>
          <w:color w:val="auto"/>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Advertising</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Advertising costs are expensed as incurred. Advertising expense for the nine months ended September 30, 2025 and 2024 totaled approximately $304,000 and $140,000, respectively.</w:t>
      </w:r>
    </w:p>
    <w:p>
      <w:pPr>
        <w:spacing w:after="0" w:line="1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Sales Tax</w:t>
      </w:r>
    </w:p>
    <w:p>
      <w:pPr>
        <w:spacing w:after="0" w:line="196" w:lineRule="exact"/>
        <w:rPr>
          <w:sz w:val="20"/>
          <w:szCs w:val="20"/>
          <w:color w:val="auto"/>
        </w:rPr>
      </w:pPr>
    </w:p>
    <w:p>
      <w:pPr>
        <w:jc w:val="both"/>
        <w:ind w:left="9" w:right="20"/>
        <w:spacing w:after="0" w:line="287" w:lineRule="auto"/>
        <w:rPr>
          <w:sz w:val="20"/>
          <w:szCs w:val="20"/>
          <w:color w:val="auto"/>
        </w:rPr>
      </w:pPr>
      <w:r>
        <w:rPr>
          <w:rFonts w:ascii="Times New Roman" w:cs="Times New Roman" w:eastAsia="Times New Roman" w:hAnsi="Times New Roman"/>
          <w:sz w:val="15"/>
          <w:szCs w:val="15"/>
          <w:color w:val="auto"/>
        </w:rPr>
        <w:t>The Company collects sales and other taxes from certain customers and remits those taxes to governmental agencies. The Company reports the collection of these taxes on a net basis and such taxes are excluded from revenues.</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Subsequent Events</w:t>
      </w:r>
    </w:p>
    <w:p>
      <w:pPr>
        <w:spacing w:after="0" w:line="196" w:lineRule="exact"/>
        <w:rPr>
          <w:sz w:val="20"/>
          <w:szCs w:val="20"/>
          <w:color w:val="auto"/>
        </w:rPr>
      </w:pPr>
    </w:p>
    <w:p>
      <w:pPr>
        <w:jc w:val="both"/>
        <w:ind w:left="9" w:right="20"/>
        <w:spacing w:after="0" w:line="263" w:lineRule="auto"/>
        <w:rPr>
          <w:sz w:val="20"/>
          <w:szCs w:val="20"/>
          <w:color w:val="auto"/>
        </w:rPr>
      </w:pPr>
      <w:r>
        <w:rPr>
          <w:rFonts w:ascii="Times New Roman" w:cs="Times New Roman" w:eastAsia="Times New Roman" w:hAnsi="Times New Roman"/>
          <w:sz w:val="15"/>
          <w:szCs w:val="15"/>
          <w:color w:val="auto"/>
        </w:rPr>
        <w:t>Management has evaluated events and transactions for potential recognition or disclosure through January 12, 2026, which is the date the financial statements were available to be issued.</w:t>
      </w:r>
    </w:p>
    <w:p>
      <w:pPr>
        <w:spacing w:after="0" w:line="353" w:lineRule="exact"/>
        <w:rPr>
          <w:sz w:val="20"/>
          <w:szCs w:val="20"/>
          <w:color w:val="auto"/>
        </w:rPr>
      </w:pPr>
    </w:p>
    <w:p>
      <w:pPr>
        <w:ind w:left="269" w:hanging="269"/>
        <w:spacing w:after="0"/>
        <w:tabs>
          <w:tab w:leader="none" w:pos="269" w:val="left"/>
        </w:tabs>
        <w:numPr>
          <w:ilvl w:val="0"/>
          <w:numId w:val="12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Liquidity</w:t>
      </w:r>
    </w:p>
    <w:p>
      <w:pPr>
        <w:spacing w:after="0" w:line="196"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In assessing the Company’s liquidity, the Company monitors and analyzes its cash and its ability to generate sufficient cash flow to support its operating and capital expenditure commitments. As of September 30, 2025, the Company had a working capital surplus of approximately $347,000 and stockholders’ deficit of approximately $8,229,000. For the nine months ended September 30, 2025, the Company had a net loss of approximately $1,197,000 and used cash in operating activities of approximately $1,186,000.</w:t>
      </w:r>
    </w:p>
    <w:p>
      <w:pPr>
        <w:spacing w:after="0" w:line="146"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On November 11, 2025, the Company entered a non-binding letter of intent with SunPower, Inc. to be acquired for $37,500,000. The transaction closed on November 21, 2025, resulting in the Company becoming a wholly owned subsidiary of SunPower, Inc. The acquisition of the Company effectively merged the Company’s operations into SunPower, Inc., which provided the Company with any additional liquidity that may have been needed.</w:t>
      </w:r>
    </w:p>
    <w:p>
      <w:pPr>
        <w:spacing w:after="0" w:line="3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296" w:name="page297"/>
    <w:bookmarkEnd w:id="296"/>
    <w:tbl>
      <w:tblPr>
        <w:tblLayout w:type="fixed"/>
        <w:tblInd w:w="9" w:type="dxa"/>
        <w:tblCellMar>
          <w:top w:w="0" w:type="dxa"/>
          <w:left w:w="0" w:type="dxa"/>
          <w:bottom w:w="0" w:type="dxa"/>
          <w:right w:w="0" w:type="dxa"/>
        </w:tblCellMar>
      </w:tblPr>
      <w:tr>
        <w:trPr>
          <w:trHeight w:val="201"/>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4.  Property and Equipment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consisted of the following as of September 30, 2025 and December 31, 2024: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24"/>
                <w:szCs w:val="24"/>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equipment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251,199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Tools and gear</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152,426</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296,085</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 equipment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95,530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54,392</w:t>
            </w: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92,373</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76,701</w:t>
            </w: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Vehicles</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77,990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52,552</w:t>
            </w: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Furniture</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32,400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30,946</w:t>
            </w:r>
          </w:p>
        </w:tc>
      </w:tr>
      <w:tr>
        <w:trPr>
          <w:trHeight w:val="182"/>
        </w:trPr>
        <w:tc>
          <w:tcPr>
            <w:tcW w:w="86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701,918</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510,676</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(277,887)</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(125,484)</w:t>
            </w:r>
          </w:p>
        </w:tc>
      </w:tr>
      <w:tr>
        <w:trPr>
          <w:trHeight w:val="185"/>
        </w:trPr>
        <w:tc>
          <w:tcPr>
            <w:tcW w:w="86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424,031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385,192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67"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Depreciation and amortization expense on property and equipment was calculated on a straight-line basis and for the nine months ended September 30, 2025 and 2024 was $152,404 and $62,514, respectively. Amortization of right-of-use assets held under finance leases for the nine months ended September 30, 2025 and 2024 was $342,163 and $173,790, respectively; and is included in depreciation and amortization expense in the statements of operations and member’s deficit.</w:t>
      </w:r>
    </w:p>
    <w:p>
      <w:pPr>
        <w:spacing w:after="0" w:line="142" w:lineRule="exact"/>
        <w:rPr>
          <w:sz w:val="20"/>
          <w:szCs w:val="20"/>
          <w:color w:val="auto"/>
        </w:rPr>
      </w:pPr>
    </w:p>
    <w:p>
      <w:pPr>
        <w:ind w:left="269" w:hanging="269"/>
        <w:spacing w:after="0"/>
        <w:tabs>
          <w:tab w:leader="none" w:pos="269" w:val="left"/>
        </w:tabs>
        <w:numPr>
          <w:ilvl w:val="0"/>
          <w:numId w:val="1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Related-Party Notes Payable</w:t>
      </w:r>
    </w:p>
    <w:p>
      <w:pPr>
        <w:spacing w:after="0" w:line="196"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spacing w:after="0" w:line="3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197"/>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As of September 30, 2025, the future maturities of related-party notes payable are as follows: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8"/>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year ending December 31:</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9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 (Remainder)</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99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3,100,000</w:t>
            </w:r>
          </w:p>
        </w:tc>
      </w:tr>
      <w:tr>
        <w:trPr>
          <w:trHeight w:val="182"/>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992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4,040,109</w:t>
            </w:r>
          </w:p>
        </w:tc>
      </w:tr>
      <w:tr>
        <w:trPr>
          <w:trHeight w:val="182"/>
        </w:trPr>
        <w:tc>
          <w:tcPr>
            <w:tcW w:w="9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9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7,140,109</w:t>
            </w:r>
          </w:p>
        </w:tc>
      </w:tr>
      <w:tr>
        <w:trPr>
          <w:trHeight w:val="365"/>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6.  Related-Party Lines of Credit</w:t>
            </w: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 has entered into verbal line of credit agreements with related parties. These lines of credit have maximum balances of $500,000 to $1,400,000 and bear interest on their outstanding individual balances at an interest rate of 13%. Principal and interest are not due until the maturity date which range from May to July 2027.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As of September 30, 2025, the future maturities of related-party lines of credit are as follows: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8"/>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year ending December 31:</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9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 (Remainder)</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99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2,675,000</w:t>
            </w:r>
          </w:p>
        </w:tc>
      </w:tr>
      <w:tr>
        <w:trPr>
          <w:trHeight w:val="182"/>
        </w:trPr>
        <w:tc>
          <w:tcPr>
            <w:tcW w:w="99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3"/>
        </w:trPr>
        <w:tc>
          <w:tcPr>
            <w:tcW w:w="9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2,675,000</w:t>
            </w:r>
          </w:p>
        </w:tc>
      </w:tr>
      <w:tr>
        <w:trPr>
          <w:trHeight w:val="347"/>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7.  Merchant Cash Advance</w:t>
            </w: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entered into a merchant cash advance lender agreement on April 22, 2025. Under the terms of the agreement, the Company received $1,000,000 in cash, exclusive of a transaction fee of 3.00%, or $25,000. The Company repaid the advance as of September 30, 2025, plus an additional $320,000, which is included as interest expense on the statements of operations and member’s deficit.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 entered into a merchant cash advance lender agreement on September 26, 2025. Under the terms of the agreement, the Company received $750,000 in cash, exclusive of a transaction fee of 3.00%, or $22,500. The amount to be repaid is as follows under the terms of the agreement:</w:t>
      </w:r>
    </w:p>
    <w:p>
      <w:pPr>
        <w:spacing w:after="0" w:line="134" w:lineRule="exact"/>
        <w:rPr>
          <w:sz w:val="20"/>
          <w:szCs w:val="20"/>
          <w:color w:val="auto"/>
        </w:rPr>
      </w:pPr>
    </w:p>
    <w:p>
      <w:pPr>
        <w:ind w:left="540" w:hanging="276"/>
        <w:spacing w:after="0"/>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30 days, $862,500.</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60 days, $892,500.</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90 days, $922,500.</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120 days, $952,500.</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120 days, $1,012,500.</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term of the agreement depends upon the Company’s cash receipts, and is calculated as 11.00% of receipts, as defined in the terms of the agreement. The estimated weekly payment is $21,094. Management estimates that the amount will not be repaid within 120 days and as of September 30, 2025 have accrued the additional $262,500 above the amount borrowed, which is included as part of accrued expenses on the balance sheet. The $262,500 is recorded as a debt discount against the merchant cash advance and is being amortized over the term of the advance to interest expense.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298" w:name="page299"/>
    <w:bookmarkEnd w:id="298"/>
    <w:p>
      <w:pPr>
        <w:ind w:left="269" w:hanging="269"/>
        <w:spacing w:after="0"/>
        <w:tabs>
          <w:tab w:leader="none" w:pos="269" w:val="left"/>
        </w:tabs>
        <w:numPr>
          <w:ilvl w:val="0"/>
          <w:numId w:val="1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Member’s Deficit</w:t>
      </w:r>
    </w:p>
    <w:p>
      <w:pPr>
        <w:spacing w:after="0" w:line="196" w:lineRule="exact"/>
        <w:rPr>
          <w:sz w:val="20"/>
          <w:szCs w:val="20"/>
          <w:color w:val="auto"/>
        </w:rPr>
      </w:pPr>
    </w:p>
    <w:p>
      <w:pPr>
        <w:ind w:left="9"/>
        <w:spacing w:after="0" w:line="287" w:lineRule="auto"/>
        <w:rPr>
          <w:sz w:val="20"/>
          <w:szCs w:val="20"/>
          <w:color w:val="auto"/>
        </w:rPr>
      </w:pPr>
      <w:r>
        <w:rPr>
          <w:rFonts w:ascii="Times New Roman" w:cs="Times New Roman" w:eastAsia="Times New Roman" w:hAnsi="Times New Roman"/>
          <w:sz w:val="15"/>
          <w:szCs w:val="15"/>
          <w:color w:val="auto"/>
        </w:rPr>
        <w:t>The Company is wholly owned by Ambia Holdings, Inc. and 100% of the membership interests outstanding are held by Ambia Holdings, Inc. A members liability is limited, and all such debts, obligations and liabilities of the Company are solely the debts and obligations of the Company.</w:t>
      </w:r>
    </w:p>
    <w:p>
      <w:pPr>
        <w:spacing w:after="0" w:line="130" w:lineRule="exact"/>
        <w:rPr>
          <w:sz w:val="20"/>
          <w:szCs w:val="20"/>
          <w:color w:val="auto"/>
        </w:rPr>
      </w:pPr>
    </w:p>
    <w:p>
      <w:pPr>
        <w:ind w:left="269" w:hanging="269"/>
        <w:spacing w:after="0"/>
        <w:tabs>
          <w:tab w:leader="none" w:pos="269" w:val="left"/>
        </w:tabs>
        <w:numPr>
          <w:ilvl w:val="0"/>
          <w:numId w:val="1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and Contingencies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Litigation</w:t>
      </w:r>
    </w:p>
    <w:p>
      <w:pPr>
        <w:spacing w:after="0" w:line="196"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Commitment to Former Employee</w:t>
      </w:r>
    </w:p>
    <w:p>
      <w:pPr>
        <w:spacing w:after="0" w:line="196"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spacing w:after="0" w:line="155"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During the nine months ended September 30, 2025, the Company forgave $200,000 in draws. As of September 30, 2025 and December 31, 2024, the outstanding balance under this loan agreement was $200,000 and $400,000, respectively, and is included within accrued expenses on the balance sheet. If not forgiven, the entire balance under this agreement is due on January 15, 2028.</w:t>
      </w:r>
    </w:p>
    <w:p>
      <w:pPr>
        <w:spacing w:after="0" w:line="14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10. Leases</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Finance lease assets are recorded net of accumulated amortization of $632,934 and $187,249, respectively, as of September 30, 2025 and December 31, 2024.</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components of lease expense were as follows for the nine months ended September 30, 2025 and 2024:</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51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Lease Cost</w:t>
            </w:r>
          </w:p>
        </w:tc>
        <w:tc>
          <w:tcPr>
            <w:tcW w:w="3500" w:type="dxa"/>
            <w:vAlign w:val="bottom"/>
            <w:gridSpan w:val="2"/>
          </w:tcPr>
          <w:p>
            <w:pPr>
              <w:ind w:left="126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260" w:type="dxa"/>
            <w:vAlign w:val="bottom"/>
          </w:tcPr>
          <w:p>
            <w:pPr>
              <w:spacing w:after="0"/>
              <w:rPr>
                <w:sz w:val="17"/>
                <w:szCs w:val="17"/>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w:t>
            </w:r>
          </w:p>
        </w:tc>
        <w:tc>
          <w:tcPr>
            <w:tcW w:w="120" w:type="dxa"/>
            <w:vAlign w:val="bottom"/>
            <w:tcBorders>
              <w:top w:val="single" w:sz="8" w:color="CCEEFF"/>
            </w:tcBorders>
            <w:shd w:val="clear" w:color="auto" w:fill="CCEEFF"/>
          </w:tcPr>
          <w:p>
            <w:pPr>
              <w:spacing w:after="0"/>
              <w:rPr>
                <w:sz w:val="15"/>
                <w:szCs w:val="15"/>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Rent</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611,224</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632,804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w:t>
            </w:r>
          </w:p>
        </w:tc>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 amortization</w:t>
            </w: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342,163</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173,790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on liability</w:t>
            </w:r>
          </w:p>
        </w:tc>
        <w:tc>
          <w:tcPr>
            <w:tcW w:w="3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interest expense</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47,543</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lease cost</w:t>
            </w:r>
          </w:p>
        </w:tc>
        <w:tc>
          <w:tcPr>
            <w:tcW w:w="3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1,000,930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834,531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5"/>
                <w:szCs w:val="15"/>
                <w:color w:val="auto"/>
              </w:rPr>
              <w:t>F-163</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9"/>
          </w:cols>
          <w:pgMar w:left="311" w:top="304" w:right="319" w:bottom="1440" w:gutter="0" w:footer="0" w:header="0"/>
        </w:sectPr>
      </w:pPr>
    </w:p>
    <w:bookmarkStart w:id="299" w:name="page300"/>
    <w:bookmarkEnd w:id="2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weighted average remaining lease terms and interest rates were as follows as of September 30, 2025 and December 31, 2024:</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78"/>
        </w:trPr>
        <w:tc>
          <w:tcPr>
            <w:tcW w:w="8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Lease Term and Discount Rate</w:t>
            </w:r>
          </w:p>
        </w:tc>
        <w:tc>
          <w:tcPr>
            <w:tcW w:w="1100" w:type="dxa"/>
            <w:vAlign w:val="bottom"/>
          </w:tcPr>
          <w:p>
            <w:pPr>
              <w:ind w:left="4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Pr>
          <w:p>
            <w:pPr>
              <w:spacing w:after="0"/>
              <w:rPr>
                <w:sz w:val="24"/>
                <w:szCs w:val="24"/>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8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Weighted average remaining lease term (years)</w:t>
            </w: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4.23</w:t>
            </w:r>
          </w:p>
        </w:tc>
        <w:tc>
          <w:tcPr>
            <w:tcW w:w="12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2.34</w:t>
            </w:r>
          </w:p>
        </w:tc>
      </w:tr>
      <w:tr>
        <w:trPr>
          <w:trHeight w:val="182"/>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Finance leases</w:t>
            </w: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5"/>
                <w:szCs w:val="15"/>
                <w:color w:val="auto"/>
              </w:rPr>
              <w:t>3.69</w:t>
            </w: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4.51</w:t>
            </w: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5"/>
                <w:szCs w:val="15"/>
                <w:color w:val="auto"/>
              </w:rPr>
              <w:t>6.60%</w:t>
            </w:r>
          </w:p>
        </w:tc>
        <w:tc>
          <w:tcPr>
            <w:tcW w:w="126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w w:val="97"/>
              </w:rPr>
              <w:t>4.25%</w:t>
            </w:r>
          </w:p>
        </w:tc>
      </w:tr>
      <w:tr>
        <w:trPr>
          <w:trHeight w:val="182"/>
        </w:trPr>
        <w:tc>
          <w:tcPr>
            <w:tcW w:w="20" w:type="dxa"/>
            <w:vAlign w:val="bottom"/>
          </w:tcPr>
          <w:p>
            <w:pPr>
              <w:spacing w:after="0"/>
              <w:rPr>
                <w:sz w:val="15"/>
                <w:szCs w:val="15"/>
                <w:color w:val="auto"/>
              </w:rPr>
            </w:pPr>
          </w:p>
        </w:tc>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leaess</w:t>
            </w: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4.31%</w:t>
            </w:r>
          </w:p>
        </w:tc>
        <w:tc>
          <w:tcPr>
            <w:tcW w:w="12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w w:val="97"/>
              </w:rPr>
              <w:t>4.13%</w:t>
            </w:r>
          </w:p>
        </w:tc>
      </w:tr>
    </w:tbl>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following table reconciles the undiscounted future cash flows for the next five years to the operating and finance lease liabilities recorded within the balance sheet as of September 30,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For the year ending December 31:</w:t>
            </w:r>
          </w:p>
        </w:tc>
        <w:tc>
          <w:tcPr>
            <w:tcW w:w="14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Operating</w:t>
            </w:r>
          </w:p>
        </w:tc>
        <w:tc>
          <w:tcPr>
            <w:tcW w:w="180" w:type="dxa"/>
            <w:vAlign w:val="bottom"/>
          </w:tcPr>
          <w:p>
            <w:pPr>
              <w:spacing w:after="0"/>
              <w:rPr>
                <w:sz w:val="17"/>
                <w:szCs w:val="17"/>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Finance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 (Remainder)</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187,097</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114,134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570,490</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364,512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689,483</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374,183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759,660</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399,923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741,734</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232,443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5"/>
                <w:szCs w:val="15"/>
                <w:color w:val="auto"/>
              </w:rPr>
              <w:t>2030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312,086</w:t>
            </w: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lease payments</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3,260,550</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1,485,195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interest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(492,202)</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(190,552)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60" w:type="dxa"/>
            <w:vAlign w:val="bottom"/>
            <w:tcBorders>
              <w:top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5"/>
                <w:szCs w:val="15"/>
                <w:color w:val="auto"/>
              </w:rPr>
              <w:t>Present value of lease liabilities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2,768,348</w:t>
            </w:r>
          </w:p>
        </w:tc>
        <w:tc>
          <w:tcPr>
            <w:tcW w:w="220" w:type="dxa"/>
            <w:vAlign w:val="bottom"/>
            <w:tcBorders>
              <w:top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1,294,643</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Rent expense related to short-term leases for the nine months ended September 30, 2025 and 2024 was $224,202 and $36,513, respectively. Cash payments made for the nine months ended September 30, 2025 and 2024 that are included in the measurement of lease liabilities was $681,392 and $643,415,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 Related Party Transactions Not Disclosed Elsewhere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Sales Commissions Receivables</w:t>
      </w:r>
    </w:p>
    <w:p>
      <w:pPr>
        <w:spacing w:after="0" w:line="1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Sales commissions receivables consist of commissions receivable due from employees and contractors owed to the Company. As of September 30, 2025 sales commissions receivable was approximately $1,581,000, net of allowance of approximately $760,000. As of December 31, 2024, sales commissions receivable was approximately $424,000, net of allowance of $0.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5"/>
          <w:szCs w:val="15"/>
          <w:b w:val="1"/>
          <w:bCs w:val="1"/>
          <w:i w:val="1"/>
          <w:iCs w:val="1"/>
          <w:color w:val="auto"/>
        </w:rPr>
        <w:t>Related-Party Accounts Payable</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A related-party entity will on occasion pay for bills on the Company’s behalf, and other amounts due to this entity arise over the normal course of business operations. As of September 30, 2025 and December 31, 2024, the Company owed approximately $294,000 and $510,000, respectively, to this entity.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Related-Party Accrued Interest</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As of September 30, 2025 and December 31, 2024, accrued interest due to related parties of approximately $1,343,000 and $1,091,000, respectively, is included in accrued expenses in the balance sheet.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Benefit Plan</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nine months ended September 30, 2025 and 2024, the Company made $219,037 and $148,663, respectively, in matching contributions to the plan.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 Subsequent Events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November 11, 2025, the Company entered a non-binding letter of intent with SunPower, Inc. to be acquired for $37,500,000. The transaction closed on November 21, 2025.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01" w:name="page302"/>
    <w:bookmarkEnd w:id="3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833120</wp:posOffset>
            </wp:positionH>
            <wp:positionV relativeFrom="page">
              <wp:posOffset>204470</wp:posOffset>
            </wp:positionV>
            <wp:extent cx="5860415" cy="75876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5860415" cy="758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7153910" cy="146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2" w:name="page303"/>
    <w:bookmarkEnd w:id="302"/>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205105</wp:posOffset>
            </wp:positionV>
            <wp:extent cx="6864985" cy="7226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64985" cy="722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b w:val="1"/>
          <w:bCs w:val="1"/>
          <w:color w:val="auto"/>
        </w:rPr>
        <w:t>To the Members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Ambia Energy,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We have audited the accompanying financial statements of Ambia Energy, LLC (the Company), which comprise the balance sheet as of December 31, 2024, and the related statement of operations and member’s deficit , and cash flows for the year then ended, and the related notes to financial statements.</w:t>
      </w:r>
    </w:p>
    <w:p>
      <w:pPr>
        <w:spacing w:after="0" w:line="13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In our opinion, the financial statements referred to above present fairly, in all material respects, the financial position of the Company as of December 31, 2024 and the results of its operations and its cash flows for the year then ended in accordance with accounting principles generally accepted in the United States of America (US GAAP).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We conducted our audit in accordance with auditing standards generally accepted in the United States of America (US GAAS). Our responsibilities under those standards are further described in the </w:t>
      </w:r>
      <w:r>
        <w:rPr>
          <w:rFonts w:ascii="Times New Roman" w:cs="Times New Roman" w:eastAsia="Times New Roman" w:hAnsi="Times New Roman"/>
          <w:sz w:val="15"/>
          <w:szCs w:val="15"/>
          <w:i w:val="1"/>
          <w:iCs w:val="1"/>
          <w:color w:val="auto"/>
        </w:rPr>
        <w:t>Auditors’ Responsibilities for the Audit of the Financial Statements</w:t>
      </w:r>
      <w:r>
        <w:rPr>
          <w:rFonts w:ascii="Times New Roman" w:cs="Times New Roman" w:eastAsia="Times New Roman" w:hAnsi="Times New Roman"/>
          <w:sz w:val="15"/>
          <w:szCs w:val="15"/>
          <w:color w:val="auto"/>
        </w:rPr>
        <w:t xml:space="preserve">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Responsibilities of Management for the Financial Statements</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Management is responsible for the preparation and fair presentation of the financial statements in accordance with US GAAP, and for the design, implementation, and maintenance of internal control relevant to the preparation and fair presentation of financial statements that are free from material misstatement, whether due to fraud or error.</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Auditors’ Responsibilities for the Audit of the Financial Statements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3300 N. Triumph Blvd., Suite 410, Lehi, UT 84043</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197485</wp:posOffset>
            </wp:positionH>
            <wp:positionV relativeFrom="page">
              <wp:posOffset>233680</wp:posOffset>
            </wp:positionV>
            <wp:extent cx="6864985" cy="577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6864985" cy="57785"/>
                    </a:xfrm>
                    <a:prstGeom prst="rect">
                      <a:avLst/>
                    </a:prstGeom>
                    <a:noFill/>
                  </pic:spPr>
                </pic:pic>
              </a:graphicData>
            </a:graphic>
          </wp:anchor>
        </w:drawing>
        <w:t>In performing an audit in accordance with generally accepted auditing standards, we:</w:t>
      </w:r>
    </w:p>
    <w:p>
      <w:pPr>
        <w:spacing w:after="0" w:line="192" w:lineRule="exact"/>
        <w:rPr>
          <w:sz w:val="20"/>
          <w:szCs w:val="20"/>
          <w:color w:val="auto"/>
        </w:rPr>
      </w:pPr>
    </w:p>
    <w:p>
      <w:pPr>
        <w:ind w:left="540" w:hanging="276"/>
        <w:spacing w:after="0"/>
        <w:tabs>
          <w:tab w:leader="none" w:pos="54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Exercise professional judgment and maintain professional skepticism throughout the audit.</w:t>
      </w:r>
    </w:p>
    <w:p>
      <w:pPr>
        <w:spacing w:after="0" w:line="191"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the appropriateness of accounting policies used and the reasonableness of significant accounting estimates made by management, as well as evaluate the overall presentation of the financial statements.</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Conclude whether, in our judgment, there are conditions or events, considered in the aggregate, that raise substantial doubt about the Company’s ability to continue as a going concern for a reasonable period of time.</w:t>
      </w:r>
    </w:p>
    <w:p>
      <w:pPr>
        <w:spacing w:after="0" w:line="13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5"/>
          <w:szCs w:val="15"/>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Tanner LLP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December 22,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3300 N. Triumph Blvd., Suite 410, Lehi, UT 84043</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5"/>
          <w:szCs w:val="15"/>
          <w:b w:val="1"/>
          <w:bCs w:val="1"/>
          <w:i w:val="1"/>
          <w:i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864985" cy="577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64985" cy="5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8480"/>
        <w:spacing w:after="0"/>
        <w:rPr>
          <w:sz w:val="20"/>
          <w:szCs w:val="20"/>
          <w:color w:val="auto"/>
        </w:rPr>
      </w:pPr>
      <w:r>
        <w:rPr>
          <w:rFonts w:ascii="Times New Roman" w:cs="Times New Roman" w:eastAsia="Times New Roman" w:hAnsi="Times New Roman"/>
          <w:sz w:val="15"/>
          <w:szCs w:val="15"/>
          <w:b w:val="1"/>
          <w:bCs w:val="1"/>
          <w:u w:val="single" w:color="auto"/>
          <w:color w:val="auto"/>
        </w:rPr>
        <w:t>Assets</w:t>
      </w:r>
    </w:p>
    <w:p>
      <w:pPr>
        <w:spacing w:after="0" w:line="29" w:lineRule="exact"/>
        <w:rPr>
          <w:sz w:val="20"/>
          <w:szCs w:val="20"/>
          <w:color w:val="auto"/>
        </w:rPr>
      </w:pPr>
    </w:p>
    <w:p>
      <w:pPr>
        <w:jc w:val="right"/>
        <w:ind w:right="8540"/>
        <w:spacing w:after="0"/>
        <w:rPr>
          <w:sz w:val="20"/>
          <w:szCs w:val="20"/>
          <w:color w:val="auto"/>
        </w:rPr>
      </w:pPr>
      <w:r>
        <w:rPr>
          <w:rFonts w:ascii="Times New Roman" w:cs="Times New Roman" w:eastAsia="Times New Roman" w:hAnsi="Times New Roman"/>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53910" cy="1155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Cash</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Accounts receivable, net of allowance for credit losses of $123,000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155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color w:val="auto"/>
        </w:rPr>
        <w:t>Contract assets - unbilled revenues</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155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color w:val="auto"/>
        </w:rPr>
        <w:t>Sales commissions receivable</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155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color w:val="auto"/>
        </w:rPr>
        <w:t>Deferred costs</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3910" cy="1301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3910" cy="130175"/>
                    </a:xfrm>
                    <a:prstGeom prst="rect">
                      <a:avLst/>
                    </a:prstGeom>
                    <a:noFill/>
                  </pic:spPr>
                </pic:pic>
              </a:graphicData>
            </a:graphic>
          </wp:anchor>
        </w:drawing>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Total current assets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155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Operating lease right-of-use assets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391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Deposits</w:t>
      </w:r>
    </w:p>
    <w:p>
      <w:pPr>
        <w:spacing w:after="0" w:line="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5391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3910" cy="137160"/>
                    </a:xfrm>
                    <a:prstGeom prst="rect">
                      <a:avLst/>
                    </a:prstGeom>
                    <a:noFill/>
                  </pic:spPr>
                </pic:pic>
              </a:graphicData>
            </a:graphic>
          </wp:anchor>
        </w:drawing>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b w:val="1"/>
          <w:bCs w:val="1"/>
          <w:u w:val="single" w:color="auto"/>
          <w:color w:val="auto"/>
        </w:rPr>
        <w:t>Liabilities and Member’s Deficit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155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color w:val="auto"/>
        </w:rPr>
        <w:t>Accounts payable</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155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color w:val="auto"/>
        </w:rPr>
        <w:t>Accrued commissions</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Related-party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155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color w:val="auto"/>
        </w:rPr>
        <w:t>Deferred revenue</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391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color w:val="auto"/>
        </w:rPr>
        <w:t>Current portion of finance lease liabilities</w:t>
      </w:r>
    </w:p>
    <w:p>
      <w:pPr>
        <w:spacing w:after="0" w:line="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155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Finance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53910" cy="1155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3910" cy="1155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Related-party lines of credit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Related-party notes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i w:val="1"/>
          <w:iCs w:val="1"/>
          <w:color w:val="auto"/>
        </w:rPr>
        <w:t>As of</w:t>
      </w:r>
    </w:p>
    <w:p>
      <w:pPr>
        <w:spacing w:after="0" w:line="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i w:val="1"/>
          <w:iCs w:val="1"/>
          <w:color w:val="auto"/>
        </w:rPr>
        <w:t>December 31,</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43255" cy="146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43255" cy="14605"/>
                    </a:xfrm>
                    <a:prstGeom prst="rect">
                      <a:avLst/>
                    </a:prstGeom>
                    <a:noFill/>
                  </pic:spPr>
                </pic:pic>
              </a:graphicData>
            </a:graphic>
          </wp:anchor>
        </w:drawing>
      </w:r>
    </w:p>
    <w:p>
      <w:pPr>
        <w:spacing w:after="0" w:line="373" w:lineRule="exact"/>
        <w:rPr>
          <w:sz w:val="20"/>
          <w:szCs w:val="20"/>
          <w:color w:val="auto"/>
        </w:rPr>
      </w:pPr>
    </w:p>
    <w:p>
      <w:pPr>
        <w:ind w:left="400" w:hanging="398"/>
        <w:spacing w:after="0"/>
        <w:tabs>
          <w:tab w:leader="none" w:pos="40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1,043,269</w:t>
      </w:r>
    </w:p>
    <w:p>
      <w:pPr>
        <w:spacing w:after="0" w:line="24" w:lineRule="exact"/>
        <w:rPr>
          <w:rFonts w:ascii="Times New Roman" w:cs="Times New Roman" w:eastAsia="Times New Roman" w:hAnsi="Times New Roman"/>
          <w:sz w:val="15"/>
          <w:szCs w:val="15"/>
          <w:color w:val="auto"/>
        </w:rPr>
      </w:pPr>
    </w:p>
    <w:p>
      <w:pPr>
        <w:ind w:left="4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1,010,295</w:t>
      </w:r>
    </w:p>
    <w:p>
      <w:pPr>
        <w:spacing w:after="0" w:line="9" w:lineRule="exact"/>
        <w:rPr>
          <w:rFonts w:ascii="Times New Roman" w:cs="Times New Roman" w:eastAsia="Times New Roman" w:hAnsi="Times New Roman"/>
          <w:sz w:val="15"/>
          <w:szCs w:val="15"/>
          <w:color w:val="auto"/>
        </w:rPr>
      </w:pPr>
    </w:p>
    <w:p>
      <w:pPr>
        <w:ind w:left="4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4,601,890</w:t>
      </w:r>
    </w:p>
    <w:p>
      <w:pPr>
        <w:spacing w:after="0" w:line="9" w:lineRule="exact"/>
        <w:rPr>
          <w:rFonts w:ascii="Times New Roman" w:cs="Times New Roman" w:eastAsia="Times New Roman" w:hAnsi="Times New Roman"/>
          <w:sz w:val="15"/>
          <w:szCs w:val="15"/>
          <w:color w:val="auto"/>
        </w:rPr>
      </w:pPr>
    </w:p>
    <w:p>
      <w:pPr>
        <w:ind w:left="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366,027</w:t>
      </w:r>
    </w:p>
    <w:p>
      <w:pPr>
        <w:spacing w:after="0" w:line="9" w:lineRule="exact"/>
        <w:rPr>
          <w:rFonts w:ascii="Times New Roman" w:cs="Times New Roman" w:eastAsia="Times New Roman" w:hAnsi="Times New Roman"/>
          <w:sz w:val="15"/>
          <w:szCs w:val="15"/>
          <w:color w:val="auto"/>
        </w:rPr>
      </w:pPr>
    </w:p>
    <w:p>
      <w:pPr>
        <w:ind w:left="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423,719</w:t>
      </w:r>
    </w:p>
    <w:p>
      <w:pPr>
        <w:spacing w:after="0" w:line="9" w:lineRule="exact"/>
        <w:rPr>
          <w:rFonts w:ascii="Times New Roman" w:cs="Times New Roman" w:eastAsia="Times New Roman" w:hAnsi="Times New Roman"/>
          <w:sz w:val="15"/>
          <w:szCs w:val="15"/>
          <w:color w:val="auto"/>
        </w:rPr>
      </w:pPr>
    </w:p>
    <w:p>
      <w:pPr>
        <w:ind w:left="4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3,511,328</w:t>
      </w:r>
    </w:p>
    <w:p>
      <w:pPr>
        <w:spacing w:after="0" w:line="9" w:lineRule="exact"/>
        <w:rPr>
          <w:rFonts w:ascii="Times New Roman" w:cs="Times New Roman" w:eastAsia="Times New Roman" w:hAnsi="Times New Roman"/>
          <w:sz w:val="15"/>
          <w:szCs w:val="15"/>
          <w:color w:val="auto"/>
        </w:rPr>
      </w:pPr>
    </w:p>
    <w:p>
      <w:pPr>
        <w:ind w:left="4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6,137,615</w:t>
      </w:r>
    </w:p>
    <w:p>
      <w:pPr>
        <w:spacing w:after="0" w:line="9" w:lineRule="exact"/>
        <w:rPr>
          <w:rFonts w:ascii="Times New Roman" w:cs="Times New Roman" w:eastAsia="Times New Roman" w:hAnsi="Times New Roman"/>
          <w:sz w:val="15"/>
          <w:szCs w:val="15"/>
          <w:color w:val="auto"/>
        </w:rPr>
      </w:pPr>
    </w:p>
    <w:p>
      <w:pPr>
        <w:ind w:left="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531,238</w:t>
      </w:r>
    </w:p>
    <w:p>
      <w:pPr>
        <w:spacing w:after="0" w:line="2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17,625,381</w:t>
      </w:r>
    </w:p>
    <w:p>
      <w:pPr>
        <w:spacing w:after="0" w:line="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385,192</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740,654</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1,971,170</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116,819</w:t>
      </w:r>
    </w:p>
    <w:p>
      <w:pPr>
        <w:spacing w:after="0" w:line="29" w:lineRule="exact"/>
        <w:rPr>
          <w:sz w:val="20"/>
          <w:szCs w:val="20"/>
          <w:color w:val="auto"/>
        </w:rPr>
      </w:pPr>
    </w:p>
    <w:p>
      <w:pPr>
        <w:ind w:left="340" w:hanging="338"/>
        <w:spacing w:after="0"/>
        <w:tabs>
          <w:tab w:leader="none" w:pos="340" w:val="left"/>
        </w:tabs>
        <w:numPr>
          <w:ilvl w:val="0"/>
          <w:numId w:val="127"/>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u w:val="single" w:color="auto"/>
          <w:color w:val="auto"/>
        </w:rPr>
        <w:t>20,839,216</w:t>
      </w:r>
    </w:p>
    <w:p>
      <w:pPr>
        <w:spacing w:after="0" w:line="200" w:lineRule="exact"/>
        <w:rPr>
          <w:sz w:val="20"/>
          <w:szCs w:val="20"/>
          <w:color w:val="auto"/>
        </w:rPr>
      </w:pPr>
    </w:p>
    <w:p>
      <w:pPr>
        <w:spacing w:after="0" w:line="231" w:lineRule="exact"/>
        <w:rPr>
          <w:sz w:val="20"/>
          <w:szCs w:val="20"/>
          <w:color w:val="auto"/>
        </w:rPr>
      </w:pPr>
    </w:p>
    <w:p>
      <w:pPr>
        <w:ind w:left="400" w:hanging="398"/>
        <w:spacing w:after="0"/>
        <w:tabs>
          <w:tab w:leader="none" w:pos="4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2,168,566</w:t>
      </w:r>
    </w:p>
    <w:p>
      <w:pPr>
        <w:spacing w:after="0" w:line="24" w:lineRule="exact"/>
        <w:rPr>
          <w:rFonts w:ascii="Times New Roman" w:cs="Times New Roman" w:eastAsia="Times New Roman" w:hAnsi="Times New Roman"/>
          <w:sz w:val="15"/>
          <w:szCs w:val="15"/>
          <w:color w:val="auto"/>
        </w:rPr>
      </w:pPr>
    </w:p>
    <w:p>
      <w:pPr>
        <w:ind w:left="4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2,799,860</w:t>
      </w:r>
    </w:p>
    <w:p>
      <w:pPr>
        <w:spacing w:after="0" w:line="9" w:lineRule="exact"/>
        <w:rPr>
          <w:rFonts w:ascii="Times New Roman" w:cs="Times New Roman" w:eastAsia="Times New Roman" w:hAnsi="Times New Roman"/>
          <w:sz w:val="15"/>
          <w:szCs w:val="15"/>
          <w:color w:val="auto"/>
        </w:rPr>
      </w:pPr>
    </w:p>
    <w:p>
      <w:pPr>
        <w:ind w:left="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180,114</w:t>
      </w:r>
    </w:p>
    <w:p>
      <w:pPr>
        <w:spacing w:after="0" w:line="9" w:lineRule="exact"/>
        <w:rPr>
          <w:rFonts w:ascii="Times New Roman" w:cs="Times New Roman" w:eastAsia="Times New Roman" w:hAnsi="Times New Roman"/>
          <w:sz w:val="15"/>
          <w:szCs w:val="15"/>
          <w:color w:val="auto"/>
        </w:rPr>
      </w:pPr>
    </w:p>
    <w:p>
      <w:pPr>
        <w:ind w:left="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509,649</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10,585,293</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401,456</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315,541</w:t>
      </w:r>
    </w:p>
    <w:p>
      <w:pPr>
        <w:spacing w:after="0" w:line="2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16,960,479</w:t>
      </w:r>
    </w:p>
    <w:p>
      <w:pPr>
        <w:spacing w:after="0" w:line="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367,346</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1,228,546</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2,175,000</w:t>
      </w:r>
    </w:p>
    <w:p>
      <w:pPr>
        <w:spacing w:after="0" w:line="1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7,140,109</w:t>
      </w:r>
    </w:p>
    <w:p>
      <w:pPr>
        <w:spacing w:after="0" w:line="20" w:lineRule="exact"/>
        <w:rPr>
          <w:sz w:val="20"/>
          <w:szCs w:val="20"/>
          <w:color w:val="auto"/>
        </w:rPr>
      </w:pPr>
    </w:p>
    <w:p>
      <w:pPr>
        <w:sectPr>
          <w:pgSz w:w="11900" w:h="16838" w:orient="portrait"/>
          <w:cols w:equalWidth="0" w:num="2">
            <w:col w:w="9420" w:space="720"/>
            <w:col w:w="1120"/>
          </w:cols>
          <w:pgMar w:left="320" w:top="303" w:right="319" w:bottom="1440" w:gutter="0" w:footer="0" w:header="0"/>
        </w:sectPr>
      </w:pPr>
    </w:p>
    <w:tbl>
      <w:tblPr>
        <w:tblLayout w:type="fixed"/>
        <w:tblInd w:w="0" w:type="dxa"/>
        <w:tblCellMar>
          <w:top w:w="0" w:type="dxa"/>
          <w:left w:w="0" w:type="dxa"/>
          <w:bottom w:w="0" w:type="dxa"/>
          <w:right w:w="0" w:type="dxa"/>
        </w:tblCellMar>
      </w:tblPr>
      <w:tr>
        <w:trPr>
          <w:trHeight w:val="205"/>
        </w:trPr>
        <w:tc>
          <w:tcPr>
            <w:tcW w:w="101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27,871,480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5"/>
        </w:trPr>
        <w:tc>
          <w:tcPr>
            <w:tcW w:w="101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Commitments and contingencies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3"/>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 deficit</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(7,032,264)</w:t>
            </w:r>
          </w:p>
        </w:tc>
      </w:tr>
      <w:tr>
        <w:trPr>
          <w:trHeight w:val="168"/>
        </w:trPr>
        <w:tc>
          <w:tcPr>
            <w:tcW w:w="10140" w:type="dxa"/>
            <w:vAlign w:val="bottom"/>
            <w:tcBorders>
              <w:top w:val="single" w:sz="8" w:color="CCEEFF"/>
            </w:tcBorders>
          </w:tcPr>
          <w:p>
            <w:pPr>
              <w:ind w:left="540"/>
              <w:spacing w:after="0" w:line="165" w:lineRule="exact"/>
              <w:rPr>
                <w:sz w:val="20"/>
                <w:szCs w:val="20"/>
                <w:color w:val="auto"/>
              </w:rPr>
            </w:pPr>
            <w:r>
              <w:rPr>
                <w:rFonts w:ascii="Times New Roman" w:cs="Times New Roman" w:eastAsia="Times New Roman" w:hAnsi="Times New Roman"/>
                <w:sz w:val="15"/>
                <w:szCs w:val="15"/>
                <w:color w:val="auto"/>
              </w:rPr>
              <w:t>Total liabilities and member’s deficit</w:t>
            </w:r>
          </w:p>
        </w:tc>
        <w:tc>
          <w:tcPr>
            <w:tcW w:w="200" w:type="dxa"/>
            <w:vAlign w:val="bottom"/>
            <w:tcBorders>
              <w:top w:val="single" w:sz="8" w:color="auto"/>
              <w:bottom w:val="single" w:sz="8" w:color="auto"/>
            </w:tcBorders>
          </w:tcPr>
          <w:p>
            <w:pPr>
              <w:jc w:val="right"/>
              <w:ind w:right="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20,839,216</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10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type w:val="continuous"/>
        </w:sectPr>
      </w:pPr>
    </w:p>
    <w:bookmarkStart w:id="305" w:name="page306"/>
    <w:bookmarkEnd w:id="305"/>
    <w:tbl>
      <w:tblPr>
        <w:tblLayout w:type="fixed"/>
        <w:tblInd w:w="0" w:type="dxa"/>
        <w:tblCellMar>
          <w:top w:w="0" w:type="dxa"/>
          <w:left w:w="0" w:type="dxa"/>
          <w:bottom w:w="0" w:type="dxa"/>
          <w:right w:w="0" w:type="dxa"/>
        </w:tblCellMar>
      </w:tblPr>
      <w:tr>
        <w:trPr>
          <w:trHeight w:val="201"/>
        </w:trPr>
        <w:tc>
          <w:tcPr>
            <w:tcW w:w="101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Statement of Operations and Member’s Deficit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7"/>
        </w:trPr>
        <w:tc>
          <w:tcPr>
            <w:tcW w:w="10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62"/>
              <w:spacing w:after="0"/>
              <w:rPr>
                <w:sz w:val="20"/>
                <w:szCs w:val="20"/>
                <w:color w:val="auto"/>
              </w:rPr>
            </w:pPr>
            <w:r>
              <w:rPr>
                <w:rFonts w:ascii="Times New Roman" w:cs="Times New Roman" w:eastAsia="Times New Roman" w:hAnsi="Times New Roman"/>
                <w:sz w:val="15"/>
                <w:szCs w:val="15"/>
                <w:b w:val="1"/>
                <w:bCs w:val="1"/>
                <w:i w:val="1"/>
                <w:iCs w:val="1"/>
                <w:color w:val="auto"/>
                <w:w w:val="98"/>
              </w:rPr>
              <w:t>For the Year</w:t>
            </w:r>
          </w:p>
        </w:tc>
        <w:tc>
          <w:tcPr>
            <w:tcW w:w="0" w:type="dxa"/>
            <w:vAlign w:val="bottom"/>
          </w:tcPr>
          <w:p>
            <w:pPr>
              <w:spacing w:after="0"/>
              <w:rPr>
                <w:sz w:val="1"/>
                <w:szCs w:val="1"/>
                <w:color w:val="auto"/>
              </w:rPr>
            </w:pPr>
          </w:p>
        </w:tc>
      </w:tr>
      <w:tr>
        <w:trPr>
          <w:trHeight w:val="193"/>
        </w:trPr>
        <w:tc>
          <w:tcPr>
            <w:tcW w:w="10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2"/>
              <w:spacing w:after="0"/>
              <w:rPr>
                <w:sz w:val="20"/>
                <w:szCs w:val="20"/>
                <w:color w:val="auto"/>
              </w:rPr>
            </w:pPr>
            <w:r>
              <w:rPr>
                <w:rFonts w:ascii="Times New Roman" w:cs="Times New Roman" w:eastAsia="Times New Roman" w:hAnsi="Times New Roman"/>
                <w:sz w:val="15"/>
                <w:szCs w:val="15"/>
                <w:b w:val="1"/>
                <w:bCs w:val="1"/>
                <w:i w:val="1"/>
                <w:iCs w:val="1"/>
                <w:color w:val="auto"/>
              </w:rPr>
              <w:t>Ended</w:t>
            </w:r>
          </w:p>
        </w:tc>
        <w:tc>
          <w:tcPr>
            <w:tcW w:w="0" w:type="dxa"/>
            <w:vAlign w:val="bottom"/>
          </w:tcPr>
          <w:p>
            <w:pPr>
              <w:spacing w:after="0"/>
              <w:rPr>
                <w:sz w:val="1"/>
                <w:szCs w:val="1"/>
                <w:color w:val="auto"/>
              </w:rPr>
            </w:pPr>
          </w:p>
        </w:tc>
      </w:tr>
      <w:tr>
        <w:trPr>
          <w:trHeight w:val="203"/>
        </w:trPr>
        <w:tc>
          <w:tcPr>
            <w:tcW w:w="10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54,273,721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14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00" w:type="dxa"/>
            <w:vAlign w:val="bottom"/>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31,932,462</w:t>
            </w:r>
          </w:p>
        </w:tc>
        <w:tc>
          <w:tcPr>
            <w:tcW w:w="0" w:type="dxa"/>
            <w:vAlign w:val="bottom"/>
          </w:tcPr>
          <w:p>
            <w:pPr>
              <w:spacing w:after="0"/>
              <w:rPr>
                <w:sz w:val="1"/>
                <w:szCs w:val="1"/>
                <w:color w:val="auto"/>
              </w:rPr>
            </w:pPr>
          </w:p>
        </w:tc>
      </w:tr>
      <w:tr>
        <w:trPr>
          <w:trHeight w:val="202"/>
        </w:trPr>
        <w:tc>
          <w:tcPr>
            <w:tcW w:w="101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Gross profit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22,341,259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01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Operating expenses: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11,156,319</w:t>
            </w:r>
          </w:p>
        </w:tc>
        <w:tc>
          <w:tcPr>
            <w:tcW w:w="0" w:type="dxa"/>
            <w:vAlign w:val="bottom"/>
          </w:tcPr>
          <w:p>
            <w:pPr>
              <w:spacing w:after="0"/>
              <w:rPr>
                <w:sz w:val="1"/>
                <w:szCs w:val="1"/>
                <w:color w:val="auto"/>
              </w:rPr>
            </w:pPr>
          </w:p>
        </w:tc>
      </w:tr>
      <w:tr>
        <w:trPr>
          <w:trHeight w:val="182"/>
        </w:trPr>
        <w:tc>
          <w:tcPr>
            <w:tcW w:w="10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Commissions</w:t>
            </w:r>
          </w:p>
        </w:tc>
        <w:tc>
          <w:tcPr>
            <w:tcW w:w="10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14,399,701</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Rent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1,198,814</w:t>
            </w:r>
          </w:p>
        </w:tc>
        <w:tc>
          <w:tcPr>
            <w:tcW w:w="0" w:type="dxa"/>
            <w:vAlign w:val="bottom"/>
          </w:tcPr>
          <w:p>
            <w:pPr>
              <w:spacing w:after="0"/>
              <w:rPr>
                <w:sz w:val="1"/>
                <w:szCs w:val="1"/>
                <w:color w:val="auto"/>
              </w:rPr>
            </w:pPr>
          </w:p>
        </w:tc>
      </w:tr>
      <w:tr>
        <w:trPr>
          <w:trHeight w:val="196"/>
        </w:trPr>
        <w:tc>
          <w:tcPr>
            <w:tcW w:w="10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401,665</w:t>
            </w:r>
          </w:p>
        </w:tc>
        <w:tc>
          <w:tcPr>
            <w:tcW w:w="0" w:type="dxa"/>
            <w:vAlign w:val="bottom"/>
          </w:tcPr>
          <w:p>
            <w:pPr>
              <w:spacing w:after="0"/>
              <w:rPr>
                <w:sz w:val="1"/>
                <w:szCs w:val="1"/>
                <w:color w:val="auto"/>
              </w:rPr>
            </w:pPr>
          </w:p>
        </w:tc>
      </w:tr>
      <w:tr>
        <w:trPr>
          <w:trHeight w:val="202"/>
        </w:trPr>
        <w:tc>
          <w:tcPr>
            <w:tcW w:w="101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27,156,499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140" w:type="dxa"/>
            <w:vAlign w:val="bottom"/>
            <w:tcBorders>
              <w:bottom w:val="single" w:sz="8" w:color="CCEEFF"/>
            </w:tcBorders>
          </w:tcPr>
          <w:p>
            <w:pPr>
              <w:ind w:left="400"/>
              <w:spacing w:after="0" w:line="165" w:lineRule="exact"/>
              <w:rPr>
                <w:sz w:val="20"/>
                <w:szCs w:val="20"/>
                <w:color w:val="auto"/>
              </w:rPr>
            </w:pPr>
            <w:r>
              <w:rPr>
                <w:rFonts w:ascii="Times New Roman" w:cs="Times New Roman" w:eastAsia="Times New Roman" w:hAnsi="Times New Roman"/>
                <w:sz w:val="15"/>
                <w:szCs w:val="15"/>
                <w:color w:val="auto"/>
              </w:rPr>
              <w:t>Operating loss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(4,815,240</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Pr>
          <w:p>
            <w:pPr>
              <w:spacing w:after="0"/>
              <w:rPr>
                <w:sz w:val="15"/>
                <w:szCs w:val="15"/>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(1,233,685)</w:t>
            </w:r>
          </w:p>
        </w:tc>
        <w:tc>
          <w:tcPr>
            <w:tcW w:w="0" w:type="dxa"/>
            <w:vAlign w:val="bottom"/>
          </w:tcPr>
          <w:p>
            <w:pPr>
              <w:spacing w:after="0"/>
              <w:rPr>
                <w:sz w:val="1"/>
                <w:szCs w:val="1"/>
                <w:color w:val="auto"/>
              </w:rPr>
            </w:pPr>
          </w:p>
        </w:tc>
      </w:tr>
      <w:tr>
        <w:trPr>
          <w:trHeight w:val="213"/>
        </w:trPr>
        <w:tc>
          <w:tcPr>
            <w:tcW w:w="10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(204,126)</w:t>
            </w:r>
          </w:p>
        </w:tc>
        <w:tc>
          <w:tcPr>
            <w:tcW w:w="0" w:type="dxa"/>
            <w:vAlign w:val="bottom"/>
          </w:tcPr>
          <w:p>
            <w:pPr>
              <w:spacing w:after="0"/>
              <w:rPr>
                <w:sz w:val="1"/>
                <w:szCs w:val="1"/>
                <w:color w:val="auto"/>
              </w:rPr>
            </w:pPr>
          </w:p>
        </w:tc>
      </w:tr>
      <w:tr>
        <w:trPr>
          <w:trHeight w:val="168"/>
        </w:trPr>
        <w:tc>
          <w:tcPr>
            <w:tcW w:w="10140" w:type="dxa"/>
            <w:vAlign w:val="bottom"/>
            <w:tcBorders>
              <w:top w:val="single" w:sz="8" w:color="CCEEFF"/>
              <w:bottom w:val="single" w:sz="8" w:color="CCEEFF"/>
            </w:tcBorders>
          </w:tcPr>
          <w:p>
            <w:pPr>
              <w:ind w:left="400"/>
              <w:spacing w:after="0" w:line="165" w:lineRule="exact"/>
              <w:rPr>
                <w:sz w:val="20"/>
                <w:szCs w:val="20"/>
                <w:color w:val="auto"/>
              </w:rPr>
            </w:pPr>
            <w:r>
              <w:rPr>
                <w:rFonts w:ascii="Times New Roman" w:cs="Times New Roman" w:eastAsia="Times New Roman" w:hAnsi="Times New Roman"/>
                <w:sz w:val="15"/>
                <w:szCs w:val="15"/>
                <w:color w:val="auto"/>
              </w:rPr>
              <w:t>Total other expense</w:t>
            </w: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(1,437,811</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5"/>
        </w:trPr>
        <w:tc>
          <w:tcPr>
            <w:tcW w:w="10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(6,253,051</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01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Member’s deficit, beginning of the year</w:t>
            </w: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140" w:type="dxa"/>
            <w:vAlign w:val="bottom"/>
            <w:vMerge w:val="continue"/>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(5,112,377)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Member’s contribution</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4,333,164</w:t>
            </w:r>
          </w:p>
        </w:tc>
        <w:tc>
          <w:tcPr>
            <w:tcW w:w="0" w:type="dxa"/>
            <w:vAlign w:val="bottom"/>
          </w:tcPr>
          <w:p>
            <w:pPr>
              <w:spacing w:after="0"/>
              <w:rPr>
                <w:sz w:val="1"/>
                <w:szCs w:val="1"/>
                <w:color w:val="auto"/>
              </w:rPr>
            </w:pPr>
          </w:p>
        </w:tc>
      </w:tr>
      <w:tr>
        <w:trPr>
          <w:trHeight w:val="196"/>
        </w:trPr>
        <w:tc>
          <w:tcPr>
            <w:tcW w:w="10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spacing w:after="0"/>
              <w:rPr>
                <w:sz w:val="17"/>
                <w:szCs w:val="17"/>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(6,253,051)</w:t>
            </w:r>
          </w:p>
        </w:tc>
        <w:tc>
          <w:tcPr>
            <w:tcW w:w="0" w:type="dxa"/>
            <w:vAlign w:val="bottom"/>
          </w:tcPr>
          <w:p>
            <w:pPr>
              <w:spacing w:after="0"/>
              <w:rPr>
                <w:sz w:val="1"/>
                <w:szCs w:val="1"/>
                <w:color w:val="auto"/>
              </w:rPr>
            </w:pPr>
          </w:p>
        </w:tc>
      </w:tr>
      <w:tr>
        <w:trPr>
          <w:trHeight w:val="185"/>
        </w:trPr>
        <w:tc>
          <w:tcPr>
            <w:tcW w:w="10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 deficit, end of the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(7,032,264</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-2983865</wp:posOffset>
            </wp:positionV>
            <wp:extent cx="6864985" cy="577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64985" cy="577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201"/>
        </w:trPr>
        <w:tc>
          <w:tcPr>
            <w:tcW w:w="101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Statement of Cash Flows</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7"/>
        </w:trPr>
        <w:tc>
          <w:tcPr>
            <w:tcW w:w="10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142"/>
              <w:spacing w:after="0"/>
              <w:rPr>
                <w:sz w:val="20"/>
                <w:szCs w:val="20"/>
                <w:color w:val="auto"/>
              </w:rPr>
            </w:pPr>
            <w:r>
              <w:rPr>
                <w:rFonts w:ascii="Times New Roman" w:cs="Times New Roman" w:eastAsia="Times New Roman" w:hAnsi="Times New Roman"/>
                <w:sz w:val="15"/>
                <w:szCs w:val="15"/>
                <w:b w:val="1"/>
                <w:bCs w:val="1"/>
                <w:i w:val="1"/>
                <w:iCs w:val="1"/>
                <w:color w:val="auto"/>
                <w:w w:val="98"/>
              </w:rPr>
              <w:t>For the Year</w:t>
            </w:r>
          </w:p>
        </w:tc>
        <w:tc>
          <w:tcPr>
            <w:tcW w:w="0" w:type="dxa"/>
            <w:vAlign w:val="bottom"/>
          </w:tcPr>
          <w:p>
            <w:pPr>
              <w:spacing w:after="0"/>
              <w:rPr>
                <w:sz w:val="1"/>
                <w:szCs w:val="1"/>
                <w:color w:val="auto"/>
              </w:rPr>
            </w:pPr>
          </w:p>
        </w:tc>
      </w:tr>
      <w:tr>
        <w:trPr>
          <w:trHeight w:val="182"/>
        </w:trPr>
        <w:tc>
          <w:tcPr>
            <w:tcW w:w="10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2"/>
              <w:spacing w:after="0"/>
              <w:rPr>
                <w:sz w:val="20"/>
                <w:szCs w:val="20"/>
                <w:color w:val="auto"/>
              </w:rPr>
            </w:pPr>
            <w:r>
              <w:rPr>
                <w:rFonts w:ascii="Times New Roman" w:cs="Times New Roman" w:eastAsia="Times New Roman" w:hAnsi="Times New Roman"/>
                <w:sz w:val="15"/>
                <w:szCs w:val="15"/>
                <w:b w:val="1"/>
                <w:bCs w:val="1"/>
                <w:i w:val="1"/>
                <w:iCs w:val="1"/>
                <w:color w:val="auto"/>
              </w:rPr>
              <w:t>Ended</w:t>
            </w:r>
          </w:p>
        </w:tc>
        <w:tc>
          <w:tcPr>
            <w:tcW w:w="0" w:type="dxa"/>
            <w:vAlign w:val="bottom"/>
          </w:tcPr>
          <w:p>
            <w:pPr>
              <w:spacing w:after="0"/>
              <w:rPr>
                <w:sz w:val="1"/>
                <w:szCs w:val="1"/>
                <w:color w:val="auto"/>
              </w:rPr>
            </w:pPr>
          </w:p>
        </w:tc>
      </w:tr>
      <w:tr>
        <w:trPr>
          <w:trHeight w:val="193"/>
        </w:trPr>
        <w:tc>
          <w:tcPr>
            <w:tcW w:w="10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142"/>
              <w:spacing w:after="0"/>
              <w:rPr>
                <w:sz w:val="20"/>
                <w:szCs w:val="20"/>
                <w:color w:val="auto"/>
              </w:rPr>
            </w:pPr>
            <w:r>
              <w:rPr>
                <w:rFonts w:ascii="Times New Roman" w:cs="Times New Roman" w:eastAsia="Times New Roman" w:hAnsi="Times New Roman"/>
                <w:sz w:val="15"/>
                <w:szCs w:val="15"/>
                <w:b w:val="1"/>
                <w:bCs w:val="1"/>
                <w:i w:val="1"/>
                <w:iCs w:val="1"/>
                <w:color w:val="auto"/>
              </w:rPr>
              <w:t>December 31,</w:t>
            </w:r>
          </w:p>
        </w:tc>
        <w:tc>
          <w:tcPr>
            <w:tcW w:w="0" w:type="dxa"/>
            <w:vAlign w:val="bottom"/>
          </w:tcPr>
          <w:p>
            <w:pPr>
              <w:spacing w:after="0"/>
              <w:rPr>
                <w:sz w:val="1"/>
                <w:szCs w:val="1"/>
                <w:color w:val="auto"/>
              </w:rPr>
            </w:pPr>
          </w:p>
        </w:tc>
      </w:tr>
      <w:tr>
        <w:trPr>
          <w:trHeight w:val="203"/>
        </w:trPr>
        <w:tc>
          <w:tcPr>
            <w:tcW w:w="10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(6,253,051)</w:t>
            </w:r>
          </w:p>
        </w:tc>
        <w:tc>
          <w:tcPr>
            <w:tcW w:w="0" w:type="dxa"/>
            <w:vAlign w:val="bottom"/>
          </w:tcPr>
          <w:p>
            <w:pPr>
              <w:spacing w:after="0"/>
              <w:rPr>
                <w:sz w:val="1"/>
                <w:szCs w:val="1"/>
                <w:color w:val="auto"/>
              </w:rPr>
            </w:pPr>
          </w:p>
        </w:tc>
      </w:tr>
      <w:tr>
        <w:trPr>
          <w:trHeight w:val="182"/>
        </w:trPr>
        <w:tc>
          <w:tcPr>
            <w:tcW w:w="10140" w:type="dxa"/>
            <w:vAlign w:val="bottom"/>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Amortization of operating right-of-use assets</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759,705</w:t>
            </w:r>
          </w:p>
        </w:tc>
        <w:tc>
          <w:tcPr>
            <w:tcW w:w="0" w:type="dxa"/>
            <w:vAlign w:val="bottom"/>
          </w:tcPr>
          <w:p>
            <w:pPr>
              <w:spacing w:after="0"/>
              <w:rPr>
                <w:sz w:val="1"/>
                <w:szCs w:val="1"/>
                <w:color w:val="auto"/>
              </w:rPr>
            </w:pPr>
          </w:p>
        </w:tc>
      </w:tr>
      <w:tr>
        <w:trPr>
          <w:trHeight w:val="182"/>
        </w:trPr>
        <w:tc>
          <w:tcPr>
            <w:tcW w:w="10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401,665</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1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receivable</w:t>
            </w:r>
          </w:p>
        </w:tc>
        <w:tc>
          <w:tcPr>
            <w:tcW w:w="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(854,494)</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Contract assets - unbilled revenues</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(685,328)</w:t>
            </w:r>
          </w:p>
        </w:tc>
        <w:tc>
          <w:tcPr>
            <w:tcW w:w="0" w:type="dxa"/>
            <w:vAlign w:val="bottom"/>
          </w:tcPr>
          <w:p>
            <w:pPr>
              <w:spacing w:after="0"/>
              <w:rPr>
                <w:sz w:val="1"/>
                <w:szCs w:val="1"/>
                <w:color w:val="auto"/>
              </w:rPr>
            </w:pPr>
          </w:p>
        </w:tc>
      </w:tr>
      <w:tr>
        <w:trPr>
          <w:trHeight w:val="182"/>
        </w:trPr>
        <w:tc>
          <w:tcPr>
            <w:tcW w:w="101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 receivables</w:t>
            </w:r>
          </w:p>
        </w:tc>
        <w:tc>
          <w:tcPr>
            <w:tcW w:w="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(70,215)</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Sales commissions receivable</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143,272</w:t>
            </w:r>
          </w:p>
        </w:tc>
        <w:tc>
          <w:tcPr>
            <w:tcW w:w="0" w:type="dxa"/>
            <w:vAlign w:val="bottom"/>
          </w:tcPr>
          <w:p>
            <w:pPr>
              <w:spacing w:after="0"/>
              <w:rPr>
                <w:sz w:val="1"/>
                <w:szCs w:val="1"/>
                <w:color w:val="auto"/>
              </w:rPr>
            </w:pPr>
          </w:p>
        </w:tc>
      </w:tr>
      <w:tr>
        <w:trPr>
          <w:trHeight w:val="182"/>
        </w:trPr>
        <w:tc>
          <w:tcPr>
            <w:tcW w:w="101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Inventories</w:t>
            </w:r>
          </w:p>
        </w:tc>
        <w:tc>
          <w:tcPr>
            <w:tcW w:w="8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74,447</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Deferred costs and commissions</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(701,857)</w:t>
            </w:r>
          </w:p>
        </w:tc>
        <w:tc>
          <w:tcPr>
            <w:tcW w:w="0" w:type="dxa"/>
            <w:vAlign w:val="bottom"/>
          </w:tcPr>
          <w:p>
            <w:pPr>
              <w:spacing w:after="0"/>
              <w:rPr>
                <w:sz w:val="1"/>
                <w:szCs w:val="1"/>
                <w:color w:val="auto"/>
              </w:rPr>
            </w:pPr>
          </w:p>
        </w:tc>
      </w:tr>
      <w:tr>
        <w:trPr>
          <w:trHeight w:val="182"/>
        </w:trPr>
        <w:tc>
          <w:tcPr>
            <w:tcW w:w="101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(323,190)</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Deposits</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(14,304)</w:t>
            </w:r>
          </w:p>
        </w:tc>
        <w:tc>
          <w:tcPr>
            <w:tcW w:w="0" w:type="dxa"/>
            <w:vAlign w:val="bottom"/>
          </w:tcPr>
          <w:p>
            <w:pPr>
              <w:spacing w:after="0"/>
              <w:rPr>
                <w:sz w:val="1"/>
                <w:szCs w:val="1"/>
                <w:color w:val="auto"/>
              </w:rPr>
            </w:pPr>
          </w:p>
        </w:tc>
      </w:tr>
      <w:tr>
        <w:trPr>
          <w:trHeight w:val="182"/>
        </w:trPr>
        <w:tc>
          <w:tcPr>
            <w:tcW w:w="101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payable</w:t>
            </w:r>
          </w:p>
        </w:tc>
        <w:tc>
          <w:tcPr>
            <w:tcW w:w="8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696,549</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Accrued expenses</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2,009,806</w:t>
            </w:r>
          </w:p>
        </w:tc>
        <w:tc>
          <w:tcPr>
            <w:tcW w:w="0" w:type="dxa"/>
            <w:vAlign w:val="bottom"/>
          </w:tcPr>
          <w:p>
            <w:pPr>
              <w:spacing w:after="0"/>
              <w:rPr>
                <w:sz w:val="1"/>
                <w:szCs w:val="1"/>
                <w:color w:val="auto"/>
              </w:rPr>
            </w:pPr>
          </w:p>
        </w:tc>
      </w:tr>
      <w:tr>
        <w:trPr>
          <w:trHeight w:val="182"/>
        </w:trPr>
        <w:tc>
          <w:tcPr>
            <w:tcW w:w="101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Accrued commissions</w:t>
            </w:r>
          </w:p>
        </w:tc>
        <w:tc>
          <w:tcPr>
            <w:tcW w:w="8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180,114</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Related-party accounts payable</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89,561</w:t>
            </w:r>
          </w:p>
        </w:tc>
        <w:tc>
          <w:tcPr>
            <w:tcW w:w="0" w:type="dxa"/>
            <w:vAlign w:val="bottom"/>
          </w:tcPr>
          <w:p>
            <w:pPr>
              <w:spacing w:after="0"/>
              <w:rPr>
                <w:sz w:val="1"/>
                <w:szCs w:val="1"/>
                <w:color w:val="auto"/>
              </w:rPr>
            </w:pPr>
          </w:p>
        </w:tc>
      </w:tr>
      <w:tr>
        <w:trPr>
          <w:trHeight w:val="182"/>
        </w:trPr>
        <w:tc>
          <w:tcPr>
            <w:tcW w:w="101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Deferred revenue</w:t>
            </w:r>
          </w:p>
        </w:tc>
        <w:tc>
          <w:tcPr>
            <w:tcW w:w="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(1,076,155)</w:t>
            </w:r>
          </w:p>
        </w:tc>
        <w:tc>
          <w:tcPr>
            <w:tcW w:w="0" w:type="dxa"/>
            <w:vAlign w:val="bottom"/>
          </w:tcPr>
          <w:p>
            <w:pPr>
              <w:spacing w:after="0"/>
              <w:rPr>
                <w:sz w:val="1"/>
                <w:szCs w:val="1"/>
                <w:color w:val="auto"/>
              </w:rPr>
            </w:pPr>
          </w:p>
        </w:tc>
      </w:tr>
      <w:tr>
        <w:trPr>
          <w:trHeight w:val="213"/>
        </w:trPr>
        <w:tc>
          <w:tcPr>
            <w:tcW w:w="10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(698,091)</w:t>
            </w:r>
          </w:p>
        </w:tc>
        <w:tc>
          <w:tcPr>
            <w:tcW w:w="0" w:type="dxa"/>
            <w:vAlign w:val="bottom"/>
          </w:tcPr>
          <w:p>
            <w:pPr>
              <w:spacing w:after="0"/>
              <w:rPr>
                <w:sz w:val="1"/>
                <w:szCs w:val="1"/>
                <w:color w:val="auto"/>
              </w:rPr>
            </w:pPr>
          </w:p>
        </w:tc>
      </w:tr>
      <w:tr>
        <w:trPr>
          <w:trHeight w:val="168"/>
        </w:trPr>
        <w:tc>
          <w:tcPr>
            <w:tcW w:w="10140" w:type="dxa"/>
            <w:vAlign w:val="bottom"/>
            <w:tcBorders>
              <w:top w:val="single" w:sz="8" w:color="CCEEFF"/>
              <w:bottom w:val="single" w:sz="8" w:color="CCEEFF"/>
            </w:tcBorders>
          </w:tcPr>
          <w:p>
            <w:pPr>
              <w:ind w:left="540"/>
              <w:spacing w:after="0" w:line="165"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(6,321,566</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80" w:type="dxa"/>
            <w:vAlign w:val="bottom"/>
          </w:tcPr>
          <w:p>
            <w:pPr>
              <w:spacing w:after="0"/>
              <w:rPr>
                <w:sz w:val="17"/>
                <w:szCs w:val="17"/>
                <w:color w:val="auto"/>
              </w:rPr>
            </w:pPr>
          </w:p>
        </w:tc>
        <w:tc>
          <w:tcPr>
            <w:tcW w:w="10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(335,303)</w:t>
            </w:r>
          </w:p>
        </w:tc>
        <w:tc>
          <w:tcPr>
            <w:tcW w:w="0" w:type="dxa"/>
            <w:vAlign w:val="bottom"/>
          </w:tcPr>
          <w:p>
            <w:pPr>
              <w:spacing w:after="0"/>
              <w:rPr>
                <w:sz w:val="1"/>
                <w:szCs w:val="1"/>
                <w:color w:val="auto"/>
              </w:rPr>
            </w:pPr>
          </w:p>
        </w:tc>
      </w:tr>
      <w:tr>
        <w:trPr>
          <w:trHeight w:val="182"/>
        </w:trPr>
        <w:tc>
          <w:tcPr>
            <w:tcW w:w="10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related-party notes payable and revolving lines of credit</w:t>
            </w:r>
          </w:p>
        </w:tc>
        <w:tc>
          <w:tcPr>
            <w:tcW w:w="8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8,925,000</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Payments on related-party notes payable and revolving lines of credit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(3,305,747)</w:t>
            </w:r>
          </w:p>
        </w:tc>
        <w:tc>
          <w:tcPr>
            <w:tcW w:w="0" w:type="dxa"/>
            <w:vAlign w:val="bottom"/>
          </w:tcPr>
          <w:p>
            <w:pPr>
              <w:spacing w:after="0"/>
              <w:rPr>
                <w:sz w:val="1"/>
                <w:szCs w:val="1"/>
                <w:color w:val="auto"/>
              </w:rPr>
            </w:pPr>
          </w:p>
        </w:tc>
      </w:tr>
      <w:tr>
        <w:trPr>
          <w:trHeight w:val="182"/>
        </w:trPr>
        <w:tc>
          <w:tcPr>
            <w:tcW w:w="10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Payments on finance lease liabilities</w:t>
            </w:r>
          </w:p>
        </w:tc>
        <w:tc>
          <w:tcPr>
            <w:tcW w:w="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(530,918)</w:t>
            </w:r>
          </w:p>
        </w:tc>
        <w:tc>
          <w:tcPr>
            <w:tcW w:w="0" w:type="dxa"/>
            <w:vAlign w:val="bottom"/>
          </w:tcPr>
          <w:p>
            <w:pPr>
              <w:spacing w:after="0"/>
              <w:rPr>
                <w:sz w:val="1"/>
                <w:szCs w:val="1"/>
                <w:color w:val="auto"/>
              </w:rPr>
            </w:pPr>
          </w:p>
        </w:tc>
      </w:tr>
      <w:tr>
        <w:trPr>
          <w:trHeight w:val="213"/>
        </w:trPr>
        <w:tc>
          <w:tcPr>
            <w:tcW w:w="10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members’ contribution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1,883,164</w:t>
            </w:r>
          </w:p>
        </w:tc>
        <w:tc>
          <w:tcPr>
            <w:tcW w:w="0" w:type="dxa"/>
            <w:vAlign w:val="bottom"/>
          </w:tcPr>
          <w:p>
            <w:pPr>
              <w:spacing w:after="0"/>
              <w:rPr>
                <w:sz w:val="1"/>
                <w:szCs w:val="1"/>
                <w:color w:val="auto"/>
              </w:rPr>
            </w:pPr>
          </w:p>
        </w:tc>
      </w:tr>
      <w:tr>
        <w:trPr>
          <w:trHeight w:val="168"/>
        </w:trPr>
        <w:tc>
          <w:tcPr>
            <w:tcW w:w="10140" w:type="dxa"/>
            <w:vAlign w:val="bottom"/>
            <w:tcBorders>
              <w:top w:val="single" w:sz="8" w:color="CCEEFF"/>
              <w:bottom w:val="single" w:sz="8" w:color="CCEEFF"/>
            </w:tcBorders>
          </w:tcPr>
          <w:p>
            <w:pPr>
              <w:ind w:left="540"/>
              <w:spacing w:after="0" w:line="165"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6,971,499</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cash</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314,630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140" w:type="dxa"/>
            <w:vAlign w:val="bottom"/>
          </w:tcPr>
          <w:p>
            <w:pPr>
              <w:spacing w:after="0"/>
              <w:rPr>
                <w:sz w:val="20"/>
                <w:szCs w:val="20"/>
                <w:color w:val="auto"/>
              </w:rPr>
            </w:pPr>
            <w:r>
              <w:rPr>
                <w:rFonts w:ascii="Times New Roman" w:cs="Times New Roman" w:eastAsia="Times New Roman" w:hAnsi="Times New Roman"/>
                <w:sz w:val="15"/>
                <w:szCs w:val="15"/>
                <w:color w:val="auto"/>
              </w:rPr>
              <w:t>Cash at beginning of year</w:t>
            </w:r>
          </w:p>
        </w:tc>
        <w:tc>
          <w:tcPr>
            <w:tcW w:w="80" w:type="dxa"/>
            <w:vAlign w:val="bottom"/>
          </w:tcPr>
          <w:p>
            <w:pPr>
              <w:spacing w:after="0"/>
              <w:rPr>
                <w:sz w:val="17"/>
                <w:szCs w:val="17"/>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728,639</w:t>
            </w:r>
          </w:p>
        </w:tc>
        <w:tc>
          <w:tcPr>
            <w:tcW w:w="0" w:type="dxa"/>
            <w:vAlign w:val="bottom"/>
          </w:tcPr>
          <w:p>
            <w:pPr>
              <w:spacing w:after="0"/>
              <w:rPr>
                <w:sz w:val="1"/>
                <w:szCs w:val="1"/>
                <w:color w:val="auto"/>
              </w:rPr>
            </w:pPr>
          </w:p>
        </w:tc>
      </w:tr>
      <w:tr>
        <w:trPr>
          <w:trHeight w:val="185"/>
        </w:trPr>
        <w:tc>
          <w:tcPr>
            <w:tcW w:w="10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at end of year</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1,043,269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paid for interest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235,503</w:t>
            </w:r>
          </w:p>
        </w:tc>
        <w:tc>
          <w:tcPr>
            <w:tcW w:w="0" w:type="dxa"/>
            <w:vAlign w:val="bottom"/>
          </w:tcPr>
          <w:p>
            <w:pPr>
              <w:spacing w:after="0"/>
              <w:rPr>
                <w:sz w:val="1"/>
                <w:szCs w:val="1"/>
                <w:color w:val="auto"/>
              </w:rPr>
            </w:pPr>
          </w:p>
        </w:tc>
      </w:tr>
      <w:tr>
        <w:trPr>
          <w:trHeight w:val="182"/>
        </w:trPr>
        <w:tc>
          <w:tcPr>
            <w:tcW w:w="10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 obtained in exchange for operating lease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61,313</w:t>
            </w:r>
          </w:p>
        </w:tc>
        <w:tc>
          <w:tcPr>
            <w:tcW w:w="0" w:type="dxa"/>
            <w:vAlign w:val="bottom"/>
          </w:tcPr>
          <w:p>
            <w:pPr>
              <w:spacing w:after="0"/>
              <w:rPr>
                <w:sz w:val="1"/>
                <w:szCs w:val="1"/>
                <w:color w:val="auto"/>
              </w:rPr>
            </w:pPr>
          </w:p>
        </w:tc>
      </w:tr>
      <w:tr>
        <w:trPr>
          <w:trHeight w:val="182"/>
        </w:trPr>
        <w:tc>
          <w:tcPr>
            <w:tcW w:w="10140" w:type="dxa"/>
            <w:vAlign w:val="bottom"/>
          </w:tcPr>
          <w:p>
            <w:pPr>
              <w:spacing w:after="0"/>
              <w:rPr>
                <w:sz w:val="20"/>
                <w:szCs w:val="20"/>
                <w:color w:val="auto"/>
              </w:rPr>
            </w:pPr>
            <w:r>
              <w:rPr>
                <w:rFonts w:ascii="Times New Roman" w:cs="Times New Roman" w:eastAsia="Times New Roman" w:hAnsi="Times New Roman"/>
                <w:sz w:val="15"/>
                <w:szCs w:val="15"/>
                <w:color w:val="auto"/>
              </w:rPr>
              <w:t>Finance lease right-of-use assets obtained in exchange for finance lease liabilities</w:t>
            </w:r>
          </w:p>
        </w:tc>
        <w:tc>
          <w:tcPr>
            <w:tcW w:w="8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1,477,040</w:t>
            </w: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of related-party notes payable to members’ equity</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2,450,000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-5245735</wp:posOffset>
            </wp:positionV>
            <wp:extent cx="6864985" cy="577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64985" cy="577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07" w:name="page308"/>
    <w:bookmarkEnd w:id="307"/>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6864985" cy="577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64985" cy="57785"/>
                    </a:xfrm>
                    <a:prstGeom prst="rect">
                      <a:avLst/>
                    </a:prstGeom>
                    <a:noFill/>
                  </pic:spPr>
                </pic:pic>
              </a:graphicData>
            </a:graphic>
          </wp:anchor>
        </w:drawing>
      </w:r>
    </w:p>
    <w:p>
      <w:pPr>
        <w:spacing w:after="0" w:line="354" w:lineRule="exact"/>
        <w:rPr>
          <w:sz w:val="20"/>
          <w:szCs w:val="20"/>
          <w:color w:val="auto"/>
        </w:rPr>
      </w:pPr>
    </w:p>
    <w:p>
      <w:pPr>
        <w:ind w:left="269" w:hanging="269"/>
        <w:spacing w:after="0"/>
        <w:tabs>
          <w:tab w:leader="none" w:pos="269" w:val="left"/>
        </w:tabs>
        <w:numPr>
          <w:ilvl w:val="0"/>
          <w:numId w:val="1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Nature of Operations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Organization</w:t>
      </w:r>
    </w:p>
    <w:p>
      <w:pPr>
        <w:spacing w:after="0" w:line="196" w:lineRule="exact"/>
        <w:rPr>
          <w:sz w:val="20"/>
          <w:szCs w:val="20"/>
          <w:color w:val="auto"/>
        </w:rPr>
      </w:pPr>
    </w:p>
    <w:p>
      <w:pPr>
        <w:ind w:left="9"/>
        <w:spacing w:after="0" w:line="287" w:lineRule="auto"/>
        <w:rPr>
          <w:sz w:val="20"/>
          <w:szCs w:val="20"/>
          <w:color w:val="auto"/>
        </w:rPr>
      </w:pPr>
      <w:r>
        <w:rPr>
          <w:rFonts w:ascii="Times New Roman" w:cs="Times New Roman" w:eastAsia="Times New Roman" w:hAnsi="Times New Roman"/>
          <w:sz w:val="15"/>
          <w:szCs w:val="15"/>
          <w:color w:val="auto"/>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spacing w:after="0" w:line="130" w:lineRule="exact"/>
        <w:rPr>
          <w:sz w:val="20"/>
          <w:szCs w:val="20"/>
          <w:color w:val="auto"/>
        </w:rPr>
      </w:pPr>
    </w:p>
    <w:p>
      <w:pPr>
        <w:ind w:left="269" w:hanging="269"/>
        <w:spacing w:after="0"/>
        <w:tabs>
          <w:tab w:leader="none" w:pos="269" w:val="left"/>
        </w:tabs>
        <w:numPr>
          <w:ilvl w:val="0"/>
          <w:numId w:val="1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management to make estimates and assumptions that affect reported amounts and disclosures.</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Accordingly, actual results could differ from those estimates.</w:t>
      </w:r>
    </w:p>
    <w:p>
      <w:pPr>
        <w:spacing w:after="0" w:line="17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Concentrations of Credit Risk</w:t>
      </w:r>
    </w:p>
    <w:p>
      <w:pPr>
        <w:spacing w:after="0" w:line="196"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spacing w:after="0" w:line="134" w:lineRule="exact"/>
        <w:rPr>
          <w:sz w:val="20"/>
          <w:szCs w:val="20"/>
          <w:color w:val="auto"/>
        </w:rPr>
      </w:pPr>
    </w:p>
    <w:p>
      <w:pPr>
        <w:jc w:val="both"/>
        <w:ind w:left="9" w:right="20"/>
        <w:spacing w:after="0" w:line="270" w:lineRule="auto"/>
        <w:rPr>
          <w:sz w:val="20"/>
          <w:szCs w:val="20"/>
          <w:color w:val="auto"/>
        </w:rPr>
      </w:pPr>
      <w:r>
        <w:rPr>
          <w:rFonts w:ascii="Times New Roman" w:cs="Times New Roman" w:eastAsia="Times New Roman" w:hAnsi="Times New Roman"/>
          <w:sz w:val="15"/>
          <w:szCs w:val="15"/>
          <w:color w:val="auto"/>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year ended December 31, 2024.</w:t>
      </w:r>
    </w:p>
    <w:p>
      <w:pPr>
        <w:spacing w:after="0" w:line="146" w:lineRule="exact"/>
        <w:rPr>
          <w:sz w:val="20"/>
          <w:szCs w:val="20"/>
          <w:color w:val="auto"/>
        </w:rPr>
      </w:pPr>
    </w:p>
    <w:tbl>
      <w:tblPr>
        <w:tblLayout w:type="fixed"/>
        <w:tblInd w:w="9" w:type="dxa"/>
        <w:tblCellMar>
          <w:top w:w="0" w:type="dxa"/>
          <w:left w:w="0" w:type="dxa"/>
          <w:bottom w:w="0" w:type="dxa"/>
          <w:right w:w="0" w:type="dxa"/>
        </w:tblCellMar>
      </w:tblPr>
      <w:tr>
        <w:trPr>
          <w:trHeight w:val="197"/>
        </w:trPr>
        <w:tc>
          <w:tcPr>
            <w:tcW w:w="10120" w:type="dxa"/>
            <w:vAlign w:val="bottom"/>
          </w:tcPr>
          <w:p>
            <w:pPr>
              <w:spacing w:after="0"/>
              <w:rPr>
                <w:sz w:val="20"/>
                <w:szCs w:val="20"/>
                <w:color w:val="auto"/>
              </w:rPr>
            </w:pPr>
            <w:r>
              <w:rPr>
                <w:rFonts w:ascii="Times New Roman" w:cs="Times New Roman" w:eastAsia="Times New Roman" w:hAnsi="Times New Roman"/>
                <w:sz w:val="15"/>
                <w:szCs w:val="15"/>
                <w:color w:val="auto"/>
              </w:rPr>
              <w:t>The Company’s residential customers generally pay for the transaction with financing. Significant lenders were as follows for the year ended December 31:</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78"/>
        </w:trPr>
        <w:tc>
          <w:tcPr>
            <w:tcW w:w="10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24"/>
                <w:szCs w:val="24"/>
                <w:color w:val="auto"/>
              </w:rPr>
            </w:pPr>
          </w:p>
        </w:tc>
      </w:tr>
      <w:tr>
        <w:trPr>
          <w:trHeight w:val="182"/>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Lender A</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64%</w:t>
            </w:r>
          </w:p>
        </w:tc>
      </w:tr>
      <w:tr>
        <w:trPr>
          <w:trHeight w:val="182"/>
        </w:trPr>
        <w:tc>
          <w:tcPr>
            <w:tcW w:w="10120" w:type="dxa"/>
            <w:vAlign w:val="bottom"/>
          </w:tcPr>
          <w:p>
            <w:pPr>
              <w:spacing w:after="0"/>
              <w:rPr>
                <w:sz w:val="20"/>
                <w:szCs w:val="20"/>
                <w:color w:val="auto"/>
              </w:rPr>
            </w:pPr>
            <w:r>
              <w:rPr>
                <w:rFonts w:ascii="Times New Roman" w:cs="Times New Roman" w:eastAsia="Times New Roman" w:hAnsi="Times New Roman"/>
                <w:sz w:val="15"/>
                <w:szCs w:val="15"/>
                <w:color w:val="auto"/>
              </w:rPr>
              <w:t>Lender B</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26%</w:t>
            </w:r>
          </w:p>
        </w:tc>
      </w:tr>
      <w:tr>
        <w:trPr>
          <w:trHeight w:val="213"/>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Lender C</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w:t>
            </w:r>
          </w:p>
        </w:tc>
      </w:tr>
      <w:tr>
        <w:trPr>
          <w:trHeight w:val="347"/>
        </w:trPr>
        <w:tc>
          <w:tcPr>
            <w:tcW w:w="10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i w:val="1"/>
                <w:iCs w:val="1"/>
                <w:color w:val="auto"/>
              </w:rPr>
              <w:t>*   Lender funded less than 10% of sales for the year.</w:t>
            </w: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64"/>
        </w:trPr>
        <w:tc>
          <w:tcPr>
            <w:tcW w:w="10120" w:type="dxa"/>
            <w:vAlign w:val="bottom"/>
          </w:tcPr>
          <w:p>
            <w:pPr>
              <w:spacing w:after="0"/>
              <w:rPr>
                <w:sz w:val="20"/>
                <w:szCs w:val="20"/>
                <w:color w:val="auto"/>
              </w:rPr>
            </w:pPr>
            <w:r>
              <w:rPr>
                <w:rFonts w:ascii="Times New Roman" w:cs="Times New Roman" w:eastAsia="Times New Roman" w:hAnsi="Times New Roman"/>
                <w:sz w:val="15"/>
                <w:szCs w:val="15"/>
                <w:color w:val="auto"/>
              </w:rPr>
              <w:t>Additionally, the following lenders owed a significant portion of the Company’s account receivable balance as of December 31:</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10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24"/>
                <w:szCs w:val="24"/>
                <w:color w:val="auto"/>
              </w:rPr>
            </w:pPr>
          </w:p>
        </w:tc>
      </w:tr>
      <w:tr>
        <w:trPr>
          <w:trHeight w:val="182"/>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Lender A</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w:t>
            </w:r>
          </w:p>
        </w:tc>
      </w:tr>
      <w:tr>
        <w:trPr>
          <w:trHeight w:val="182"/>
        </w:trPr>
        <w:tc>
          <w:tcPr>
            <w:tcW w:w="10120" w:type="dxa"/>
            <w:vAlign w:val="bottom"/>
          </w:tcPr>
          <w:p>
            <w:pPr>
              <w:spacing w:after="0"/>
              <w:rPr>
                <w:sz w:val="20"/>
                <w:szCs w:val="20"/>
                <w:color w:val="auto"/>
              </w:rPr>
            </w:pPr>
            <w:r>
              <w:rPr>
                <w:rFonts w:ascii="Times New Roman" w:cs="Times New Roman" w:eastAsia="Times New Roman" w:hAnsi="Times New Roman"/>
                <w:sz w:val="15"/>
                <w:szCs w:val="15"/>
                <w:color w:val="auto"/>
              </w:rPr>
              <w:t>Lender B</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31%</w:t>
            </w:r>
          </w:p>
        </w:tc>
      </w:tr>
      <w:tr>
        <w:trPr>
          <w:trHeight w:val="193"/>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Lender D</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w:t>
            </w:r>
          </w:p>
        </w:tc>
      </w:tr>
      <w:tr>
        <w:trPr>
          <w:trHeight w:val="23"/>
        </w:trPr>
        <w:tc>
          <w:tcPr>
            <w:tcW w:w="10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bl>
    <w:p>
      <w:pPr>
        <w:spacing w:after="0" w:line="167" w:lineRule="exact"/>
        <w:rPr>
          <w:sz w:val="20"/>
          <w:szCs w:val="20"/>
          <w:color w:val="auto"/>
        </w:rPr>
      </w:pPr>
    </w:p>
    <w:p>
      <w:pPr>
        <w:ind w:left="9"/>
        <w:spacing w:after="0"/>
        <w:tabs>
          <w:tab w:leader="none" w:pos="249" w:val="left"/>
        </w:tabs>
        <w:rPr>
          <w:sz w:val="20"/>
          <w:szCs w:val="20"/>
          <w:color w:val="auto"/>
        </w:rPr>
      </w:pPr>
      <w:r>
        <w:rPr>
          <w:rFonts w:ascii="Times New Roman" w:cs="Times New Roman" w:eastAsia="Times New Roman" w:hAnsi="Times New Roman"/>
          <w:sz w:val="15"/>
          <w:szCs w:val="15"/>
          <w:color w:val="auto"/>
        </w:rPr>
        <w:t>*</w:t>
        <w:tab/>
        <w:t>Lender accounted for less than 10% of the accounts receivable balance.</w:t>
      </w:r>
    </w:p>
    <w:p>
      <w:pPr>
        <w:spacing w:after="0" w:line="192"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Major vendors are defined as those vendors to which expenditures made by the Company are 10% or more of the Company’s total purchases. The following was a major vendor for the year ended December 31:</w:t>
      </w:r>
    </w:p>
    <w:p>
      <w:pPr>
        <w:spacing w:after="0" w:line="141" w:lineRule="exact"/>
        <w:rPr>
          <w:sz w:val="20"/>
          <w:szCs w:val="20"/>
          <w:color w:val="auto"/>
        </w:rPr>
      </w:pPr>
    </w:p>
    <w:p>
      <w:pPr>
        <w:ind w:left="10469"/>
        <w:spacing w:after="0"/>
        <w:rPr>
          <w:sz w:val="20"/>
          <w:szCs w:val="20"/>
          <w:color w:val="auto"/>
        </w:rPr>
      </w:pPr>
      <w:r>
        <w:rPr>
          <w:rFonts w:ascii="Times New Roman" w:cs="Times New Roman" w:eastAsia="Times New Roman" w:hAnsi="Times New Roman"/>
          <w:sz w:val="15"/>
          <w:szCs w:val="15"/>
          <w:b w:val="1"/>
          <w:bCs w:val="1"/>
          <w:color w:val="auto"/>
        </w:rPr>
        <w:t>2024</w:t>
      </w:r>
    </w:p>
    <w:p>
      <w:pPr>
        <w:spacing w:after="0" w:line="28" w:lineRule="exact"/>
        <w:rPr>
          <w:sz w:val="20"/>
          <w:szCs w:val="20"/>
          <w:color w:val="auto"/>
        </w:rPr>
      </w:pPr>
    </w:p>
    <w:tbl>
      <w:tblPr>
        <w:tblLayout w:type="fixed"/>
        <w:tblInd w:w="9" w:type="dxa"/>
        <w:tblCellMar>
          <w:top w:w="0" w:type="dxa"/>
          <w:left w:w="0" w:type="dxa"/>
          <w:bottom w:w="0" w:type="dxa"/>
          <w:right w:w="0" w:type="dxa"/>
        </w:tblCellMar>
      </w:tblPr>
      <w:tr>
        <w:trPr>
          <w:trHeight w:val="188"/>
        </w:trPr>
        <w:tc>
          <w:tcPr>
            <w:tcW w:w="10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Vendor A</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bl>
    <w:p>
      <w:pPr>
        <w:spacing w:after="0" w:line="200" w:lineRule="exact"/>
        <w:rPr>
          <w:sz w:val="20"/>
          <w:szCs w:val="20"/>
          <w:color w:val="auto"/>
        </w:rPr>
      </w:pPr>
    </w:p>
    <w:p>
      <w:pPr>
        <w:spacing w:after="0" w:line="33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197485</wp:posOffset>
            </wp:positionH>
            <wp:positionV relativeFrom="page">
              <wp:posOffset>204470</wp:posOffset>
            </wp:positionV>
            <wp:extent cx="6864985" cy="577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6864985" cy="57785"/>
                    </a:xfrm>
                    <a:prstGeom prst="rect">
                      <a:avLst/>
                    </a:prstGeom>
                    <a:noFill/>
                  </pic:spPr>
                </pic:pic>
              </a:graphicData>
            </a:graphic>
          </wp:anchor>
        </w:drawing>
        <w:t>Lease Commitments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 Contract Assets, and Allowance for Credit Losses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year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December 31, 2024, the allowance for credit losses was $123,000.</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Tools and gear</w:t>
            </w:r>
          </w:p>
        </w:tc>
        <w:tc>
          <w:tcPr>
            <w:tcW w:w="5480" w:type="dxa"/>
            <w:vAlign w:val="bottom"/>
            <w:shd w:val="clear" w:color="auto" w:fill="CCEEFF"/>
          </w:tcPr>
          <w:p>
            <w:pPr>
              <w:jc w:val="center"/>
              <w:ind w:left="3484"/>
              <w:spacing w:after="0"/>
              <w:rPr>
                <w:sz w:val="20"/>
                <w:szCs w:val="20"/>
                <w:color w:val="auto"/>
              </w:rPr>
            </w:pPr>
            <w:r>
              <w:rPr>
                <w:rFonts w:ascii="Times New Roman" w:cs="Times New Roman" w:eastAsia="Times New Roman" w:hAnsi="Times New Roman"/>
                <w:sz w:val="15"/>
                <w:szCs w:val="15"/>
                <w:color w:val="auto"/>
              </w:rPr>
              <w:t>3 years</w:t>
            </w:r>
          </w:p>
        </w:tc>
      </w:tr>
      <w:tr>
        <w:trPr>
          <w:trHeight w:val="18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Computer equipment</w:t>
            </w:r>
          </w:p>
        </w:tc>
        <w:tc>
          <w:tcPr>
            <w:tcW w:w="5480" w:type="dxa"/>
            <w:vAlign w:val="bottom"/>
          </w:tcPr>
          <w:p>
            <w:pPr>
              <w:jc w:val="center"/>
              <w:ind w:left="3484"/>
              <w:spacing w:after="0"/>
              <w:rPr>
                <w:sz w:val="20"/>
                <w:szCs w:val="20"/>
                <w:color w:val="auto"/>
              </w:rPr>
            </w:pPr>
            <w:r>
              <w:rPr>
                <w:rFonts w:ascii="Times New Roman" w:cs="Times New Roman" w:eastAsia="Times New Roman" w:hAnsi="Times New Roman"/>
                <w:sz w:val="15"/>
                <w:szCs w:val="15"/>
                <w:color w:val="auto"/>
              </w:rPr>
              <w:t>3 years</w:t>
            </w:r>
          </w:p>
        </w:tc>
      </w:tr>
      <w:tr>
        <w:trPr>
          <w:trHeight w:val="18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w:t>
            </w:r>
          </w:p>
        </w:tc>
        <w:tc>
          <w:tcPr>
            <w:tcW w:w="5480" w:type="dxa"/>
            <w:vAlign w:val="bottom"/>
            <w:shd w:val="clear" w:color="auto" w:fill="CCEEFF"/>
          </w:tcPr>
          <w:p>
            <w:pPr>
              <w:jc w:val="center"/>
              <w:ind w:left="3484"/>
              <w:spacing w:after="0"/>
              <w:rPr>
                <w:sz w:val="20"/>
                <w:szCs w:val="20"/>
                <w:color w:val="auto"/>
              </w:rPr>
            </w:pPr>
            <w:r>
              <w:rPr>
                <w:rFonts w:ascii="Times New Roman" w:cs="Times New Roman" w:eastAsia="Times New Roman" w:hAnsi="Times New Roman"/>
                <w:sz w:val="15"/>
                <w:szCs w:val="15"/>
                <w:color w:val="auto"/>
              </w:rPr>
              <w:t>5 years</w:t>
            </w:r>
          </w:p>
        </w:tc>
      </w:tr>
      <w:tr>
        <w:trPr>
          <w:trHeight w:val="182"/>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Vehicles</w:t>
            </w:r>
          </w:p>
        </w:tc>
        <w:tc>
          <w:tcPr>
            <w:tcW w:w="5480" w:type="dxa"/>
            <w:vAlign w:val="bottom"/>
          </w:tcPr>
          <w:p>
            <w:pPr>
              <w:jc w:val="center"/>
              <w:ind w:left="3484"/>
              <w:spacing w:after="0"/>
              <w:rPr>
                <w:sz w:val="20"/>
                <w:szCs w:val="20"/>
                <w:color w:val="auto"/>
              </w:rPr>
            </w:pPr>
            <w:r>
              <w:rPr>
                <w:rFonts w:ascii="Times New Roman" w:cs="Times New Roman" w:eastAsia="Times New Roman" w:hAnsi="Times New Roman"/>
                <w:sz w:val="15"/>
                <w:szCs w:val="15"/>
                <w:color w:val="auto"/>
              </w:rPr>
              <w:t>3 years</w:t>
            </w:r>
          </w:p>
        </w:tc>
      </w:tr>
      <w:tr>
        <w:trPr>
          <w:trHeight w:val="182"/>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5480" w:type="dxa"/>
            <w:vAlign w:val="bottom"/>
            <w:shd w:val="clear" w:color="auto" w:fill="CCEEFF"/>
          </w:tcPr>
          <w:p>
            <w:pPr>
              <w:jc w:val="center"/>
              <w:ind w:left="3484"/>
              <w:spacing w:after="0"/>
              <w:rPr>
                <w:sz w:val="20"/>
                <w:szCs w:val="20"/>
                <w:color w:val="auto"/>
              </w:rPr>
            </w:pPr>
            <w:r>
              <w:rPr>
                <w:rFonts w:ascii="Times New Roman" w:cs="Times New Roman" w:eastAsia="Times New Roman" w:hAnsi="Times New Roman"/>
                <w:sz w:val="15"/>
                <w:szCs w:val="15"/>
                <w:color w:val="auto"/>
              </w:rPr>
              <w:t>1-3 years</w:t>
            </w:r>
          </w:p>
        </w:tc>
      </w:tr>
    </w:tbl>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 of operations and member’s deficit.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197485</wp:posOffset>
            </wp:positionH>
            <wp:positionV relativeFrom="page">
              <wp:posOffset>233045</wp:posOffset>
            </wp:positionV>
            <wp:extent cx="6864985" cy="577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6864985" cy="57785"/>
                    </a:xfrm>
                    <a:prstGeom prst="rect">
                      <a:avLst/>
                    </a:prstGeom>
                    <a:noFill/>
                  </pic:spPr>
                </pic:pic>
              </a:graphicData>
            </a:graphic>
          </wp:anchor>
        </w:drawing>
        <w:t>Impairment of Long-Lived Tangible Assets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December 31, 2024, management determined that the Company’s tangible assets were not impaired.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is organized as a limited liability company and is generally not subject to income taxed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 member to pay income tax liabilities.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December 31, 2024, the Company had no uncertain tax positions that qualified for either recognition or disclosure in the financial statements. The Company is subject to routine audits by tax jurisdictions; however, there are currently no audits in progress.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 and Deferred Revenue</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primarily generates its revenues from selling and installing solar energy systems. Revenues are recognized when control of installed solar systems are transferred to customers in an amount that reflects the consideration expected to be received by the Company in exchange for the installed solar system. The Company determines revenue recognition through the following steps:</w:t>
      </w:r>
    </w:p>
    <w:p>
      <w:pPr>
        <w:spacing w:after="0" w:line="146" w:lineRule="exact"/>
        <w:rPr>
          <w:sz w:val="20"/>
          <w:szCs w:val="20"/>
          <w:color w:val="auto"/>
        </w:rPr>
      </w:pPr>
    </w:p>
    <w:p>
      <w:pPr>
        <w:ind w:left="540" w:hanging="276"/>
        <w:spacing w:after="0"/>
        <w:tabs>
          <w:tab w:leader="none" w:pos="5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Identification of the contract, or contracts, with a customer</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Identification of the performance obligations in the contract</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Determination of the transaction price</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Allocation of the transaction price to the performance obligations in the contract</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Recognition of revenue when, or as, each performance obligation is satisfied</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197485</wp:posOffset>
            </wp:positionH>
            <wp:positionV relativeFrom="page">
              <wp:posOffset>233045</wp:posOffset>
            </wp:positionV>
            <wp:extent cx="6864985" cy="577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6864985" cy="57785"/>
                    </a:xfrm>
                    <a:prstGeom prst="rect">
                      <a:avLst/>
                    </a:prstGeom>
                    <a:noFill/>
                  </pic:spPr>
                </pic:pic>
              </a:graphicData>
            </a:graphic>
          </wp:anchor>
        </w:drawing>
        <w:t>Installation Services</w:t>
      </w:r>
    </w:p>
    <w:p>
      <w:pPr>
        <w:spacing w:after="0" w:line="1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Company’s principal performance obligation is to install a solar energy system. The Company recognizes revenue upon receiving notice of the completion of the final inspection of the respective solar energy system.</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Revenue is recognized at the total contract price that the end residential customer has agreed to pay before any cost of financing incurred by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Sales Dealer Services</w:t>
      </w:r>
    </w:p>
    <w:p>
      <w:pPr>
        <w:spacing w:after="0" w:line="1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The Company’s principal performance obligation is to complete the sale of solar energy systems for third parties who then perform the installation. The Company recognizes revenue upon the closing of each sale in the amount of the fee they earn for closing the sale, as that is when the performance obligation is satisfied.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14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presents the Company’s revenue disaggregated by revenue source (recognized at a point in time) for the year ended December 31:</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8"/>
        </w:trPr>
        <w:tc>
          <w:tcPr>
            <w:tcW w:w="10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24"/>
                <w:szCs w:val="24"/>
                <w:color w:val="auto"/>
              </w:rPr>
            </w:pPr>
          </w:p>
        </w:tc>
      </w:tr>
      <w:tr>
        <w:trPr>
          <w:trHeight w:val="182"/>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Installation services revenue</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54,164,441</w:t>
            </w:r>
          </w:p>
        </w:tc>
        <w:tc>
          <w:tcPr>
            <w:tcW w:w="100" w:type="dxa"/>
            <w:vAlign w:val="bottom"/>
            <w:shd w:val="clear" w:color="auto" w:fill="CCEEFF"/>
          </w:tcPr>
          <w:p>
            <w:pPr>
              <w:spacing w:after="0"/>
              <w:rPr>
                <w:sz w:val="15"/>
                <w:szCs w:val="15"/>
                <w:color w:val="auto"/>
              </w:rPr>
            </w:pPr>
          </w:p>
        </w:tc>
      </w:tr>
      <w:tr>
        <w:trPr>
          <w:trHeight w:val="196"/>
        </w:trPr>
        <w:tc>
          <w:tcPr>
            <w:tcW w:w="10140" w:type="dxa"/>
            <w:vAlign w:val="bottom"/>
          </w:tcPr>
          <w:p>
            <w:pPr>
              <w:spacing w:after="0"/>
              <w:rPr>
                <w:sz w:val="20"/>
                <w:szCs w:val="20"/>
                <w:color w:val="auto"/>
              </w:rPr>
            </w:pPr>
            <w:r>
              <w:rPr>
                <w:rFonts w:ascii="Times New Roman" w:cs="Times New Roman" w:eastAsia="Times New Roman" w:hAnsi="Times New Roman"/>
                <w:sz w:val="15"/>
                <w:szCs w:val="15"/>
                <w:color w:val="auto"/>
              </w:rPr>
              <w:t>Sales dealer revenue</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109,280</w:t>
            </w:r>
          </w:p>
        </w:tc>
      </w:tr>
      <w:tr>
        <w:trPr>
          <w:trHeight w:val="185"/>
        </w:trPr>
        <w:tc>
          <w:tcPr>
            <w:tcW w:w="10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54,273,721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10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Contract Balances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The beginning and ending contract balances were as follows:</w:t>
            </w:r>
          </w:p>
        </w:tc>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5"/>
        </w:trPr>
        <w:tc>
          <w:tcPr>
            <w:tcW w:w="4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January 1,</w:t>
            </w:r>
          </w:p>
        </w:tc>
      </w:tr>
      <w:tr>
        <w:trPr>
          <w:trHeight w:val="203"/>
        </w:trPr>
        <w:tc>
          <w:tcPr>
            <w:tcW w:w="4580" w:type="dxa"/>
            <w:vAlign w:val="bottom"/>
            <w:tcBorders>
              <w:bottom w:val="single" w:sz="8" w:color="CCEEFF"/>
            </w:tcBorders>
          </w:tcPr>
          <w:p>
            <w:pPr>
              <w:spacing w:after="0"/>
              <w:rPr>
                <w:sz w:val="17"/>
                <w:szCs w:val="17"/>
                <w:color w:val="auto"/>
              </w:rPr>
            </w:pPr>
          </w:p>
        </w:tc>
        <w:tc>
          <w:tcPr>
            <w:tcW w:w="4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w:t>
            </w:r>
          </w:p>
        </w:tc>
        <w:tc>
          <w:tcPr>
            <w:tcW w:w="43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1,010,295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155,801</w:t>
            </w:r>
          </w:p>
        </w:tc>
        <w:tc>
          <w:tcPr>
            <w:tcW w:w="100" w:type="dxa"/>
            <w:vAlign w:val="bottom"/>
            <w:shd w:val="clear" w:color="auto" w:fill="CCEEFF"/>
          </w:tcPr>
          <w:p>
            <w:pPr>
              <w:spacing w:after="0"/>
              <w:rPr>
                <w:sz w:val="15"/>
                <w:szCs w:val="15"/>
                <w:color w:val="auto"/>
              </w:rPr>
            </w:pPr>
          </w:p>
        </w:tc>
      </w:tr>
      <w:tr>
        <w:trPr>
          <w:trHeight w:val="182"/>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Unbilled receivables</w:t>
            </w:r>
          </w:p>
        </w:tc>
        <w:tc>
          <w:tcPr>
            <w:tcW w:w="4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4,601,890</w:t>
            </w:r>
          </w:p>
        </w:tc>
        <w:tc>
          <w:tcPr>
            <w:tcW w:w="10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3,916,562</w:t>
            </w:r>
          </w:p>
        </w:tc>
      </w:tr>
      <w:tr>
        <w:trPr>
          <w:trHeight w:val="18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4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10,585,293</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11,661,448</w:t>
            </w:r>
          </w:p>
        </w:tc>
      </w:tr>
      <w:tr>
        <w:trPr>
          <w:trHeight w:val="731"/>
        </w:trPr>
        <w:tc>
          <w:tcPr>
            <w:tcW w:w="45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jc w:val="right"/>
              <w:ind w:right="3244"/>
              <w:spacing w:after="0"/>
              <w:rPr>
                <w:sz w:val="20"/>
                <w:szCs w:val="20"/>
                <w:color w:val="auto"/>
              </w:rPr>
            </w:pPr>
            <w:r>
              <w:rPr>
                <w:rFonts w:ascii="Times New Roman" w:cs="Times New Roman" w:eastAsia="Times New Roman" w:hAnsi="Times New Roman"/>
                <w:sz w:val="15"/>
                <w:szCs w:val="15"/>
                <w:color w:val="auto"/>
              </w:rPr>
              <w:t>F-175</w:t>
            </w: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71" w:right="31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197485</wp:posOffset>
            </wp:positionH>
            <wp:positionV relativeFrom="page">
              <wp:posOffset>233680</wp:posOffset>
            </wp:positionV>
            <wp:extent cx="6864985" cy="577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6864985" cy="57785"/>
                    </a:xfrm>
                    <a:prstGeom prst="rect">
                      <a:avLst/>
                    </a:prstGeom>
                    <a:noFill/>
                  </pic:spPr>
                </pic:pic>
              </a:graphicData>
            </a:graphic>
          </wp:anchor>
        </w:drawing>
        <w:t>Limited Warranty</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that they will be watertight. The Company bases its estimates on historical estimates and known conditions at the time. To date, warranty claims have been nominal. Accordingly, there was no warranty accrual recorded as of December 31,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Commissions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Costs Incurred to Acquire Customer Contracts</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The Company recognizes an asset for incremental costs of obtaining a contract with the customer if management expects to recover these costs. Incremental costs are those that would not have been incurred if the contract did not exist.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 w:cs="Times New Roman" w:eastAsia="Times New Roman" w:hAnsi="Times New Roman"/>
          <w:sz w:val="15"/>
          <w:szCs w:val="15"/>
          <w:i w:val="1"/>
          <w:iCs w:val="1"/>
          <w:color w:val="auto"/>
        </w:rPr>
        <w:t>Other Assets and Deferred Costs: Contracts with Customers</w:t>
      </w:r>
      <w:r>
        <w:rPr>
          <w:rFonts w:ascii="Times New Roman" w:cs="Times New Roman" w:eastAsia="Times New Roman" w:hAnsi="Times New Roman"/>
          <w:sz w:val="15"/>
          <w:szCs w:val="15"/>
          <w:color w:val="auto"/>
        </w:rPr>
        <w:t xml:space="preserve"> and expenses all incremental costs to acquire customers contracts upon installation of the solar system.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Contract Fulfillment Costs</w:t>
      </w:r>
    </w:p>
    <w:p>
      <w:pPr>
        <w:spacing w:after="0" w:line="19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5"/>
          <w:szCs w:val="15"/>
          <w:color w:val="auto"/>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 The Company had $6,137,615 in deferred contract fulfillment costs classified as deferred costs in the accompanying balance sheet as of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Advertising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Advertising costs are expensed as incurred. Advertising expense for the year ended December 31, 2024 totaled approximately $291,000.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Sales Tax</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The Company collects sales and other taxes from certain customers and remits those taxes to governmental agencies. The Company reports the collection of these taxes on a net basis and such taxes are excluded from revenues.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Subsequent Events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Management has evaluated events and transactions for potential recognition or disclosure through December 22, 2025, which is the date the financial statements were available to be issued.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312" w:name="page313"/>
    <w:bookmarkEnd w:id="312"/>
    <w:p>
      <w:pPr>
        <w:ind w:left="269" w:hanging="269"/>
        <w:spacing w:after="0"/>
        <w:tabs>
          <w:tab w:leader="none" w:pos="269" w:val="left"/>
        </w:tabs>
        <w:numPr>
          <w:ilvl w:val="0"/>
          <w:numId w:val="1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233680</wp:posOffset>
            </wp:positionV>
            <wp:extent cx="6864985" cy="577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6864985" cy="57785"/>
                    </a:xfrm>
                    <a:prstGeom prst="rect">
                      <a:avLst/>
                    </a:prstGeom>
                    <a:noFill/>
                  </pic:spPr>
                </pic:pic>
              </a:graphicData>
            </a:graphic>
          </wp:anchor>
        </w:drawing>
        <w:t>Liquidity</w:t>
      </w:r>
    </w:p>
    <w:p>
      <w:pPr>
        <w:spacing w:after="0" w:line="196"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In assessing the Company’s liquidity, the Company monitors and analyzes its cash and its ability to generate sufficient cash flow in the future to support its operating and capital expenditure commitments. The Company’s liquidity needs are to meet its operating expense obligations.</w:t>
      </w:r>
    </w:p>
    <w:p>
      <w:pPr>
        <w:spacing w:after="0" w:line="134" w:lineRule="exact"/>
        <w:rPr>
          <w:sz w:val="20"/>
          <w:szCs w:val="20"/>
          <w:color w:val="auto"/>
        </w:rPr>
      </w:pPr>
    </w:p>
    <w:p>
      <w:pPr>
        <w:jc w:val="both"/>
        <w:ind w:left="9" w:right="20"/>
        <w:spacing w:after="0" w:line="287" w:lineRule="auto"/>
        <w:rPr>
          <w:sz w:val="20"/>
          <w:szCs w:val="20"/>
          <w:color w:val="auto"/>
        </w:rPr>
      </w:pPr>
      <w:r>
        <w:rPr>
          <w:rFonts w:ascii="Times New Roman" w:cs="Times New Roman" w:eastAsia="Times New Roman" w:hAnsi="Times New Roman"/>
          <w:sz w:val="15"/>
          <w:szCs w:val="15"/>
          <w:color w:val="auto"/>
        </w:rPr>
        <w:t>As of December 31, 2024, the Company had a working capital surplus of approximately $665,000 and stockholders’ deficit of approximately $7,032,000. For the year ended December 31, 2024, the Company had a net loss of approximately $6,253,000 and used cash in operating activities of approximately $6,322,000.</w:t>
      </w:r>
    </w:p>
    <w:p>
      <w:pPr>
        <w:spacing w:after="0" w:line="13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On November 11, 2025, the Company entered a non-binding letter of intent with SunPower, Inc. to be acquired for $37,500,000. The transaction closed on November 21, 2025.</w:t>
      </w:r>
    </w:p>
    <w:p>
      <w:pPr>
        <w:spacing w:after="0" w:line="192" w:lineRule="exact"/>
        <w:rPr>
          <w:sz w:val="20"/>
          <w:szCs w:val="20"/>
          <w:color w:val="auto"/>
        </w:rPr>
      </w:pPr>
    </w:p>
    <w:p>
      <w:pPr>
        <w:jc w:val="both"/>
        <w:ind w:left="9"/>
        <w:spacing w:after="0" w:line="260" w:lineRule="auto"/>
        <w:rPr>
          <w:sz w:val="20"/>
          <w:szCs w:val="20"/>
          <w:color w:val="auto"/>
        </w:rPr>
      </w:pPr>
      <w:r>
        <w:rPr>
          <w:rFonts w:ascii="Times New Roman" w:cs="Times New Roman" w:eastAsia="Times New Roman" w:hAnsi="Times New Roman"/>
          <w:sz w:val="15"/>
          <w:szCs w:val="15"/>
          <w:color w:val="auto"/>
        </w:rPr>
        <w:t>Management of the Company has evaluated these conditions and believes the Company’s working capital and sales from operations will allow the Company to fund operations and pay current liabilities. Additionally, the Company raised additional funds in 2025 (See Note 13) that will assist the Company with liquidity needs, and finally, management believes the pending acquisition of the Company as previously mentioned will provide sufficient liquidity for the Company’s needs. The financial statements do not include any adjustments that might be necessary if the Company is unable to continue as a going concern. Although there can be no assurances, management believes that the capital raised and pending acquisition of the Company, combined with continued operational improvements as needed will provide the Company with the resources necessary to meet its liquidity needs for 12 months from the date the financial statements were available to be issued.</w:t>
      </w:r>
    </w:p>
    <w:p>
      <w:pPr>
        <w:spacing w:after="0" w:line="149"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10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4.  Property and Equipment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4"/>
        </w:trPr>
        <w:tc>
          <w:tcPr>
            <w:tcW w:w="1014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consisted of the following as of December 31: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10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182"/>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Tools and gear</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296,085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1014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2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76,701</w:t>
            </w:r>
          </w:p>
        </w:tc>
        <w:tc>
          <w:tcPr>
            <w:tcW w:w="80" w:type="dxa"/>
            <w:vAlign w:val="bottom"/>
          </w:tcPr>
          <w:p>
            <w:pPr>
              <w:spacing w:after="0"/>
              <w:rPr>
                <w:sz w:val="15"/>
                <w:szCs w:val="15"/>
                <w:color w:val="auto"/>
              </w:rPr>
            </w:pPr>
          </w:p>
        </w:tc>
      </w:tr>
      <w:tr>
        <w:trPr>
          <w:trHeight w:val="182"/>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Vehicles</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52,552</w:t>
            </w:r>
          </w:p>
        </w:tc>
        <w:tc>
          <w:tcPr>
            <w:tcW w:w="80" w:type="dxa"/>
            <w:vAlign w:val="bottom"/>
            <w:shd w:val="clear" w:color="auto" w:fill="CCEEFF"/>
          </w:tcPr>
          <w:p>
            <w:pPr>
              <w:spacing w:after="0"/>
              <w:rPr>
                <w:sz w:val="15"/>
                <w:szCs w:val="15"/>
                <w:color w:val="auto"/>
              </w:rPr>
            </w:pPr>
          </w:p>
        </w:tc>
      </w:tr>
      <w:tr>
        <w:trPr>
          <w:trHeight w:val="182"/>
        </w:trPr>
        <w:tc>
          <w:tcPr>
            <w:tcW w:w="10140" w:type="dxa"/>
            <w:vAlign w:val="bottom"/>
          </w:tcPr>
          <w:p>
            <w:pPr>
              <w:spacing w:after="0"/>
              <w:rPr>
                <w:sz w:val="20"/>
                <w:szCs w:val="20"/>
                <w:color w:val="auto"/>
              </w:rPr>
            </w:pPr>
            <w:r>
              <w:rPr>
                <w:rFonts w:ascii="Times New Roman" w:cs="Times New Roman" w:eastAsia="Times New Roman" w:hAnsi="Times New Roman"/>
                <w:sz w:val="15"/>
                <w:szCs w:val="15"/>
                <w:color w:val="auto"/>
              </w:rPr>
              <w:t>Computer equipment</w:t>
            </w:r>
          </w:p>
        </w:tc>
        <w:tc>
          <w:tcPr>
            <w:tcW w:w="22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54,392</w:t>
            </w:r>
          </w:p>
        </w:tc>
        <w:tc>
          <w:tcPr>
            <w:tcW w:w="80" w:type="dxa"/>
            <w:vAlign w:val="bottom"/>
          </w:tcPr>
          <w:p>
            <w:pPr>
              <w:spacing w:after="0"/>
              <w:rPr>
                <w:sz w:val="15"/>
                <w:szCs w:val="15"/>
                <w:color w:val="auto"/>
              </w:rPr>
            </w:pPr>
          </w:p>
        </w:tc>
      </w:tr>
      <w:tr>
        <w:trPr>
          <w:trHeight w:val="213"/>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30,946</w:t>
            </w:r>
          </w:p>
        </w:tc>
        <w:tc>
          <w:tcPr>
            <w:tcW w:w="80" w:type="dxa"/>
            <w:vAlign w:val="bottom"/>
            <w:shd w:val="clear" w:color="auto" w:fill="CCEEFF"/>
          </w:tcPr>
          <w:p>
            <w:pPr>
              <w:spacing w:after="0"/>
              <w:rPr>
                <w:sz w:val="18"/>
                <w:szCs w:val="18"/>
                <w:color w:val="auto"/>
              </w:rPr>
            </w:pPr>
          </w:p>
        </w:tc>
      </w:tr>
      <w:tr>
        <w:trPr>
          <w:trHeight w:val="165"/>
        </w:trPr>
        <w:tc>
          <w:tcPr>
            <w:tcW w:w="1014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510,676</w:t>
            </w: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13"/>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(125,484)</w:t>
            </w:r>
          </w:p>
        </w:tc>
      </w:tr>
      <w:tr>
        <w:trPr>
          <w:trHeight w:val="168"/>
        </w:trPr>
        <w:tc>
          <w:tcPr>
            <w:tcW w:w="1014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385,192</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10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Depreciation and amortization expense on property and equipment was calculated on a straight-line basis and for the year ended December 31, 2024 was $101,680. Amortization of right-of-use assets held under finance leases was $299,985 for the year ended December 31, 2024; and is included in depreciation and amortization expense in the statement of operations and member’s deficit.</w:t>
      </w:r>
    </w:p>
    <w:p>
      <w:pPr>
        <w:spacing w:after="0" w:line="142" w:lineRule="exact"/>
        <w:rPr>
          <w:sz w:val="20"/>
          <w:szCs w:val="20"/>
          <w:color w:val="auto"/>
        </w:rPr>
      </w:pPr>
    </w:p>
    <w:p>
      <w:pPr>
        <w:ind w:left="269" w:hanging="269"/>
        <w:spacing w:after="0"/>
        <w:tabs>
          <w:tab w:leader="none" w:pos="269" w:val="left"/>
        </w:tabs>
        <w:numPr>
          <w:ilvl w:val="0"/>
          <w:numId w:val="1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Related-Party Notes Payable</w:t>
      </w:r>
    </w:p>
    <w:p>
      <w:pPr>
        <w:spacing w:after="0" w:line="196"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spacing w:after="0" w:line="1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As of December 31, 2024, the future maturities of related-party notes payable are as follows:</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For the year ending December 31:</w:t>
            </w:r>
          </w:p>
        </w:tc>
        <w:tc>
          <w:tcPr>
            <w:tcW w:w="6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8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62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3,100,000</w:t>
            </w:r>
          </w:p>
        </w:tc>
      </w:tr>
      <w:tr>
        <w:trPr>
          <w:trHeight w:val="18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6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6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4,040,109</w:t>
            </w:r>
          </w:p>
        </w:tc>
      </w:tr>
      <w:tr>
        <w:trPr>
          <w:trHeight w:val="185"/>
        </w:trPr>
        <w:tc>
          <w:tcPr>
            <w:tcW w:w="3820" w:type="dxa"/>
            <w:vAlign w:val="bottom"/>
            <w:tcBorders>
              <w:top w:val="single" w:sz="8" w:color="CCEEFF"/>
              <w:bottom w:val="single" w:sz="8" w:color="CCEEFF"/>
            </w:tcBorders>
            <w:shd w:val="clear" w:color="auto" w:fill="CCEEFF"/>
          </w:tcPr>
          <w:p>
            <w:pPr>
              <w:spacing w:after="0"/>
              <w:rPr>
                <w:sz w:val="16"/>
                <w:szCs w:val="16"/>
                <w:color w:val="auto"/>
              </w:rPr>
            </w:pPr>
          </w:p>
        </w:tc>
        <w:tc>
          <w:tcPr>
            <w:tcW w:w="6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7,140,109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8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3"/>
        </w:trPr>
        <w:tc>
          <w:tcPr>
            <w:tcW w:w="38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jc w:val="right"/>
              <w:ind w:right="4504"/>
              <w:spacing w:after="0"/>
              <w:rPr>
                <w:sz w:val="20"/>
                <w:szCs w:val="20"/>
                <w:color w:val="auto"/>
              </w:rPr>
            </w:pPr>
            <w:r>
              <w:rPr>
                <w:rFonts w:ascii="Times New Roman" w:cs="Times New Roman" w:eastAsia="Times New Roman" w:hAnsi="Times New Roman"/>
                <w:sz w:val="15"/>
                <w:szCs w:val="15"/>
                <w:color w:val="auto"/>
              </w:rPr>
              <w:t>F-177</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9"/>
          </w:cols>
          <w:pgMar w:left="311" w:top="667" w:right="319" w:bottom="1440" w:gutter="0" w:footer="0" w:header="0"/>
        </w:sectPr>
      </w:pPr>
    </w:p>
    <w:bookmarkStart w:id="313" w:name="page314"/>
    <w:bookmarkEnd w:id="313"/>
    <w:p>
      <w:pPr>
        <w:ind w:left="269" w:hanging="269"/>
        <w:spacing w:after="0"/>
        <w:tabs>
          <w:tab w:leader="none" w:pos="269" w:val="left"/>
        </w:tabs>
        <w:numPr>
          <w:ilvl w:val="0"/>
          <w:numId w:val="1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233680</wp:posOffset>
            </wp:positionV>
            <wp:extent cx="6864985" cy="577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6864985" cy="57785"/>
                    </a:xfrm>
                    <a:prstGeom prst="rect">
                      <a:avLst/>
                    </a:prstGeom>
                    <a:noFill/>
                  </pic:spPr>
                </pic:pic>
              </a:graphicData>
            </a:graphic>
          </wp:anchor>
        </w:drawing>
        <w:t>Related-Party Lines of Credit</w:t>
      </w:r>
    </w:p>
    <w:p>
      <w:pPr>
        <w:spacing w:after="0" w:line="196"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The Company has entered into verbal line of credit agreements with related parties. These lines of credit have maximum balances of $250,000 to $1,400,000 and bear interest on their outstanding individual balances at an interest rate of 13%. Principal and interest are not due until the maturity date which range from May to July 2027.</w:t>
      </w:r>
    </w:p>
    <w:p>
      <w:pPr>
        <w:spacing w:after="0" w:line="134" w:lineRule="exact"/>
        <w:rPr>
          <w:sz w:val="20"/>
          <w:szCs w:val="20"/>
          <w:color w:val="auto"/>
        </w:rPr>
      </w:pPr>
    </w:p>
    <w:tbl>
      <w:tblPr>
        <w:tblLayout w:type="fixed"/>
        <w:tblInd w:w="9" w:type="dxa"/>
        <w:tblCellMar>
          <w:top w:w="0" w:type="dxa"/>
          <w:left w:w="0" w:type="dxa"/>
          <w:bottom w:w="0" w:type="dxa"/>
          <w:right w:w="0" w:type="dxa"/>
        </w:tblCellMar>
      </w:tblPr>
      <w:tr>
        <w:trPr>
          <w:trHeight w:val="197"/>
        </w:trPr>
        <w:tc>
          <w:tcPr>
            <w:tcW w:w="101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As of December 31, 2024, the future maturities of related-party lines of credit are as follows: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101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For the year ending December 31:</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0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3"/>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2,175,000</w:t>
            </w:r>
          </w:p>
        </w:tc>
        <w:tc>
          <w:tcPr>
            <w:tcW w:w="0" w:type="dxa"/>
            <w:vAlign w:val="bottom"/>
          </w:tcPr>
          <w:p>
            <w:pPr>
              <w:spacing w:after="0"/>
              <w:rPr>
                <w:sz w:val="1"/>
                <w:szCs w:val="1"/>
                <w:color w:val="auto"/>
              </w:rPr>
            </w:pPr>
          </w:p>
        </w:tc>
      </w:tr>
      <w:tr>
        <w:trPr>
          <w:trHeight w:val="168"/>
        </w:trPr>
        <w:tc>
          <w:tcPr>
            <w:tcW w:w="180" w:type="dxa"/>
            <w:vAlign w:val="bottom"/>
            <w:tcBorders>
              <w:top w:val="single" w:sz="8" w:color="CCEEFF"/>
            </w:tcBorders>
          </w:tcPr>
          <w:p>
            <w:pPr>
              <w:spacing w:after="0"/>
              <w:rPr>
                <w:sz w:val="14"/>
                <w:szCs w:val="14"/>
                <w:color w:val="auto"/>
              </w:rPr>
            </w:pPr>
          </w:p>
        </w:tc>
        <w:tc>
          <w:tcPr>
            <w:tcW w:w="98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2,175,000</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7.</w:t>
            </w:r>
          </w:p>
        </w:tc>
        <w:tc>
          <w:tcPr>
            <w:tcW w:w="9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Member’s Deficit</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80" w:type="dxa"/>
            <w:vAlign w:val="bottom"/>
            <w:vMerge w:val="continue"/>
          </w:tcPr>
          <w:p>
            <w:pPr>
              <w:spacing w:after="0"/>
              <w:rPr>
                <w:sz w:val="24"/>
                <w:szCs w:val="24"/>
                <w:color w:val="auto"/>
              </w:rPr>
            </w:pPr>
          </w:p>
        </w:tc>
        <w:tc>
          <w:tcPr>
            <w:tcW w:w="99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1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Company is wholly owned by Ambia Holdings, Inc. and a 100% of the membership interests outstanding are held by Ambia Holdings, Inc.</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8.</w:t>
            </w:r>
          </w:p>
        </w:tc>
        <w:tc>
          <w:tcPr>
            <w:tcW w:w="99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Commitments and Contingencies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Litigation</w:t>
      </w:r>
    </w:p>
    <w:p>
      <w:pPr>
        <w:spacing w:after="0" w:line="196"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Commitment to Former Employee</w:t>
      </w:r>
    </w:p>
    <w:p>
      <w:pPr>
        <w:spacing w:after="0" w:line="196"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spacing w:after="0" w:line="155" w:lineRule="exact"/>
        <w:rPr>
          <w:sz w:val="20"/>
          <w:szCs w:val="20"/>
          <w:color w:val="auto"/>
        </w:rPr>
      </w:pPr>
    </w:p>
    <w:p>
      <w:pPr>
        <w:jc w:val="both"/>
        <w:ind w:left="9" w:right="20"/>
        <w:spacing w:after="0" w:line="287" w:lineRule="auto"/>
        <w:rPr>
          <w:sz w:val="20"/>
          <w:szCs w:val="20"/>
          <w:color w:val="auto"/>
        </w:rPr>
      </w:pPr>
      <w:r>
        <w:rPr>
          <w:rFonts w:ascii="Times New Roman" w:cs="Times New Roman" w:eastAsia="Times New Roman" w:hAnsi="Times New Roman"/>
          <w:sz w:val="15"/>
          <w:szCs w:val="15"/>
          <w:color w:val="auto"/>
        </w:rPr>
        <w:t>During 2024 no amounts were forgiven. As of December 31, 2024, the outstanding balance under this loan agreement was $400,000, and is included within accrued liabilities on the balance sheet. If not forgiven, the entire balance under this agreement is due on January 15, 2028.</w:t>
      </w:r>
    </w:p>
    <w:p>
      <w:pPr>
        <w:spacing w:after="0" w:line="200" w:lineRule="exact"/>
        <w:rPr>
          <w:sz w:val="20"/>
          <w:szCs w:val="20"/>
          <w:color w:val="auto"/>
        </w:rPr>
      </w:pPr>
    </w:p>
    <w:p>
      <w:pPr>
        <w:spacing w:after="0" w:line="29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667" w:right="319" w:bottom="1440" w:gutter="0" w:footer="0" w:header="0"/>
        </w:sectPr>
      </w:pPr>
    </w:p>
    <w:bookmarkStart w:id="314" w:name="page315"/>
    <w:bookmarkEnd w:id="314"/>
    <w:p>
      <w:pPr>
        <w:ind w:left="269" w:hanging="269"/>
        <w:spacing w:after="0"/>
        <w:tabs>
          <w:tab w:leader="none" w:pos="269" w:val="left"/>
        </w:tabs>
        <w:numPr>
          <w:ilvl w:val="0"/>
          <w:numId w:val="13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233045</wp:posOffset>
            </wp:positionV>
            <wp:extent cx="6864985" cy="577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6864985" cy="57785"/>
                    </a:xfrm>
                    <a:prstGeom prst="rect">
                      <a:avLst/>
                    </a:prstGeom>
                    <a:noFill/>
                  </pic:spPr>
                </pic:pic>
              </a:graphicData>
            </a:graphic>
          </wp:anchor>
        </w:drawing>
        <w:t>Leases</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Finance lease assets are recorded net of accumulated amortization of $313,445 as of December 31, 2024.</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components of lease expense were as follows for the year ended December 31:</w:t>
      </w:r>
    </w:p>
    <w:p>
      <w:pPr>
        <w:spacing w:after="0" w:line="381"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41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Lease Cost</w:t>
            </w:r>
          </w:p>
        </w:tc>
        <w:tc>
          <w:tcPr>
            <w:tcW w:w="5980" w:type="dxa"/>
            <w:vAlign w:val="bottom"/>
            <w:gridSpan w:val="3"/>
          </w:tcPr>
          <w:p>
            <w:pPr>
              <w:ind w:left="250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20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w:t>
            </w:r>
          </w:p>
        </w:tc>
        <w:tc>
          <w:tcPr>
            <w:tcW w:w="100" w:type="dxa"/>
            <w:vAlign w:val="bottom"/>
            <w:tcBorders>
              <w:top w:val="single" w:sz="8" w:color="CCEEFF"/>
            </w:tcBorders>
            <w:shd w:val="clear" w:color="auto" w:fill="CCEEFF"/>
          </w:tcPr>
          <w:p>
            <w:pPr>
              <w:spacing w:after="0"/>
              <w:rPr>
                <w:sz w:val="15"/>
                <w:szCs w:val="15"/>
                <w:color w:val="auto"/>
              </w:rPr>
            </w:pPr>
          </w:p>
        </w:tc>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Rent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759,705</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Finance:</w:t>
            </w: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 amortization</w:t>
            </w:r>
          </w:p>
        </w:tc>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299,985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on liability</w:t>
            </w:r>
          </w:p>
        </w:tc>
        <w:tc>
          <w:tcPr>
            <w:tcW w:w="59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interest expense</w:t>
            </w:r>
          </w:p>
        </w:tc>
        <w:tc>
          <w:tcPr>
            <w:tcW w:w="20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44,223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lease cost</w:t>
            </w:r>
          </w:p>
        </w:tc>
        <w:tc>
          <w:tcPr>
            <w:tcW w:w="58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1,103,913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140" w:type="dxa"/>
            <w:vAlign w:val="bottom"/>
            <w:gridSpan w:val="6"/>
            <w:vMerge w:val="restart"/>
          </w:tcPr>
          <w:p>
            <w:pPr>
              <w:spacing w:after="0"/>
              <w:rPr>
                <w:sz w:val="20"/>
                <w:szCs w:val="20"/>
                <w:color w:val="auto"/>
              </w:rPr>
            </w:pPr>
            <w:r>
              <w:rPr>
                <w:rFonts w:ascii="Times New Roman" w:cs="Times New Roman" w:eastAsia="Times New Roman" w:hAnsi="Times New Roman"/>
                <w:sz w:val="15"/>
                <w:szCs w:val="15"/>
                <w:color w:val="auto"/>
              </w:rPr>
              <w:t>The weighted average remaining lease terms and interest rates were as follows as of December 31, 2024:</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14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Lease Term and Discount Rate</w:t>
            </w: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Weighted average remaining lease term (years)</w:t>
            </w:r>
          </w:p>
        </w:tc>
        <w:tc>
          <w:tcPr>
            <w:tcW w:w="5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5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Finance leases</w:t>
            </w: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4.36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5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3"/>
          </w:tcPr>
          <w:p>
            <w:pPr>
              <w:ind w:left="520"/>
              <w:spacing w:after="0"/>
              <w:rPr>
                <w:sz w:val="20"/>
                <w:szCs w:val="20"/>
                <w:color w:val="auto"/>
              </w:rPr>
            </w:pPr>
            <w:r>
              <w:rPr>
                <w:rFonts w:ascii="Times New Roman" w:cs="Times New Roman" w:eastAsia="Times New Roman" w:hAnsi="Times New Roman"/>
                <w:sz w:val="15"/>
                <w:szCs w:val="15"/>
                <w:color w:val="auto"/>
                <w:w w:val="97"/>
              </w:rPr>
              <w:t>4.07%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leaess</w:t>
            </w:r>
          </w:p>
        </w:tc>
        <w:tc>
          <w:tcPr>
            <w:tcW w:w="5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w w:val="97"/>
              </w:rPr>
              <w:t>4.31%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The following table reconciles the undiscounted future cash flows for the next five years to the operating and finance lease liabilities recorded within the balance sheet as of December 31, 2024:</w:t>
      </w:r>
    </w:p>
    <w:p>
      <w:pPr>
        <w:spacing w:after="0" w:line="141"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89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year ending December 31:</w:t>
            </w:r>
          </w:p>
        </w:tc>
        <w:tc>
          <w:tcPr>
            <w:tcW w:w="12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Operating</w:t>
            </w:r>
          </w:p>
        </w:tc>
        <w:tc>
          <w:tcPr>
            <w:tcW w:w="160" w:type="dxa"/>
            <w:vAlign w:val="bottom"/>
          </w:tcPr>
          <w:p>
            <w:pPr>
              <w:spacing w:after="0"/>
              <w:rPr>
                <w:sz w:val="17"/>
                <w:szCs w:val="17"/>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Finance</w:t>
            </w:r>
          </w:p>
        </w:tc>
      </w:tr>
      <w:tr>
        <w:trPr>
          <w:trHeight w:val="182"/>
        </w:trPr>
        <w:tc>
          <w:tcPr>
            <w:tcW w:w="8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424,140</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375,721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215,620</w:t>
            </w:r>
          </w:p>
        </w:tc>
        <w:tc>
          <w:tcPr>
            <w:tcW w:w="16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374,183</w:t>
            </w:r>
          </w:p>
        </w:tc>
        <w:tc>
          <w:tcPr>
            <w:tcW w:w="80" w:type="dxa"/>
            <w:vAlign w:val="bottom"/>
          </w:tcPr>
          <w:p>
            <w:pPr>
              <w:spacing w:after="0"/>
              <w:rPr>
                <w:sz w:val="15"/>
                <w:szCs w:val="15"/>
                <w:color w:val="auto"/>
              </w:rPr>
            </w:pPr>
          </w:p>
        </w:tc>
      </w:tr>
      <w:tr>
        <w:trPr>
          <w:trHeight w:val="182"/>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93,048</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374,183</w:t>
            </w:r>
          </w:p>
        </w:tc>
        <w:tc>
          <w:tcPr>
            <w:tcW w:w="80" w:type="dxa"/>
            <w:vAlign w:val="bottom"/>
            <w:shd w:val="clear" w:color="auto" w:fill="CCEEFF"/>
          </w:tcPr>
          <w:p>
            <w:pPr>
              <w:spacing w:after="0"/>
              <w:rPr>
                <w:sz w:val="15"/>
                <w:szCs w:val="15"/>
                <w:color w:val="auto"/>
              </w:rPr>
            </w:pP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70,521</w:t>
            </w:r>
          </w:p>
        </w:tc>
        <w:tc>
          <w:tcPr>
            <w:tcW w:w="16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353,318</w:t>
            </w:r>
          </w:p>
        </w:tc>
        <w:tc>
          <w:tcPr>
            <w:tcW w:w="80" w:type="dxa"/>
            <w:vAlign w:val="bottom"/>
          </w:tcPr>
          <w:p>
            <w:pPr>
              <w:spacing w:after="0"/>
              <w:rPr>
                <w:sz w:val="15"/>
                <w:szCs w:val="15"/>
                <w:color w:val="auto"/>
              </w:rPr>
            </w:pPr>
          </w:p>
        </w:tc>
      </w:tr>
      <w:tr>
        <w:trPr>
          <w:trHeight w:val="213"/>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231,674</w:t>
            </w:r>
          </w:p>
        </w:tc>
        <w:tc>
          <w:tcPr>
            <w:tcW w:w="80" w:type="dxa"/>
            <w:vAlign w:val="bottom"/>
            <w:shd w:val="clear" w:color="auto" w:fill="CCEEFF"/>
          </w:tcPr>
          <w:p>
            <w:pPr>
              <w:spacing w:after="0"/>
              <w:rPr>
                <w:sz w:val="18"/>
                <w:szCs w:val="18"/>
                <w:color w:val="auto"/>
              </w:rPr>
            </w:pPr>
          </w:p>
        </w:tc>
      </w:tr>
      <w:tr>
        <w:trPr>
          <w:trHeight w:val="165"/>
        </w:trPr>
        <w:tc>
          <w:tcPr>
            <w:tcW w:w="8900" w:type="dxa"/>
            <w:vAlign w:val="bottom"/>
            <w:tcBorders>
              <w:top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5"/>
                <w:szCs w:val="15"/>
                <w:color w:val="auto"/>
              </w:rPr>
              <w:t>Total lease payments</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803,329</w:t>
            </w: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1,709,079</w:t>
            </w: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13"/>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interest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(34,527)</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(164,992)</w:t>
            </w:r>
          </w:p>
        </w:tc>
      </w:tr>
      <w:tr>
        <w:trPr>
          <w:trHeight w:val="168"/>
        </w:trPr>
        <w:tc>
          <w:tcPr>
            <w:tcW w:w="8900" w:type="dxa"/>
            <w:vAlign w:val="bottom"/>
            <w:tcBorders>
              <w:top w:val="single" w:sz="8" w:color="CCEEFF"/>
            </w:tcBorders>
            <w:gridSpan w:val="2"/>
          </w:tcPr>
          <w:p>
            <w:pPr>
              <w:spacing w:after="0" w:line="165" w:lineRule="exact"/>
              <w:rPr>
                <w:sz w:val="20"/>
                <w:szCs w:val="20"/>
                <w:color w:val="auto"/>
              </w:rPr>
            </w:pPr>
            <w:r>
              <w:rPr>
                <w:rFonts w:ascii="Times New Roman" w:cs="Times New Roman" w:eastAsia="Times New Roman" w:hAnsi="Times New Roman"/>
                <w:sz w:val="15"/>
                <w:szCs w:val="15"/>
                <w:color w:val="auto"/>
              </w:rPr>
              <w:t>Present value of lease liabilities</w:t>
            </w: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768,802</w:t>
            </w: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1,544,087</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8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10. Related Party Transactions Not Disclosed Elsewhere</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Sales Commissions Receivables</w:t>
      </w:r>
    </w:p>
    <w:p>
      <w:pPr>
        <w:spacing w:after="0" w:line="196" w:lineRule="exact"/>
        <w:rPr>
          <w:sz w:val="20"/>
          <w:szCs w:val="20"/>
          <w:color w:val="auto"/>
        </w:rPr>
      </w:pPr>
    </w:p>
    <w:p>
      <w:pPr>
        <w:jc w:val="both"/>
        <w:ind w:left="9"/>
        <w:spacing w:after="0" w:line="287" w:lineRule="auto"/>
        <w:rPr>
          <w:sz w:val="20"/>
          <w:szCs w:val="20"/>
          <w:color w:val="auto"/>
        </w:rPr>
      </w:pPr>
      <w:r>
        <w:rPr>
          <w:rFonts w:ascii="Times New Roman" w:cs="Times New Roman" w:eastAsia="Times New Roman" w:hAnsi="Times New Roman"/>
          <w:sz w:val="15"/>
          <w:szCs w:val="15"/>
          <w:color w:val="auto"/>
        </w:rPr>
        <w:t>Sales commissions receivables consist of commissions receivable due from employees and contractors owed to the Company as of December 31, 2024 in the amount of approximately $424,000.</w:t>
      </w:r>
    </w:p>
    <w:p>
      <w:pPr>
        <w:spacing w:after="0" w:line="200" w:lineRule="exact"/>
        <w:rPr>
          <w:sz w:val="20"/>
          <w:szCs w:val="20"/>
          <w:color w:val="auto"/>
        </w:rPr>
      </w:pPr>
    </w:p>
    <w:p>
      <w:pPr>
        <w:spacing w:after="0" w:line="29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667" w:right="31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197485</wp:posOffset>
            </wp:positionH>
            <wp:positionV relativeFrom="page">
              <wp:posOffset>233045</wp:posOffset>
            </wp:positionV>
            <wp:extent cx="6864985" cy="577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6864985" cy="57785"/>
                    </a:xfrm>
                    <a:prstGeom prst="rect">
                      <a:avLst/>
                    </a:prstGeom>
                    <a:noFill/>
                  </pic:spPr>
                </pic:pic>
              </a:graphicData>
            </a:graphic>
          </wp:anchor>
        </w:drawing>
        <w:t>Related-Party Accounts Payable</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A related-party entity will on occasion pay for bills on the Company’s behalf, and other amounts due to this entity arise over the normal course of business operations. As of December 31, 2024, the Company owed approximately $510,000 to this entity.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Related-Party Accrued Interest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2024, accrued interest to related parties of approximately $1,091,000 is included in accrued expenses in the balance sheet.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Lease</w:t>
      </w:r>
    </w:p>
    <w:p>
      <w:pPr>
        <w:spacing w:after="0" w:line="19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The Company leased certain office space from a related-party entity. This lease terminated on December 31, 2024. Amortization expense for the year ended December 31, 2024 was approximately $279,000, and is included in rent expense in the accompanying statement of operations and member’s deficit. The present value of the lease payments for this related-party lease was computed using a discount rate of 4.33%.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 Benefit Plan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year ending December 31, 2024, the Company made $217,639 in matching contributions to the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Subsequent Events</w:t>
      </w:r>
    </w:p>
    <w:p>
      <w:pPr>
        <w:spacing w:after="0" w:line="19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During the first quarter of 2025, existing related-party lenders loaned the Company a combined $500,000 in additional funds to increase maximum line of credit balances that were in place as of December 31, 2024.</w:t>
      </w:r>
    </w:p>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In March 2025, the Company signed a lease agreement extending the lease for its main office through May 31, 2030. Total lease payments to be made during the 5 year extension are $3,533,133.</w:t>
      </w:r>
    </w:p>
    <w:p>
      <w:pPr>
        <w:spacing w:after="0" w:line="13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5"/>
          <w:szCs w:val="15"/>
          <w:color w:val="auto"/>
        </w:rPr>
        <w:t>In April of 2025, the Company entered into a sale and purchase of future receivables agreement with a lender. This third-party lender lent the Company $1,000,000 and in return the Company agreed to pay the lender 8% of all cash collections from customers until a total of $1,320,000 has been paid. This agreement was paid in full in August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November 11, 2025, the Company entered a non-binding letter of intent with SunPower, Inc. to be acquired for $37,500,000. The transaction closed on November 21, 2025.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316" w:name="page317"/>
    <w:bookmarkEnd w:id="316"/>
    <w:p>
      <w:pPr>
        <w:jc w:val="center"/>
        <w:spacing w:after="0"/>
        <w:rPr>
          <w:sz w:val="20"/>
          <w:szCs w:val="20"/>
          <w:color w:val="auto"/>
        </w:rPr>
      </w:pPr>
      <w:r>
        <w:rPr>
          <w:rFonts w:ascii="Times New Roman" w:cs="Times New Roman" w:eastAsia="Times New Roman" w:hAnsi="Times New Roman"/>
          <w:sz w:val="15"/>
          <w:szCs w:val="15"/>
          <w:b w:val="1"/>
          <w:bCs w:val="1"/>
          <w:color w:val="auto"/>
        </w:rPr>
        <w:t>UNAUDITED PRO FORMA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COMBINED FINANCIAL INFORMATION</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following unaudited pro forma combined financial statements are derived from the historical consolidated financial statements of SunPower Inc. and Subsidiaries (the “Company”, “SunPower”) the historical combined financial statements of SunPower Businesses, the historical financial statements of Sunder Energy, LLC (“Sunder”) and the historical financial statements of Ambia Energy LLC (“Ambia”) and reflects (1) the acquisition of Ambia which closed on November 21, 2025 (the “Ambia Acquisition”), (2) the acquisition of Sunder which closed on September 24, 2025 (the “Sunder Acquisition”), (3) the acquisition of certain businesses from SunPower Corporation which closed on September 30, 2024 (the “SunPower Acquisition” and collectively with the Ambia Acquisition and Sunder Acquisition “Acquisitions”) and (4) the financing of the Acquisitions (the “Financing”).</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unaudited pro forma combined financial information related to the Acquisitions has been prepared by the Company using the acquisition method of accounting in accordance with GAAP. The Company has been treated as the acquirer for accounting purposes and thus accounts for the Acquisitions as a business combination in accordance with Accounting Standards Codification (“ASC”) Topic 805, Business Combinations (“ASC 805”). The estimated fair values of the assets acquired and liabilities assumed and the related purchase price allocation for both Ambia and Sunder are provisional and have been made solely for the purpose of providing unaudited pro forma combined financial information. As a result of the foregoing, the pro forma adjustments for both Ambia and Sunder are provisional and have been made solely for the purpose of providing unaudited pro forma combined financial information.</w:t>
      </w:r>
    </w:p>
    <w:p>
      <w:pPr>
        <w:spacing w:after="0" w:line="3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unaudited pro forma combined balance sheet as of September 28, 2025 gives pro forma effect to the Ambia Acquisition as if it had been consummated on September 28, 2025 and the pro forma adjustments related to the Financing of the Ambia Acquisition as described in Note 1 to these pro forma financial statements. The unaudited pro forma combined statements of operations for the fiscal year ended December 29, 2024 combine the historical statements of operations of the Company, SunPower Businesses, Sunder and Ambia on a pro forma basis as if the Acquisitions and the Financing, summarized below, had been consummated on January 1, 2024, the beginning of the earliest period presented. The unaudited pro forma combined statements of operations for the thirty-nine week period ended September 28, 2025, combine the historical statements of operations of the Company, Sunder and Ambia on a pro forma basis as if the Sunder and Ambia Acquisitions and the financing of the Sunder and Ambia Acquisitions, summarized below, had been consummated on January 1, 2024, the beginning of the earliest period presented.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unaudited pro forma combined financial information does not give effect to any cost savings, operating synergies or revenue synergies that may result from the Acquisitions.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unaudited pro forma combined financial statements have been developed from and should be read in conjunction with:</w:t>
      </w:r>
    </w:p>
    <w:p>
      <w:pPr>
        <w:spacing w:after="0" w:line="192" w:lineRule="exact"/>
        <w:rPr>
          <w:sz w:val="20"/>
          <w:szCs w:val="20"/>
          <w:color w:val="auto"/>
        </w:rPr>
      </w:pPr>
    </w:p>
    <w:p>
      <w:pPr>
        <w:ind w:left="540" w:hanging="276"/>
        <w:spacing w:after="0"/>
        <w:tabs>
          <w:tab w:leader="none" w:pos="54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accompanying notes to the Unaudited Pro Forma Combined Financial Statements;</w:t>
      </w:r>
    </w:p>
    <w:p>
      <w:pPr>
        <w:spacing w:after="0" w:line="19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historical audited financial statements of the Company for the fiscal year ended December 29, 2024 and the related notes in its Annual Report for such fiscal year;</w:t>
      </w:r>
    </w:p>
    <w:p>
      <w:pPr>
        <w:spacing w:after="0" w:line="191"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historical unaudited financial statements of the Company as of and for the thirty-nine weeks ended September 28, 2025 and the related notes in its Quarterly Report on Form 10-Q for such period;</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audited financial statements of Ambia as of and for the year ended December 31, 2024, and the unaudited financial statements of Ambia as of and for the nine months ended September 30, 2025 attached as Exhibits 99.1 and 99.2, respectively, to this Current Report on Form 8-K;</w:t>
      </w:r>
    </w:p>
    <w:p>
      <w:pPr>
        <w:spacing w:after="0" w:line="133" w:lineRule="exact"/>
        <w:rPr>
          <w:rFonts w:ascii="Times New Roman" w:cs="Times New Roman" w:eastAsia="Times New Roman" w:hAnsi="Times New Roman"/>
          <w:sz w:val="15"/>
          <w:szCs w:val="15"/>
          <w:color w:val="auto"/>
        </w:rPr>
      </w:pPr>
    </w:p>
    <w:p>
      <w:pPr>
        <w:ind w:left="540" w:right="20" w:hanging="276"/>
        <w:spacing w:after="0" w:line="287" w:lineRule="auto"/>
        <w:tabs>
          <w:tab w:leader="none" w:pos="54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audited financial statements of Sunder as of and for the year ended December 31, 2024, and the unaudited financial statements of Sunder as of and for the six months ended June 30, 2025, which are attached as Exhibits 99.1 and 99.2, respectively, to the Current Report on Form 8-K/A dated September 21, 2025 and filed on January 9, 2026;</w:t>
      </w:r>
    </w:p>
    <w:p>
      <w:pPr>
        <w:spacing w:after="0" w:line="133"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audited carveout financial statements of the SunPower Businesses as of and for the thirty-nine weeks ended September 29, 2024, which are attached as Exhibit 99.1 to the Current Report on Form 8-K/A dated September 30, 2024 and filed on December 16, 2024.</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Assumptions and estimates underlying the unaudited pro forma adjustments set forth in the unaudited pro forma combined financial statements are described in the accompanying notes. The unaudited pro forma combined financial statements have been presented for illustrative purposes only and are not necessarily indicative of the operating results and financial position that would have been achieved had the Acquisition and Financing occurred on the dates indicated. Further, the unaudited pro forma combined financial statements do not purport to project the future operating results or financial position of SunPower following the completion of the Acquisitions.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17" w:name="page318"/>
    <w:bookmarkEnd w:id="317"/>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 PRO FORMA COMBINED BALANCE SHEETS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AS OF SEPTEMBER 28, 2025</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thousands, except shares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Ambia Energy LLC</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44"/>
              <w:spacing w:after="0" w:line="164" w:lineRule="exact"/>
              <w:rPr>
                <w:sz w:val="20"/>
                <w:szCs w:val="20"/>
                <w:color w:val="auto"/>
              </w:rPr>
            </w:pPr>
            <w:r>
              <w:rPr>
                <w:rFonts w:ascii="Times New Roman" w:cs="Times New Roman" w:eastAsia="Times New Roman" w:hAnsi="Times New Roman"/>
                <w:sz w:val="15"/>
                <w:szCs w:val="15"/>
                <w:b w:val="1"/>
                <w:bCs w:val="1"/>
                <w:color w:val="auto"/>
              </w:rPr>
              <w:t>SunPower</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160"/>
              <w:spacing w:after="0" w:line="164" w:lineRule="exact"/>
              <w:rPr>
                <w:sz w:val="20"/>
                <w:szCs w:val="20"/>
                <w:color w:val="auto"/>
              </w:rPr>
            </w:pPr>
            <w:r>
              <w:rPr>
                <w:rFonts w:ascii="Times New Roman" w:cs="Times New Roman" w:eastAsia="Times New Roman" w:hAnsi="Times New Roman"/>
                <w:sz w:val="15"/>
                <w:szCs w:val="15"/>
                <w:b w:val="1"/>
                <w:bCs w:val="1"/>
                <w:color w:val="auto"/>
                <w:w w:val="99"/>
              </w:rPr>
              <w:t>Reclassification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4"/>
              <w:spacing w:after="0" w:line="164" w:lineRule="exact"/>
              <w:rPr>
                <w:sz w:val="20"/>
                <w:szCs w:val="20"/>
                <w:color w:val="auto"/>
              </w:rPr>
            </w:pPr>
            <w:r>
              <w:rPr>
                <w:rFonts w:ascii="Times New Roman" w:cs="Times New Roman" w:eastAsia="Times New Roman" w:hAnsi="Times New Roman"/>
                <w:sz w:val="15"/>
                <w:szCs w:val="15"/>
                <w:b w:val="1"/>
                <w:bCs w:val="1"/>
                <w:color w:val="auto"/>
                <w:w w:val="97"/>
              </w:rPr>
              <w:t>Transaction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Historical</w:t>
            </w:r>
          </w:p>
        </w:tc>
        <w:tc>
          <w:tcPr>
            <w:tcW w:w="10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Historical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80" w:type="dxa"/>
            <w:vAlign w:val="bottom"/>
          </w:tcPr>
          <w:p>
            <w:pPr>
              <w:spacing w:after="0"/>
              <w:rPr>
                <w:sz w:val="15"/>
                <w:szCs w:val="15"/>
                <w:color w:val="auto"/>
              </w:rPr>
            </w:pPr>
          </w:p>
        </w:tc>
        <w:tc>
          <w:tcPr>
            <w:tcW w:w="1140" w:type="dxa"/>
            <w:vAlign w:val="bottom"/>
            <w:gridSpan w:val="2"/>
          </w:tcPr>
          <w:p>
            <w:pPr>
              <w:jc w:val="right"/>
              <w:ind w:right="262"/>
              <w:spacing w:after="0"/>
              <w:rPr>
                <w:sz w:val="20"/>
                <w:szCs w:val="20"/>
                <w:color w:val="auto"/>
              </w:rPr>
            </w:pPr>
            <w:r>
              <w:rPr>
                <w:rFonts w:ascii="Times New Roman" w:cs="Times New Roman" w:eastAsia="Times New Roman" w:hAnsi="Times New Roman"/>
                <w:sz w:val="15"/>
                <w:szCs w:val="15"/>
                <w:b w:val="1"/>
                <w:bCs w:val="1"/>
                <w:color w:val="auto"/>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44"/>
              <w:spacing w:after="0"/>
              <w:rPr>
                <w:sz w:val="20"/>
                <w:szCs w:val="20"/>
                <w:color w:val="auto"/>
              </w:rPr>
            </w:pPr>
            <w:r>
              <w:rPr>
                <w:rFonts w:ascii="Times New Roman" w:cs="Times New Roman" w:eastAsia="Times New Roman" w:hAnsi="Times New Roman"/>
                <w:sz w:val="15"/>
                <w:szCs w:val="15"/>
                <w:b w:val="1"/>
                <w:bCs w:val="1"/>
                <w:color w:val="auto"/>
              </w:rPr>
              <w:t>Balance Sheet</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Balance Sheet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(Note 3.A)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82"/>
              <w:spacing w:after="0"/>
              <w:rPr>
                <w:sz w:val="20"/>
                <w:szCs w:val="20"/>
                <w:color w:val="auto"/>
              </w:rPr>
            </w:pPr>
            <w:r>
              <w:rPr>
                <w:rFonts w:ascii="Times New Roman" w:cs="Times New Roman" w:eastAsia="Times New Roman" w:hAnsi="Times New Roman"/>
                <w:sz w:val="15"/>
                <w:szCs w:val="15"/>
                <w:b w:val="1"/>
                <w:bCs w:val="1"/>
                <w:color w:val="auto"/>
              </w:rPr>
              <w:t>(Note 3.B)</w:t>
            </w:r>
          </w:p>
        </w:tc>
        <w:tc>
          <w:tcPr>
            <w:tcW w:w="80" w:type="dxa"/>
            <w:vAlign w:val="bottom"/>
          </w:tcPr>
          <w:p>
            <w:pPr>
              <w:spacing w:after="0"/>
              <w:rPr>
                <w:sz w:val="17"/>
                <w:szCs w:val="17"/>
                <w:color w:val="auto"/>
              </w:rPr>
            </w:pPr>
          </w:p>
        </w:tc>
        <w:tc>
          <w:tcPr>
            <w:tcW w:w="114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b w:val="1"/>
                <w:bCs w:val="1"/>
                <w:color w:val="auto"/>
              </w:rPr>
              <w:t>Balance Sheet</w:t>
            </w:r>
          </w:p>
        </w:tc>
        <w:tc>
          <w:tcPr>
            <w:tcW w:w="0" w:type="dxa"/>
            <w:vAlign w:val="bottom"/>
          </w:tcPr>
          <w:p>
            <w:pPr>
              <w:spacing w:after="0"/>
              <w:rPr>
                <w:sz w:val="1"/>
                <w:szCs w:val="1"/>
                <w:color w:val="auto"/>
              </w:rPr>
            </w:pPr>
          </w:p>
        </w:tc>
      </w:tr>
      <w:tr>
        <w:trPr>
          <w:trHeight w:val="167"/>
        </w:trPr>
        <w:tc>
          <w:tcPr>
            <w:tcW w:w="462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5,072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5,766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receivable, net</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80,753</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1,293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82,046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receivables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Inventories</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8,694</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3,943</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12,637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Contract assets - unbilled receivables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5,716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5,716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Sales commissions receivable, net</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1,581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Deferred commissions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1,146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(1,146)</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costs</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3,943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22"/>
              <w:spacing w:after="0"/>
              <w:rPr>
                <w:sz w:val="20"/>
                <w:szCs w:val="20"/>
                <w:color w:val="auto"/>
              </w:rPr>
            </w:pPr>
            <w:r>
              <w:rPr>
                <w:rFonts w:ascii="Times New Roman" w:cs="Times New Roman" w:eastAsia="Times New Roman" w:hAnsi="Times New Roman"/>
                <w:sz w:val="15"/>
                <w:szCs w:val="15"/>
                <w:color w:val="auto"/>
              </w:rPr>
              <w:t>(3,943)</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20,830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23,240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0" w:type="dxa"/>
            <w:vAlign w:val="bottom"/>
            <w:tcBorders>
              <w:top w:val="single" w:sz="8" w:color="CCEEFF"/>
              <w:bottom w:val="single" w:sz="8" w:color="CCEEFF"/>
            </w:tcBorders>
          </w:tcPr>
          <w:p>
            <w:pPr>
              <w:ind w:left="100"/>
              <w:spacing w:after="0" w:line="165" w:lineRule="exact"/>
              <w:rPr>
                <w:sz w:val="20"/>
                <w:szCs w:val="20"/>
                <w:color w:val="auto"/>
              </w:rPr>
            </w:pPr>
            <w:r>
              <w:rPr>
                <w:rFonts w:ascii="Times New Roman" w:cs="Times New Roman" w:eastAsia="Times New Roman" w:hAnsi="Times New Roman"/>
                <w:sz w:val="15"/>
                <w:szCs w:val="15"/>
                <w:color w:val="auto"/>
              </w:rPr>
              <w:t>Total current assets</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115,349</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15,202</w:t>
            </w:r>
          </w:p>
        </w:tc>
        <w:tc>
          <w:tcPr>
            <w:tcW w:w="10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(1,146</w:t>
            </w:r>
          </w:p>
        </w:tc>
        <w:tc>
          <w:tcPr>
            <w:tcW w:w="200" w:type="dxa"/>
            <w:vAlign w:val="bottom"/>
            <w:tcBorders>
              <w:top w:val="single" w:sz="8" w:color="CCEEFF"/>
              <w:bottom w:val="single" w:sz="8" w:color="CCEEFF"/>
            </w:tcBorders>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129,405</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Restricted cash</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3,670</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5,696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Finance lease right-of-use assets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1,602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2,528</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2,856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5,384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Intangible assets, net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38,956</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38,956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Goodwill</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42,911</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44,618</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87,529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noncurrent assets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1,085</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1,267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Deposits</w:t>
            </w:r>
          </w:p>
        </w:tc>
        <w:tc>
          <w:tcPr>
            <w:tcW w:w="100" w:type="dxa"/>
            <w:vAlign w:val="bottom"/>
          </w:tcPr>
          <w:p>
            <w:pPr>
              <w:spacing w:after="0"/>
              <w:rPr>
                <w:sz w:val="17"/>
                <w:szCs w:val="17"/>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208,340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43,472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272,078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DEFICIT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liabilities: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19,857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2,489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22,346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Related party accounts payable</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294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59,271</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3,432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18,750</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83,084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Notes payable to related parties</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21,500</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21,500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Contract liabilities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9,713</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7,702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17,415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SAFE Agreement with related party</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497</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Forward purchase agreement liabilities</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4,301</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4,301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Accrued commissions</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Merchant cash advance, net of discount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Current portion of finance lease liabilities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0" w:type="dxa"/>
            <w:vAlign w:val="bottom"/>
            <w:tcBorders>
              <w:top w:val="single" w:sz="8" w:color="CCEEFF"/>
              <w:bottom w:val="single" w:sz="8" w:color="CCEEFF"/>
            </w:tcBorders>
          </w:tcPr>
          <w:p>
            <w:pPr>
              <w:ind w:left="100"/>
              <w:spacing w:after="0" w:line="165" w:lineRule="exact"/>
              <w:rPr>
                <w:sz w:val="20"/>
                <w:szCs w:val="20"/>
                <w:color w:val="auto"/>
              </w:rPr>
            </w:pPr>
            <w:r>
              <w:rPr>
                <w:rFonts w:ascii="Times New Roman" w:cs="Times New Roman" w:eastAsia="Times New Roman" w:hAnsi="Times New Roman"/>
                <w:sz w:val="15"/>
                <w:szCs w:val="15"/>
                <w:color w:val="auto"/>
              </w:rPr>
              <w:t>Total current liabilities</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115,139</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15,548</w:t>
            </w:r>
          </w:p>
        </w:tc>
        <w:tc>
          <w:tcPr>
            <w:tcW w:w="10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18,750</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149,437</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Warranty provision, noncurrent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Warrant liability</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4,683</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4,683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Contract liabilities, noncurrent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1,713</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1,713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Notes payable and derivative liabilities, net of current</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148,205</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148,205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shd w:val="clear" w:color="auto" w:fill="CCEEFF"/>
          </w:tcPr>
          <w:p>
            <w:pPr>
              <w:ind w:left="100"/>
              <w:spacing w:after="0" w:line="168" w:lineRule="exact"/>
              <w:rPr>
                <w:sz w:val="20"/>
                <w:szCs w:val="20"/>
                <w:color w:val="auto"/>
              </w:rPr>
            </w:pPr>
            <w:r>
              <w:rPr>
                <w:rFonts w:ascii="Times New Roman" w:cs="Times New Roman" w:eastAsia="Times New Roman" w:hAnsi="Times New Roman"/>
                <w:sz w:val="15"/>
                <w:szCs w:val="15"/>
                <w:color w:val="auto"/>
              </w:rPr>
              <w:t>Notes payable and derivative liabilities with related parties, net of</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current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34,572</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9,815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44,387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1,335</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2,146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3,481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Finance lease liabilities, net of current portion</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986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Related party lines of credit</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2,675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Related party notes payable</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7,140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(7,140)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00" w:type="dxa"/>
            <w:vAlign w:val="bottom"/>
          </w:tcPr>
          <w:p>
            <w:pPr>
              <w:spacing w:after="0"/>
              <w:rPr>
                <w:sz w:val="17"/>
                <w:szCs w:val="17"/>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12,869</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13,855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320,656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18,750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367,901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tcPr>
          <w:p>
            <w:pPr>
              <w:ind w:left="100"/>
              <w:spacing w:after="0" w:line="165" w:lineRule="exact"/>
              <w:rPr>
                <w:sz w:val="20"/>
                <w:szCs w:val="20"/>
                <w:color w:val="auto"/>
              </w:rPr>
            </w:pPr>
            <w:r>
              <w:rPr>
                <w:rFonts w:ascii="Times New Roman" w:cs="Times New Roman" w:eastAsia="Times New Roman" w:hAnsi="Times New Roman"/>
                <w:sz w:val="15"/>
                <w:szCs w:val="15"/>
                <w:color w:val="auto"/>
              </w:rPr>
              <w:t>Commitments and contingencies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Member’s deficit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(8,229)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8,229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tcBorders>
              <w:top w:val="single" w:sz="8" w:color="CCEEFF"/>
            </w:tcBorders>
          </w:tcPr>
          <w:p>
            <w:pPr>
              <w:ind w:left="100"/>
              <w:spacing w:after="0" w:line="165" w:lineRule="exact"/>
              <w:rPr>
                <w:sz w:val="20"/>
                <w:szCs w:val="20"/>
                <w:color w:val="auto"/>
              </w:rPr>
            </w:pPr>
            <w:r>
              <w:rPr>
                <w:rFonts w:ascii="Times New Roman" w:cs="Times New Roman" w:eastAsia="Times New Roman" w:hAnsi="Times New Roman"/>
                <w:sz w:val="15"/>
                <w:szCs w:val="15"/>
                <w:color w:val="auto"/>
              </w:rPr>
              <w:t>Stockholders’ deficit</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Preferred stock</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Common stock</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Additional paid-in-capital</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330,083</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16,493</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346,576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Accumulated deficit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(442,578)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(442,578)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stockholders’ deficit</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(112,316</w:t>
            </w:r>
          </w:p>
        </w:tc>
        <w:tc>
          <w:tcPr>
            <w:tcW w:w="220" w:type="dxa"/>
            <w:vAlign w:val="bottom"/>
            <w:tcBorders>
              <w:top w:val="single" w:sz="8" w:color="CCEEFF"/>
              <w:bottom w:val="single" w:sz="8" w:color="CCEEFF"/>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16,493</w:t>
            </w:r>
          </w:p>
        </w:tc>
        <w:tc>
          <w:tcPr>
            <w:tcW w:w="2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(95,823</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 and stockholders’ deficit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208,340</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20,266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43,472</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272,078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pro forma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18" w:name="page319"/>
    <w:bookmarkEnd w:id="31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 PRO FORMA COMBINED STATEMENT OF OPERATIONS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FOR THE THIRTY-NINE WEEKS ENDED SEPTEMBER 28, 2025</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thousands, except shares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SunPower</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Sunder Energy LLC</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2"/>
                <w:szCs w:val="12"/>
                <w:b w:val="1"/>
                <w:bCs w:val="1"/>
                <w:color w:val="auto"/>
              </w:rPr>
              <w:t>Ambia Energy LLC</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Combined</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20"/>
              <w:spacing w:after="0" w:line="104" w:lineRule="exact"/>
              <w:rPr>
                <w:sz w:val="20"/>
                <w:szCs w:val="20"/>
                <w:color w:val="auto"/>
              </w:rPr>
            </w:pPr>
            <w:r>
              <w:rPr>
                <w:rFonts w:ascii="Times New Roman" w:cs="Times New Roman" w:eastAsia="Times New Roman" w:hAnsi="Times New Roman"/>
                <w:sz w:val="12"/>
                <w:szCs w:val="12"/>
                <w:b w:val="1"/>
                <w:bCs w:val="1"/>
                <w:color w:val="auto"/>
              </w:rPr>
              <w:t>Historical</w:t>
            </w:r>
          </w:p>
        </w:tc>
        <w:tc>
          <w:tcPr>
            <w:tcW w:w="60" w:type="dxa"/>
            <w:vAlign w:val="bottom"/>
          </w:tcPr>
          <w:p>
            <w:pPr>
              <w:spacing w:after="0"/>
              <w:rPr>
                <w:sz w:val="9"/>
                <w:szCs w:val="9"/>
                <w:color w:val="auto"/>
              </w:rPr>
            </w:pPr>
          </w:p>
        </w:tc>
        <w:tc>
          <w:tcPr>
            <w:tcW w:w="760" w:type="dxa"/>
            <w:vAlign w:val="bottom"/>
            <w:gridSpan w:val="2"/>
          </w:tcPr>
          <w:p>
            <w:pPr>
              <w:jc w:val="center"/>
              <w:ind w:right="79"/>
              <w:spacing w:after="0" w:line="104" w:lineRule="exact"/>
              <w:rPr>
                <w:sz w:val="20"/>
                <w:szCs w:val="20"/>
                <w:color w:val="auto"/>
              </w:rPr>
            </w:pPr>
            <w:r>
              <w:rPr>
                <w:rFonts w:ascii="Times New Roman" w:cs="Times New Roman" w:eastAsia="Times New Roman" w:hAnsi="Times New Roman"/>
                <w:sz w:val="12"/>
                <w:szCs w:val="12"/>
                <w:b w:val="1"/>
                <w:bCs w:val="1"/>
                <w:color w:val="auto"/>
                <w:w w:val="98"/>
              </w:rPr>
              <w:t>Historical</w:t>
            </w:r>
          </w:p>
        </w:tc>
        <w:tc>
          <w:tcPr>
            <w:tcW w:w="80" w:type="dxa"/>
            <w:vAlign w:val="bottom"/>
          </w:tcPr>
          <w:p>
            <w:pPr>
              <w:spacing w:after="0"/>
              <w:rPr>
                <w:sz w:val="9"/>
                <w:szCs w:val="9"/>
                <w:color w:val="auto"/>
              </w:rPr>
            </w:pPr>
          </w:p>
        </w:tc>
        <w:tc>
          <w:tcPr>
            <w:tcW w:w="940" w:type="dxa"/>
            <w:vAlign w:val="bottom"/>
            <w:gridSpan w:val="2"/>
          </w:tcPr>
          <w:p>
            <w:pPr>
              <w:jc w:val="center"/>
              <w:ind w:right="279"/>
              <w:spacing w:after="0" w:line="104" w:lineRule="exact"/>
              <w:rPr>
                <w:sz w:val="20"/>
                <w:szCs w:val="20"/>
                <w:color w:val="auto"/>
              </w:rPr>
            </w:pPr>
            <w:r>
              <w:rPr>
                <w:rFonts w:ascii="Times New Roman" w:cs="Times New Roman" w:eastAsia="Times New Roman" w:hAnsi="Times New Roman"/>
                <w:sz w:val="12"/>
                <w:szCs w:val="12"/>
                <w:b w:val="1"/>
                <w:bCs w:val="1"/>
                <w:color w:val="auto"/>
                <w:w w:val="96"/>
              </w:rPr>
              <w:t>Transaction</w:t>
            </w:r>
          </w:p>
        </w:tc>
        <w:tc>
          <w:tcPr>
            <w:tcW w:w="60" w:type="dxa"/>
            <w:vAlign w:val="bottom"/>
          </w:tcPr>
          <w:p>
            <w:pPr>
              <w:spacing w:after="0"/>
              <w:rPr>
                <w:sz w:val="9"/>
                <w:szCs w:val="9"/>
                <w:color w:val="auto"/>
              </w:rPr>
            </w:pPr>
          </w:p>
        </w:tc>
        <w:tc>
          <w:tcPr>
            <w:tcW w:w="680" w:type="dxa"/>
            <w:vAlign w:val="bottom"/>
          </w:tcPr>
          <w:p>
            <w:pPr>
              <w:jc w:val="center"/>
              <w:ind w:right="19"/>
              <w:spacing w:after="0" w:line="104" w:lineRule="exact"/>
              <w:rPr>
                <w:sz w:val="20"/>
                <w:szCs w:val="20"/>
                <w:color w:val="auto"/>
              </w:rPr>
            </w:pPr>
            <w:r>
              <w:rPr>
                <w:rFonts w:ascii="Times New Roman" w:cs="Times New Roman" w:eastAsia="Times New Roman" w:hAnsi="Times New Roman"/>
                <w:sz w:val="12"/>
                <w:szCs w:val="12"/>
                <w:b w:val="1"/>
                <w:bCs w:val="1"/>
                <w:color w:val="auto"/>
                <w:w w:val="99"/>
              </w:rPr>
              <w:t>Pro Forma</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00"/>
              <w:spacing w:after="0" w:line="104" w:lineRule="exact"/>
              <w:rPr>
                <w:sz w:val="20"/>
                <w:szCs w:val="20"/>
                <w:color w:val="auto"/>
              </w:rPr>
            </w:pPr>
            <w:r>
              <w:rPr>
                <w:rFonts w:ascii="Times New Roman" w:cs="Times New Roman" w:eastAsia="Times New Roman" w:hAnsi="Times New Roman"/>
                <w:sz w:val="12"/>
                <w:szCs w:val="12"/>
                <w:b w:val="1"/>
                <w:bCs w:val="1"/>
                <w:color w:val="auto"/>
                <w:w w:val="98"/>
              </w:rPr>
              <w:t>Historical</w:t>
            </w:r>
          </w:p>
        </w:tc>
        <w:tc>
          <w:tcPr>
            <w:tcW w:w="40" w:type="dxa"/>
            <w:vAlign w:val="bottom"/>
          </w:tcPr>
          <w:p>
            <w:pPr>
              <w:spacing w:after="0"/>
              <w:rPr>
                <w:sz w:val="9"/>
                <w:szCs w:val="9"/>
                <w:color w:val="auto"/>
              </w:rPr>
            </w:pPr>
          </w:p>
        </w:tc>
        <w:tc>
          <w:tcPr>
            <w:tcW w:w="1080" w:type="dxa"/>
            <w:vAlign w:val="bottom"/>
            <w:gridSpan w:val="3"/>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Reclassification</w:t>
            </w:r>
          </w:p>
        </w:tc>
        <w:tc>
          <w:tcPr>
            <w:tcW w:w="70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w w:val="99"/>
              </w:rPr>
              <w:t>Transaction</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w w:val="99"/>
              </w:rPr>
              <w:t>Pro Forma</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2"/>
                <w:szCs w:val="12"/>
                <w:b w:val="1"/>
                <w:bCs w:val="1"/>
                <w:color w:val="auto"/>
                <w:w w:val="99"/>
              </w:rPr>
              <w:t>Pro Forma</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rPr>
              <w:t>Results of</w:t>
            </w:r>
          </w:p>
        </w:tc>
        <w:tc>
          <w:tcPr>
            <w:tcW w:w="60" w:type="dxa"/>
            <w:vAlign w:val="bottom"/>
          </w:tcPr>
          <w:p>
            <w:pPr>
              <w:spacing w:after="0"/>
              <w:rPr>
                <w:sz w:val="10"/>
                <w:szCs w:val="10"/>
                <w:color w:val="auto"/>
              </w:rPr>
            </w:pPr>
          </w:p>
        </w:tc>
        <w:tc>
          <w:tcPr>
            <w:tcW w:w="760" w:type="dxa"/>
            <w:vAlign w:val="bottom"/>
            <w:gridSpan w:val="2"/>
          </w:tcPr>
          <w:p>
            <w:pPr>
              <w:jc w:val="center"/>
              <w:ind w:right="79"/>
              <w:spacing w:after="0" w:line="125" w:lineRule="exact"/>
              <w:rPr>
                <w:sz w:val="20"/>
                <w:szCs w:val="20"/>
                <w:color w:val="auto"/>
              </w:rPr>
            </w:pPr>
            <w:r>
              <w:rPr>
                <w:rFonts w:ascii="Times New Roman" w:cs="Times New Roman" w:eastAsia="Times New Roman" w:hAnsi="Times New Roman"/>
                <w:sz w:val="12"/>
                <w:szCs w:val="12"/>
                <w:b w:val="1"/>
                <w:bCs w:val="1"/>
                <w:color w:val="auto"/>
                <w:w w:val="99"/>
              </w:rPr>
              <w:t>Results of</w:t>
            </w:r>
          </w:p>
        </w:tc>
        <w:tc>
          <w:tcPr>
            <w:tcW w:w="1020" w:type="dxa"/>
            <w:vAlign w:val="bottom"/>
            <w:gridSpan w:val="3"/>
          </w:tcPr>
          <w:p>
            <w:pPr>
              <w:jc w:val="center"/>
              <w:ind w:right="219"/>
              <w:spacing w:after="0" w:line="125"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60" w:type="dxa"/>
            <w:vAlign w:val="bottom"/>
          </w:tcPr>
          <w:p>
            <w:pPr>
              <w:spacing w:after="0"/>
              <w:rPr>
                <w:sz w:val="10"/>
                <w:szCs w:val="10"/>
                <w:color w:val="auto"/>
              </w:rPr>
            </w:pPr>
          </w:p>
        </w:tc>
        <w:tc>
          <w:tcPr>
            <w:tcW w:w="76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rPr>
              <w:t>Results of</w:t>
            </w:r>
          </w:p>
        </w:tc>
        <w:tc>
          <w:tcPr>
            <w:tcW w:w="80" w:type="dxa"/>
            <w:vAlign w:val="bottom"/>
          </w:tcPr>
          <w:p>
            <w:pPr>
              <w:spacing w:after="0"/>
              <w:rPr>
                <w:sz w:val="10"/>
                <w:szCs w:val="10"/>
                <w:color w:val="auto"/>
              </w:rPr>
            </w:pPr>
          </w:p>
        </w:tc>
        <w:tc>
          <w:tcPr>
            <w:tcW w:w="7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w w:val="99"/>
              </w:rPr>
              <w:t>Results of</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340"/>
              <w:spacing w:after="0" w:line="125"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73"/>
              <w:spacing w:after="0" w:line="125" w:lineRule="exact"/>
              <w:rPr>
                <w:sz w:val="20"/>
                <w:szCs w:val="20"/>
                <w:color w:val="auto"/>
              </w:rPr>
            </w:pPr>
            <w:r>
              <w:rPr>
                <w:rFonts w:ascii="Times New Roman" w:cs="Times New Roman" w:eastAsia="Times New Roman" w:hAnsi="Times New Roman"/>
                <w:sz w:val="12"/>
                <w:szCs w:val="12"/>
                <w:b w:val="1"/>
                <w:bCs w:val="1"/>
                <w:color w:val="auto"/>
              </w:rPr>
              <w:t>Results of</w:t>
            </w:r>
          </w:p>
        </w:tc>
        <w:tc>
          <w:tcPr>
            <w:tcW w:w="60" w:type="dxa"/>
            <w:vAlign w:val="bottom"/>
          </w:tcPr>
          <w:p>
            <w:pPr>
              <w:spacing w:after="0"/>
              <w:rPr>
                <w:sz w:val="10"/>
                <w:szCs w:val="10"/>
                <w:color w:val="auto"/>
              </w:rPr>
            </w:pPr>
          </w:p>
        </w:tc>
        <w:tc>
          <w:tcPr>
            <w:tcW w:w="78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rPr>
              <w:t>Results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60" w:type="dxa"/>
            <w:vAlign w:val="bottom"/>
          </w:tcPr>
          <w:p>
            <w:pPr>
              <w:spacing w:after="0"/>
              <w:rPr>
                <w:sz w:val="13"/>
                <w:szCs w:val="13"/>
                <w:color w:val="auto"/>
              </w:rPr>
            </w:pPr>
          </w:p>
        </w:tc>
        <w:tc>
          <w:tcPr>
            <w:tcW w:w="760" w:type="dxa"/>
            <w:vAlign w:val="bottom"/>
            <w:gridSpan w:val="2"/>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80" w:type="dxa"/>
            <w:vAlign w:val="bottom"/>
          </w:tcPr>
          <w:p>
            <w:pPr>
              <w:spacing w:after="0"/>
              <w:rPr>
                <w:sz w:val="13"/>
                <w:szCs w:val="13"/>
                <w:color w:val="auto"/>
              </w:rPr>
            </w:pPr>
          </w:p>
        </w:tc>
        <w:tc>
          <w:tcPr>
            <w:tcW w:w="940" w:type="dxa"/>
            <w:vAlign w:val="bottom"/>
            <w:gridSpan w:val="2"/>
          </w:tcPr>
          <w:p>
            <w:pPr>
              <w:jc w:val="center"/>
              <w:ind w:right="279"/>
              <w:spacing w:after="0"/>
              <w:rPr>
                <w:sz w:val="20"/>
                <w:szCs w:val="20"/>
                <w:color w:val="auto"/>
              </w:rPr>
            </w:pPr>
            <w:r>
              <w:rPr>
                <w:rFonts w:ascii="Times New Roman" w:cs="Times New Roman" w:eastAsia="Times New Roman" w:hAnsi="Times New Roman"/>
                <w:sz w:val="12"/>
                <w:szCs w:val="12"/>
                <w:b w:val="1"/>
                <w:bCs w:val="1"/>
                <w:color w:val="auto"/>
                <w:w w:val="97"/>
              </w:rPr>
              <w:t>(Note 4)</w:t>
            </w: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8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(Note 4)</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(Note 4)</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6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4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Revenues</w:t>
            </w:r>
          </w:p>
        </w:tc>
        <w:tc>
          <w:tcPr>
            <w:tcW w:w="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220,269</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56,084</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56,084</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61,076</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581"/>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61,076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337,429</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4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Cost of revenues</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126,970</w:t>
            </w:r>
          </w:p>
        </w:tc>
        <w:tc>
          <w:tcPr>
            <w:tcW w:w="60" w:type="dxa"/>
            <w:vAlign w:val="bottom"/>
          </w:tcPr>
          <w:p>
            <w:pPr>
              <w:spacing w:after="0"/>
              <w:rPr>
                <w:sz w:val="12"/>
                <w:szCs w:val="12"/>
                <w:color w:val="auto"/>
              </w:rPr>
            </w:pPr>
          </w:p>
        </w:tc>
        <w:tc>
          <w:tcPr>
            <w:tcW w:w="760" w:type="dxa"/>
            <w:vAlign w:val="bottom"/>
            <w:gridSpan w:val="2"/>
          </w:tcPr>
          <w:p>
            <w:pPr>
              <w:jc w:val="right"/>
              <w:ind w:right="19"/>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9"/>
              <w:spacing w:after="0" w:line="137" w:lineRule="exact"/>
              <w:rPr>
                <w:sz w:val="20"/>
                <w:szCs w:val="20"/>
                <w:color w:val="auto"/>
              </w:rPr>
            </w:pPr>
            <w:r>
              <w:rPr>
                <w:rFonts w:ascii="Times New Roman" w:cs="Times New Roman" w:eastAsia="Times New Roman" w:hAnsi="Times New Roman"/>
                <w:sz w:val="12"/>
                <w:szCs w:val="12"/>
                <w:color w:val="auto"/>
              </w:rPr>
              <w:t>2,132(C)</w:t>
            </w: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2,132</w:t>
            </w: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32,622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3"/>
              <w:spacing w:after="0" w:line="137" w:lineRule="exact"/>
              <w:rPr>
                <w:sz w:val="20"/>
                <w:szCs w:val="20"/>
                <w:color w:val="auto"/>
              </w:rPr>
            </w:pPr>
            <w:r>
              <w:rPr>
                <w:rFonts w:ascii="Times New Roman" w:cs="Times New Roman" w:eastAsia="Times New Roman" w:hAnsi="Times New Roman"/>
                <w:sz w:val="12"/>
                <w:szCs w:val="12"/>
                <w:color w:val="auto"/>
              </w:rPr>
              <w:t>32,622</w:t>
            </w:r>
          </w:p>
        </w:tc>
        <w:tc>
          <w:tcPr>
            <w:tcW w:w="60" w:type="dxa"/>
            <w:vAlign w:val="bottom"/>
          </w:tcPr>
          <w:p>
            <w:pPr>
              <w:spacing w:after="0"/>
              <w:rPr>
                <w:sz w:val="12"/>
                <w:szCs w:val="12"/>
                <w:color w:val="auto"/>
              </w:rPr>
            </w:pPr>
          </w:p>
        </w:tc>
        <w:tc>
          <w:tcPr>
            <w:tcW w:w="78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161,724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Borders>
              <w:top w:val="single" w:sz="8" w:color="CCEEFF"/>
              <w:bottom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Gross (loss) profit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93,299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56,084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(2,132</w:t>
            </w:r>
          </w:p>
        </w:tc>
        <w:tc>
          <w:tcPr>
            <w:tcW w:w="280" w:type="dxa"/>
            <w:vAlign w:val="bottom"/>
            <w:tcBorders>
              <w:top w:val="single" w:sz="8" w:color="CCEEFF"/>
              <w:bottom w:val="single" w:sz="8" w:color="CCEEFF"/>
            </w:tcBorders>
            <w:shd w:val="clear" w:color="auto" w:fill="CCEEFF"/>
          </w:tcPr>
          <w:p>
            <w:pPr>
              <w:jc w:val="right"/>
              <w:ind w:right="159"/>
              <w:spacing w:after="0" w:line="125" w:lineRule="exact"/>
              <w:rPr>
                <w:sz w:val="20"/>
                <w:szCs w:val="20"/>
                <w:color w:val="auto"/>
              </w:rPr>
            </w:pPr>
            <w:r>
              <w:rPr>
                <w:rFonts w:ascii="Times New Roman" w:cs="Times New Roman" w:eastAsia="Times New Roman" w:hAnsi="Times New Roman"/>
                <w:sz w:val="12"/>
                <w:szCs w:val="12"/>
                <w:color w:val="auto"/>
                <w:w w:val="98"/>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53,952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28,454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28,454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175,705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Operating expenses</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4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Sales commissions</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24,273</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rPr>
              <w:t>45,615</w:t>
            </w: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19"/>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45,615</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
              <w:spacing w:after="0" w:line="125" w:lineRule="exact"/>
              <w:rPr>
                <w:sz w:val="20"/>
                <w:szCs w:val="20"/>
                <w:color w:val="auto"/>
              </w:rPr>
            </w:pPr>
            <w:r>
              <w:rPr>
                <w:rFonts w:ascii="Times New Roman" w:cs="Times New Roman" w:eastAsia="Times New Roman" w:hAnsi="Times New Roman"/>
                <w:sz w:val="12"/>
                <w:szCs w:val="12"/>
                <w:color w:val="auto"/>
              </w:rPr>
              <w:t>16,003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3"/>
              <w:spacing w:after="0" w:line="125" w:lineRule="exact"/>
              <w:rPr>
                <w:sz w:val="20"/>
                <w:szCs w:val="20"/>
                <w:color w:val="auto"/>
              </w:rPr>
            </w:pPr>
            <w:r>
              <w:rPr>
                <w:rFonts w:ascii="Times New Roman" w:cs="Times New Roman" w:eastAsia="Times New Roman" w:hAnsi="Times New Roman"/>
                <w:sz w:val="12"/>
                <w:szCs w:val="12"/>
                <w:color w:val="auto"/>
              </w:rPr>
              <w:t>16,003</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85,891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4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Sales and marketing</w:t>
            </w:r>
          </w:p>
        </w:tc>
        <w:tc>
          <w:tcPr>
            <w:tcW w:w="80" w:type="dxa"/>
            <w:vAlign w:val="bottom"/>
          </w:tcPr>
          <w:p>
            <w:pPr>
              <w:spacing w:after="0"/>
              <w:rPr>
                <w:sz w:val="10"/>
                <w:szCs w:val="10"/>
                <w:color w:val="auto"/>
              </w:rPr>
            </w:pPr>
          </w:p>
        </w:tc>
        <w:tc>
          <w:tcPr>
            <w:tcW w:w="7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21,764</w:t>
            </w:r>
          </w:p>
        </w:tc>
        <w:tc>
          <w:tcPr>
            <w:tcW w:w="60" w:type="dxa"/>
            <w:vAlign w:val="bottom"/>
          </w:tcPr>
          <w:p>
            <w:pPr>
              <w:spacing w:after="0"/>
              <w:rPr>
                <w:sz w:val="10"/>
                <w:szCs w:val="10"/>
                <w:color w:val="auto"/>
              </w:rPr>
            </w:pPr>
          </w:p>
        </w:tc>
        <w:tc>
          <w:tcPr>
            <w:tcW w:w="760" w:type="dxa"/>
            <w:vAlign w:val="bottom"/>
            <w:gridSpan w:val="2"/>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rPr>
              <w:t>1,251</w:t>
            </w:r>
          </w:p>
        </w:tc>
        <w:tc>
          <w:tcPr>
            <w:tcW w:w="80" w:type="dxa"/>
            <w:vAlign w:val="bottom"/>
          </w:tcPr>
          <w:p>
            <w:pPr>
              <w:spacing w:after="0"/>
              <w:rPr>
                <w:sz w:val="10"/>
                <w:szCs w:val="10"/>
                <w:color w:val="auto"/>
              </w:rPr>
            </w:pPr>
          </w:p>
        </w:tc>
        <w:tc>
          <w:tcPr>
            <w:tcW w:w="940" w:type="dxa"/>
            <w:vAlign w:val="bottom"/>
            <w:gridSpan w:val="2"/>
          </w:tcPr>
          <w:p>
            <w:pPr>
              <w:jc w:val="right"/>
              <w:ind w:right="219"/>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1,251</w:t>
            </w:r>
          </w:p>
        </w:tc>
        <w:tc>
          <w:tcPr>
            <w:tcW w:w="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3"/>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23,015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4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General and administrative</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52,382</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rPr>
              <w:t>15,916</w:t>
            </w: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39"/>
              <w:spacing w:after="0" w:line="125" w:lineRule="exact"/>
              <w:rPr>
                <w:sz w:val="20"/>
                <w:szCs w:val="20"/>
                <w:color w:val="auto"/>
              </w:rPr>
            </w:pPr>
            <w:r>
              <w:rPr>
                <w:rFonts w:ascii="Times New Roman" w:cs="Times New Roman" w:eastAsia="Times New Roman" w:hAnsi="Times New Roman"/>
                <w:sz w:val="12"/>
                <w:szCs w:val="12"/>
                <w:color w:val="auto"/>
              </w:rPr>
              <w:t>364(C)</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16,280</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
              <w:spacing w:after="0" w:line="125" w:lineRule="exact"/>
              <w:rPr>
                <w:sz w:val="20"/>
                <w:szCs w:val="20"/>
                <w:color w:val="auto"/>
              </w:rPr>
            </w:pPr>
            <w:r>
              <w:rPr>
                <w:rFonts w:ascii="Times New Roman" w:cs="Times New Roman" w:eastAsia="Times New Roman" w:hAnsi="Times New Roman"/>
                <w:sz w:val="12"/>
                <w:szCs w:val="12"/>
                <w:color w:val="auto"/>
              </w:rPr>
              <w:t>10,845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20"/>
              <w:spacing w:after="0" w:line="125" w:lineRule="exact"/>
              <w:rPr>
                <w:sz w:val="20"/>
                <w:szCs w:val="20"/>
                <w:color w:val="auto"/>
              </w:rPr>
            </w:pPr>
            <w:r>
              <w:rPr>
                <w:rFonts w:ascii="Times New Roman" w:cs="Times New Roman" w:eastAsia="Times New Roman" w:hAnsi="Times New Roman"/>
                <w:sz w:val="12"/>
                <w:szCs w:val="12"/>
                <w:color w:val="auto"/>
              </w:rPr>
              <w:t>1,533(F)</w:t>
            </w: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3"/>
              <w:spacing w:after="0" w:line="125" w:lineRule="exact"/>
              <w:rPr>
                <w:sz w:val="20"/>
                <w:szCs w:val="20"/>
                <w:color w:val="auto"/>
              </w:rPr>
            </w:pPr>
            <w:r>
              <w:rPr>
                <w:rFonts w:ascii="Times New Roman" w:cs="Times New Roman" w:eastAsia="Times New Roman" w:hAnsi="Times New Roman"/>
                <w:sz w:val="12"/>
                <w:szCs w:val="12"/>
                <w:color w:val="auto"/>
              </w:rPr>
              <w:t>12,378</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81,040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4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Rent</w:t>
            </w:r>
          </w:p>
        </w:tc>
        <w:tc>
          <w:tcPr>
            <w:tcW w:w="80" w:type="dxa"/>
            <w:vAlign w:val="bottom"/>
          </w:tcPr>
          <w:p>
            <w:pPr>
              <w:spacing w:after="0"/>
              <w:rPr>
                <w:sz w:val="10"/>
                <w:szCs w:val="10"/>
                <w:color w:val="auto"/>
              </w:rPr>
            </w:pPr>
          </w:p>
        </w:tc>
        <w:tc>
          <w:tcPr>
            <w:tcW w:w="7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940" w:type="dxa"/>
            <w:vAlign w:val="bottom"/>
            <w:gridSpan w:val="2"/>
          </w:tcPr>
          <w:p>
            <w:pPr>
              <w:jc w:val="right"/>
              <w:ind w:right="219"/>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2"/>
                <w:szCs w:val="12"/>
                <w:color w:val="auto"/>
              </w:rPr>
              <w:t>1,038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(1,038)(F)</w:t>
            </w:r>
          </w:p>
        </w:tc>
        <w:tc>
          <w:tcPr>
            <w:tcW w:w="70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3"/>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80" w:type="dxa"/>
            <w:vAlign w:val="bottom"/>
          </w:tcPr>
          <w:p>
            <w:pPr>
              <w:jc w:val="right"/>
              <w:ind w:right="58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4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9"/>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19"/>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495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(495)(F)</w:t>
            </w: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3"/>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40" w:type="dxa"/>
            <w:vAlign w:val="bottom"/>
            <w:tcBorders>
              <w:top w:val="single" w:sz="8" w:color="CCEEFF"/>
              <w:bottom w:val="single" w:sz="8" w:color="CCEEFF"/>
            </w:tcBorders>
          </w:tcPr>
          <w:p>
            <w:pPr>
              <w:spacing w:after="0" w:line="108" w:lineRule="exact"/>
              <w:rPr>
                <w:sz w:val="20"/>
                <w:szCs w:val="20"/>
                <w:color w:val="auto"/>
              </w:rPr>
            </w:pPr>
            <w:r>
              <w:rPr>
                <w:rFonts w:ascii="Times New Roman" w:cs="Times New Roman" w:eastAsia="Times New Roman" w:hAnsi="Times New Roman"/>
                <w:sz w:val="12"/>
                <w:szCs w:val="12"/>
                <w:color w:val="auto"/>
              </w:rPr>
              <w:t>Total operating expenses</w:t>
            </w:r>
          </w:p>
        </w:tc>
        <w:tc>
          <w:tcPr>
            <w:tcW w:w="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98,419</w:t>
            </w:r>
          </w:p>
        </w:tc>
        <w:tc>
          <w:tcPr>
            <w:tcW w:w="100" w:type="dxa"/>
            <w:vAlign w:val="bottom"/>
            <w:tcBorders>
              <w:top w:val="single" w:sz="8" w:color="CCEEFF"/>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62,782</w:t>
            </w:r>
          </w:p>
        </w:tc>
        <w:tc>
          <w:tcPr>
            <w:tcW w:w="80" w:type="dxa"/>
            <w:vAlign w:val="bottom"/>
            <w:tcBorders>
              <w:top w:val="single" w:sz="8" w:color="CCEEFF"/>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364</w:t>
            </w:r>
          </w:p>
        </w:tc>
        <w:tc>
          <w:tcPr>
            <w:tcW w:w="280" w:type="dxa"/>
            <w:vAlign w:val="bottom"/>
            <w:tcBorders>
              <w:top w:val="single" w:sz="8" w:color="CCEEFF"/>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63,146</w:t>
            </w:r>
          </w:p>
        </w:tc>
        <w:tc>
          <w:tcPr>
            <w:tcW w:w="80" w:type="dxa"/>
            <w:vAlign w:val="bottom"/>
            <w:tcBorders>
              <w:top w:val="single" w:sz="8" w:color="CCEEFF"/>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28,381</w:t>
            </w:r>
          </w:p>
        </w:tc>
        <w:tc>
          <w:tcPr>
            <w:tcW w:w="60" w:type="dxa"/>
            <w:vAlign w:val="bottom"/>
            <w:tcBorders>
              <w:top w:val="single" w:sz="8" w:color="CCEEFF"/>
              <w:bottom w:val="single" w:sz="8" w:color="CCEEFF"/>
            </w:tcBorders>
          </w:tcPr>
          <w:p>
            <w:pPr>
              <w:spacing w:after="0"/>
              <w:rPr>
                <w:sz w:val="9"/>
                <w:szCs w:val="9"/>
                <w:color w:val="auto"/>
              </w:rPr>
            </w:pPr>
          </w:p>
        </w:tc>
        <w:tc>
          <w:tcPr>
            <w:tcW w:w="40" w:type="dxa"/>
            <w:vAlign w:val="bottom"/>
            <w:tcBorders>
              <w:top w:val="single" w:sz="8" w:color="CCEEFF"/>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CCEEFF"/>
              <w:bottom w:val="single" w:sz="8" w:color="CCEEFF"/>
            </w:tcBorders>
          </w:tcPr>
          <w:p>
            <w:pPr>
              <w:spacing w:after="0"/>
              <w:rPr>
                <w:sz w:val="9"/>
                <w:szCs w:val="9"/>
                <w:color w:val="auto"/>
              </w:rPr>
            </w:pPr>
          </w:p>
        </w:tc>
        <w:tc>
          <w:tcPr>
            <w:tcW w:w="70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CCEEFF"/>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28,381</w:t>
            </w:r>
          </w:p>
        </w:tc>
        <w:tc>
          <w:tcPr>
            <w:tcW w:w="60" w:type="dxa"/>
            <w:vAlign w:val="bottom"/>
            <w:tcBorders>
              <w:top w:val="single" w:sz="8" w:color="CCEEFF"/>
              <w:bottom w:val="single" w:sz="8" w:color="CCEEFF"/>
            </w:tcBorders>
          </w:tcPr>
          <w:p>
            <w:pPr>
              <w:spacing w:after="0"/>
              <w:rPr>
                <w:sz w:val="9"/>
                <w:szCs w:val="9"/>
                <w:color w:val="auto"/>
              </w:rPr>
            </w:pPr>
          </w:p>
        </w:tc>
        <w:tc>
          <w:tcPr>
            <w:tcW w:w="60" w:type="dxa"/>
            <w:vAlign w:val="bottom"/>
            <w:tcBorders>
              <w:top w:val="single" w:sz="8" w:color="CCEEFF"/>
              <w:bottom w:val="single" w:sz="8" w:color="CCEEFF"/>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189,946</w:t>
            </w:r>
          </w:p>
        </w:tc>
        <w:tc>
          <w:tcPr>
            <w:tcW w:w="100" w:type="dxa"/>
            <w:vAlign w:val="bottom"/>
            <w:tcBorders>
              <w:top w:val="single" w:sz="8" w:color="CCEEFF"/>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Borders>
              <w:bottom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Loss from continuing operations</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(5,120</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(6,698</w:t>
            </w:r>
          </w:p>
        </w:tc>
        <w:tc>
          <w:tcPr>
            <w:tcW w:w="80" w:type="dxa"/>
            <w:vAlign w:val="bottom"/>
            <w:tcBorders>
              <w:bottom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(2,496</w:t>
            </w:r>
          </w:p>
        </w:tc>
        <w:tc>
          <w:tcPr>
            <w:tcW w:w="280" w:type="dxa"/>
            <w:vAlign w:val="bottom"/>
            <w:tcBorders>
              <w:bottom w:val="single" w:sz="8" w:color="CCEEFF"/>
            </w:tcBorders>
            <w:shd w:val="clear" w:color="auto" w:fill="CCEEFF"/>
          </w:tcPr>
          <w:p>
            <w:pPr>
              <w:jc w:val="right"/>
              <w:ind w:right="159"/>
              <w:spacing w:after="0" w:line="125" w:lineRule="exact"/>
              <w:rPr>
                <w:sz w:val="20"/>
                <w:szCs w:val="20"/>
                <w:color w:val="auto"/>
              </w:rPr>
            </w:pPr>
            <w:r>
              <w:rPr>
                <w:rFonts w:ascii="Times New Roman" w:cs="Times New Roman" w:eastAsia="Times New Roman" w:hAnsi="Times New Roman"/>
                <w:sz w:val="12"/>
                <w:szCs w:val="12"/>
                <w:color w:val="auto"/>
                <w:w w:val="98"/>
              </w:rPr>
              <w:t>)</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(9,194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73</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73</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(14,241</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(23,258)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(246)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(4,389)</w:t>
            </w:r>
          </w:p>
        </w:tc>
        <w:tc>
          <w:tcPr>
            <w:tcW w:w="2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(D)</w:t>
            </w:r>
          </w:p>
        </w:tc>
        <w:tc>
          <w:tcPr>
            <w:tcW w:w="6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(4,635)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(1,286)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(1,286)</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(29,179)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Interest income</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3</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19"/>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3"/>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4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Other income (expense), net</w:t>
            </w: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(1,724)</w:t>
            </w:r>
          </w:p>
        </w:tc>
        <w:tc>
          <w:tcPr>
            <w:tcW w:w="60" w:type="dxa"/>
            <w:vAlign w:val="bottom"/>
          </w:tcPr>
          <w:p>
            <w:pPr>
              <w:spacing w:after="0"/>
              <w:rPr>
                <w:sz w:val="12"/>
                <w:szCs w:val="12"/>
                <w:color w:val="auto"/>
              </w:rPr>
            </w:pPr>
          </w:p>
        </w:tc>
        <w:tc>
          <w:tcPr>
            <w:tcW w:w="760" w:type="dxa"/>
            <w:vAlign w:val="bottom"/>
            <w:gridSpan w:val="2"/>
          </w:tcPr>
          <w:p>
            <w:pPr>
              <w:jc w:val="right"/>
              <w:ind w:right="19"/>
              <w:spacing w:after="0" w:line="137" w:lineRule="exact"/>
              <w:rPr>
                <w:sz w:val="20"/>
                <w:szCs w:val="20"/>
                <w:color w:val="auto"/>
              </w:rPr>
            </w:pPr>
            <w:r>
              <w:rPr>
                <w:rFonts w:ascii="Times New Roman" w:cs="Times New Roman" w:eastAsia="Times New Roman" w:hAnsi="Times New Roman"/>
                <w:sz w:val="12"/>
                <w:szCs w:val="12"/>
                <w:color w:val="auto"/>
              </w:rPr>
              <w:t>320</w:t>
            </w:r>
          </w:p>
        </w:tc>
        <w:tc>
          <w:tcPr>
            <w:tcW w:w="80" w:type="dxa"/>
            <w:vAlign w:val="bottom"/>
          </w:tcPr>
          <w:p>
            <w:pPr>
              <w:spacing w:after="0"/>
              <w:rPr>
                <w:sz w:val="12"/>
                <w:szCs w:val="12"/>
                <w:color w:val="auto"/>
              </w:rPr>
            </w:pPr>
          </w:p>
        </w:tc>
        <w:tc>
          <w:tcPr>
            <w:tcW w:w="940" w:type="dxa"/>
            <w:vAlign w:val="bottom"/>
            <w:gridSpan w:val="2"/>
          </w:tcPr>
          <w:p>
            <w:pPr>
              <w:jc w:val="right"/>
              <w:ind w:right="219"/>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320</w:t>
            </w:r>
          </w:p>
        </w:tc>
        <w:tc>
          <w:tcPr>
            <w:tcW w:w="80" w:type="dxa"/>
            <w:vAlign w:val="bottom"/>
          </w:tcPr>
          <w:p>
            <w:pPr>
              <w:spacing w:after="0"/>
              <w:rPr>
                <w:sz w:val="12"/>
                <w:szCs w:val="12"/>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3"/>
              <w:spacing w:after="0" w:line="137" w:lineRule="exact"/>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2"/>
                <w:szCs w:val="12"/>
                <w:color w:val="auto"/>
              </w:rPr>
            </w:pPr>
          </w:p>
        </w:tc>
        <w:tc>
          <w:tcPr>
            <w:tcW w:w="78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(1,387)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Borders>
              <w:top w:val="single" w:sz="8" w:color="CCEEFF"/>
              <w:bottom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Total other income (expense), net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(24,979</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110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(4,389</w:t>
            </w:r>
          </w:p>
        </w:tc>
        <w:tc>
          <w:tcPr>
            <w:tcW w:w="280" w:type="dxa"/>
            <w:vAlign w:val="bottom"/>
            <w:tcBorders>
              <w:top w:val="single" w:sz="8" w:color="CCEEFF"/>
              <w:bottom w:val="single" w:sz="8" w:color="CCEEFF"/>
            </w:tcBorders>
            <w:shd w:val="clear" w:color="auto" w:fill="CCEEFF"/>
          </w:tcPr>
          <w:p>
            <w:pPr>
              <w:jc w:val="right"/>
              <w:ind w:right="159"/>
              <w:spacing w:after="0" w:line="125" w:lineRule="exact"/>
              <w:rPr>
                <w:sz w:val="20"/>
                <w:szCs w:val="20"/>
                <w:color w:val="auto"/>
              </w:rPr>
            </w:pPr>
            <w:r>
              <w:rPr>
                <w:rFonts w:ascii="Times New Roman" w:cs="Times New Roman" w:eastAsia="Times New Roman" w:hAnsi="Times New Roman"/>
                <w:sz w:val="12"/>
                <w:szCs w:val="12"/>
                <w:color w:val="auto"/>
                <w:w w:val="98"/>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(4,279</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(1,269</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(1,269</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(30,527</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40" w:type="dxa"/>
            <w:vAlign w:val="bottom"/>
            <w:tcBorders>
              <w:bottom w:val="single" w:sz="8" w:color="CCEEFF"/>
            </w:tcBorders>
          </w:tcPr>
          <w:p>
            <w:pPr>
              <w:spacing w:after="0" w:line="108" w:lineRule="exact"/>
              <w:rPr>
                <w:sz w:val="20"/>
                <w:szCs w:val="20"/>
                <w:color w:val="auto"/>
              </w:rPr>
            </w:pPr>
            <w:r>
              <w:rPr>
                <w:rFonts w:ascii="Times New Roman" w:cs="Times New Roman" w:eastAsia="Times New Roman" w:hAnsi="Times New Roman"/>
                <w:sz w:val="12"/>
                <w:szCs w:val="12"/>
                <w:color w:val="auto"/>
              </w:rPr>
              <w:t>Loss from continuing operations before income taxes</w:t>
            </w: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(30,099</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(6,588</w:t>
            </w:r>
          </w:p>
        </w:tc>
        <w:tc>
          <w:tcPr>
            <w:tcW w:w="80" w:type="dxa"/>
            <w:vAlign w:val="bottom"/>
            <w:tcBorders>
              <w:bottom w:val="single" w:sz="8" w:color="CCEEFF"/>
            </w:tcBorders>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(6,885</w:t>
            </w:r>
          </w:p>
        </w:tc>
        <w:tc>
          <w:tcPr>
            <w:tcW w:w="280" w:type="dxa"/>
            <w:vAlign w:val="bottom"/>
            <w:tcBorders>
              <w:bottom w:val="single" w:sz="8" w:color="CCEEFF"/>
            </w:tcBorders>
          </w:tcPr>
          <w:p>
            <w:pPr>
              <w:jc w:val="right"/>
              <w:ind w:right="159"/>
              <w:spacing w:after="0" w:line="108" w:lineRule="exact"/>
              <w:rPr>
                <w:sz w:val="20"/>
                <w:szCs w:val="20"/>
                <w:color w:val="auto"/>
              </w:rPr>
            </w:pPr>
            <w:r>
              <w:rPr>
                <w:rFonts w:ascii="Times New Roman" w:cs="Times New Roman" w:eastAsia="Times New Roman" w:hAnsi="Times New Roman"/>
                <w:sz w:val="12"/>
                <w:szCs w:val="12"/>
                <w:color w:val="auto"/>
                <w:w w:val="98"/>
              </w:rPr>
              <w:t>)</w:t>
            </w: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(13,473</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(1,196</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(1,196</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(44,768</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Borders>
              <w:bottom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Income tax (provision) benefit</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Net loss from continuing operations</w:t>
            </w: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(30,099</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(6,588</w:t>
            </w:r>
          </w:p>
        </w:tc>
        <w:tc>
          <w:tcPr>
            <w:tcW w:w="8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(6,885</w:t>
            </w:r>
          </w:p>
        </w:tc>
        <w:tc>
          <w:tcPr>
            <w:tcW w:w="280" w:type="dxa"/>
            <w:vAlign w:val="bottom"/>
          </w:tcPr>
          <w:p>
            <w:pPr>
              <w:jc w:val="right"/>
              <w:ind w:right="159"/>
              <w:spacing w:after="0" w:line="108" w:lineRule="exact"/>
              <w:rPr>
                <w:sz w:val="20"/>
                <w:szCs w:val="20"/>
                <w:color w:val="auto"/>
              </w:rPr>
            </w:pPr>
            <w:r>
              <w:rPr>
                <w:rFonts w:ascii="Times New Roman" w:cs="Times New Roman" w:eastAsia="Times New Roman" w:hAnsi="Times New Roman"/>
                <w:sz w:val="12"/>
                <w:szCs w:val="12"/>
                <w:color w:val="auto"/>
                <w:w w:val="98"/>
              </w:rPr>
              <w:t>)</w:t>
            </w: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(13,473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(1,196</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700" w:type="dxa"/>
            <w:vAlign w:val="bottom"/>
          </w:tcPr>
          <w:p>
            <w:pPr>
              <w:jc w:val="right"/>
              <w:ind w:right="581"/>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3"/>
                <w:szCs w:val="13"/>
                <w:color w:val="auto"/>
              </w:rPr>
            </w:pP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(1,196</w:t>
            </w:r>
          </w:p>
        </w:tc>
        <w:tc>
          <w:tcPr>
            <w:tcW w:w="1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(44,768</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3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324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Net loss from continuing operations per share attributable to</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common stockholders, basic and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(0.37)</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(0.47)</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240" w:type="dxa"/>
            <w:vAlign w:val="bottom"/>
            <w:tcBorders>
              <w:top w:val="single" w:sz="8" w:color="CCEEFF"/>
            </w:tcBorders>
            <w:shd w:val="clear" w:color="auto" w:fill="CCEEFF"/>
          </w:tcPr>
          <w:p>
            <w:pPr>
              <w:spacing w:after="0" w:line="66" w:lineRule="exact"/>
              <w:rPr>
                <w:sz w:val="20"/>
                <w:szCs w:val="20"/>
                <w:color w:val="auto"/>
              </w:rPr>
            </w:pPr>
            <w:r>
              <w:rPr>
                <w:rFonts w:ascii="Times New Roman" w:cs="Times New Roman" w:eastAsia="Times New Roman" w:hAnsi="Times New Roman"/>
                <w:sz w:val="7"/>
                <w:szCs w:val="7"/>
                <w:color w:val="auto"/>
              </w:rPr>
              <w:t>Weighted average shares used to compute net loss per share</w:t>
            </w:r>
          </w:p>
        </w:tc>
        <w:tc>
          <w:tcPr>
            <w:tcW w:w="8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attributable to common stockholders, basic and diluted</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82,036,790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3,296,704(E)</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3,296,704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10,243,924</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(G)</w:t>
            </w:r>
          </w:p>
        </w:tc>
        <w:tc>
          <w:tcPr>
            <w:tcW w:w="7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2"/>
                <w:szCs w:val="12"/>
                <w:color w:val="auto"/>
              </w:rPr>
              <w:t>10,243,924</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95,577,418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pro forma financial statements.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19" w:name="page320"/>
    <w:bookmarkEnd w:id="319"/>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UNAUDITED PRO FORMA COMBINED STATEMENT OF OPERATIONS</w:t>
      </w:r>
    </w:p>
    <w:p>
      <w:pPr>
        <w:spacing w:after="0" w:line="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FOR THE FISCAL YEAR ENDED DECEMBER 29, 2024</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(In thousands, except shares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SunPower</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right"/>
              <w:ind w:right="399"/>
              <w:spacing w:after="0"/>
              <w:rPr>
                <w:sz w:val="20"/>
                <w:szCs w:val="20"/>
                <w:color w:val="auto"/>
              </w:rPr>
            </w:pPr>
            <w:r>
              <w:rPr>
                <w:rFonts w:ascii="Times New Roman" w:cs="Times New Roman" w:eastAsia="Times New Roman" w:hAnsi="Times New Roman"/>
                <w:sz w:val="12"/>
                <w:szCs w:val="12"/>
                <w:b w:val="1"/>
                <w:bCs w:val="1"/>
                <w:color w:val="auto"/>
              </w:rPr>
              <w:t>SunPower Businesses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2"/>
                <w:szCs w:val="12"/>
                <w:b w:val="1"/>
                <w:bCs w:val="1"/>
                <w:color w:val="auto"/>
              </w:rPr>
              <w:t>Sunder Energy LLC</w:t>
            </w: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2"/>
                <w:szCs w:val="12"/>
                <w:b w:val="1"/>
                <w:bCs w:val="1"/>
                <w:color w:val="auto"/>
              </w:rPr>
              <w:t>Ambia Energy LLC</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Combined</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3"/>
          </w:tcPr>
          <w:p>
            <w:pPr>
              <w:ind w:left="40"/>
              <w:spacing w:after="0" w:line="104" w:lineRule="exact"/>
              <w:rPr>
                <w:sz w:val="20"/>
                <w:szCs w:val="20"/>
                <w:color w:val="auto"/>
              </w:rPr>
            </w:pPr>
            <w:r>
              <w:rPr>
                <w:rFonts w:ascii="Times New Roman" w:cs="Times New Roman" w:eastAsia="Times New Roman" w:hAnsi="Times New Roman"/>
                <w:sz w:val="12"/>
                <w:szCs w:val="12"/>
                <w:b w:val="1"/>
                <w:bCs w:val="1"/>
                <w:color w:val="auto"/>
              </w:rPr>
              <w:t>Historical</w:t>
            </w:r>
          </w:p>
        </w:tc>
        <w:tc>
          <w:tcPr>
            <w:tcW w:w="20" w:type="dxa"/>
            <w:vAlign w:val="bottom"/>
          </w:tcPr>
          <w:p>
            <w:pPr>
              <w:spacing w:after="0"/>
              <w:rPr>
                <w:sz w:val="9"/>
                <w:szCs w:val="9"/>
                <w:color w:val="auto"/>
              </w:rPr>
            </w:pPr>
          </w:p>
        </w:tc>
        <w:tc>
          <w:tcPr>
            <w:tcW w:w="700" w:type="dxa"/>
            <w:vAlign w:val="bottom"/>
            <w:gridSpan w:val="3"/>
          </w:tcPr>
          <w:p>
            <w:pPr>
              <w:jc w:val="center"/>
              <w:ind w:right="60"/>
              <w:spacing w:after="0" w:line="104" w:lineRule="exact"/>
              <w:rPr>
                <w:sz w:val="20"/>
                <w:szCs w:val="20"/>
                <w:color w:val="auto"/>
              </w:rPr>
            </w:pPr>
            <w:r>
              <w:rPr>
                <w:rFonts w:ascii="Times New Roman" w:cs="Times New Roman" w:eastAsia="Times New Roman" w:hAnsi="Times New Roman"/>
                <w:sz w:val="12"/>
                <w:szCs w:val="12"/>
                <w:b w:val="1"/>
                <w:bCs w:val="1"/>
                <w:color w:val="auto"/>
              </w:rPr>
              <w:t>Historical</w:t>
            </w:r>
          </w:p>
        </w:tc>
        <w:tc>
          <w:tcPr>
            <w:tcW w:w="1060" w:type="dxa"/>
            <w:vAlign w:val="bottom"/>
            <w:gridSpan w:val="3"/>
          </w:tcPr>
          <w:p>
            <w:pPr>
              <w:jc w:val="center"/>
              <w:ind w:right="220"/>
              <w:spacing w:after="0" w:line="104" w:lineRule="exact"/>
              <w:rPr>
                <w:sz w:val="20"/>
                <w:szCs w:val="20"/>
                <w:color w:val="auto"/>
              </w:rPr>
            </w:pPr>
            <w:r>
              <w:rPr>
                <w:rFonts w:ascii="Times New Roman" w:cs="Times New Roman" w:eastAsia="Times New Roman" w:hAnsi="Times New Roman"/>
                <w:sz w:val="12"/>
                <w:szCs w:val="12"/>
                <w:b w:val="1"/>
                <w:bCs w:val="1"/>
                <w:color w:val="auto"/>
                <w:w w:val="99"/>
              </w:rPr>
              <w:t>Reclassification</w:t>
            </w:r>
          </w:p>
        </w:tc>
        <w:tc>
          <w:tcPr>
            <w:tcW w:w="20" w:type="dxa"/>
            <w:vAlign w:val="bottom"/>
          </w:tcPr>
          <w:p>
            <w:pPr>
              <w:spacing w:after="0"/>
              <w:rPr>
                <w:sz w:val="9"/>
                <w:szCs w:val="9"/>
                <w:color w:val="auto"/>
              </w:rPr>
            </w:pPr>
          </w:p>
        </w:tc>
        <w:tc>
          <w:tcPr>
            <w:tcW w:w="880" w:type="dxa"/>
            <w:vAlign w:val="bottom"/>
            <w:gridSpan w:val="3"/>
          </w:tcPr>
          <w:p>
            <w:pPr>
              <w:jc w:val="center"/>
              <w:ind w:right="119"/>
              <w:spacing w:after="0" w:line="104" w:lineRule="exact"/>
              <w:rPr>
                <w:sz w:val="20"/>
                <w:szCs w:val="20"/>
                <w:color w:val="auto"/>
              </w:rPr>
            </w:pPr>
            <w:r>
              <w:rPr>
                <w:rFonts w:ascii="Times New Roman" w:cs="Times New Roman" w:eastAsia="Times New Roman" w:hAnsi="Times New Roman"/>
                <w:sz w:val="12"/>
                <w:szCs w:val="12"/>
                <w:b w:val="1"/>
                <w:bCs w:val="1"/>
                <w:color w:val="auto"/>
                <w:w w:val="99"/>
              </w:rPr>
              <w:t>Transaction</w:t>
            </w:r>
          </w:p>
        </w:tc>
        <w:tc>
          <w:tcPr>
            <w:tcW w:w="620" w:type="dxa"/>
            <w:vAlign w:val="bottom"/>
            <w:gridSpan w:val="2"/>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w w:val="99"/>
              </w:rPr>
              <w:t>Pro Forma</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3"/>
          </w:tcPr>
          <w:p>
            <w:pPr>
              <w:jc w:val="center"/>
              <w:ind w:right="60"/>
              <w:spacing w:after="0" w:line="104" w:lineRule="exact"/>
              <w:rPr>
                <w:sz w:val="20"/>
                <w:szCs w:val="20"/>
                <w:color w:val="auto"/>
              </w:rPr>
            </w:pPr>
            <w:r>
              <w:rPr>
                <w:rFonts w:ascii="Times New Roman" w:cs="Times New Roman" w:eastAsia="Times New Roman" w:hAnsi="Times New Roman"/>
                <w:sz w:val="12"/>
                <w:szCs w:val="12"/>
                <w:b w:val="1"/>
                <w:bCs w:val="1"/>
                <w:color w:val="auto"/>
              </w:rPr>
              <w:t>Historical</w:t>
            </w:r>
          </w:p>
        </w:tc>
        <w:tc>
          <w:tcPr>
            <w:tcW w:w="20" w:type="dxa"/>
            <w:vAlign w:val="bottom"/>
          </w:tcPr>
          <w:p>
            <w:pPr>
              <w:spacing w:after="0"/>
              <w:rPr>
                <w:sz w:val="9"/>
                <w:szCs w:val="9"/>
                <w:color w:val="auto"/>
              </w:rPr>
            </w:pPr>
          </w:p>
        </w:tc>
        <w:tc>
          <w:tcPr>
            <w:tcW w:w="960" w:type="dxa"/>
            <w:vAlign w:val="bottom"/>
            <w:gridSpan w:val="3"/>
          </w:tcPr>
          <w:p>
            <w:pPr>
              <w:jc w:val="center"/>
              <w:ind w:right="199"/>
              <w:spacing w:after="0" w:line="104" w:lineRule="exact"/>
              <w:rPr>
                <w:sz w:val="20"/>
                <w:szCs w:val="20"/>
                <w:color w:val="auto"/>
              </w:rPr>
            </w:pPr>
            <w:r>
              <w:rPr>
                <w:rFonts w:ascii="Times New Roman" w:cs="Times New Roman" w:eastAsia="Times New Roman" w:hAnsi="Times New Roman"/>
                <w:sz w:val="12"/>
                <w:szCs w:val="12"/>
                <w:b w:val="1"/>
                <w:bCs w:val="1"/>
                <w:color w:val="auto"/>
                <w:w w:val="99"/>
              </w:rPr>
              <w:t>Transaction</w:t>
            </w:r>
          </w:p>
        </w:tc>
        <w:tc>
          <w:tcPr>
            <w:tcW w:w="60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w w:val="99"/>
              </w:rPr>
              <w:t>Pro Forma</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3"/>
          </w:tcPr>
          <w:p>
            <w:pPr>
              <w:jc w:val="center"/>
              <w:ind w:right="60"/>
              <w:spacing w:after="0" w:line="104" w:lineRule="exact"/>
              <w:rPr>
                <w:sz w:val="20"/>
                <w:szCs w:val="20"/>
                <w:color w:val="auto"/>
              </w:rPr>
            </w:pPr>
            <w:r>
              <w:rPr>
                <w:rFonts w:ascii="Times New Roman" w:cs="Times New Roman" w:eastAsia="Times New Roman" w:hAnsi="Times New Roman"/>
                <w:sz w:val="12"/>
                <w:szCs w:val="12"/>
                <w:b w:val="1"/>
                <w:bCs w:val="1"/>
                <w:color w:val="auto"/>
                <w:w w:val="98"/>
              </w:rPr>
              <w:t>Historical</w:t>
            </w:r>
          </w:p>
        </w:tc>
        <w:tc>
          <w:tcPr>
            <w:tcW w:w="20" w:type="dxa"/>
            <w:vAlign w:val="bottom"/>
          </w:tcPr>
          <w:p>
            <w:pPr>
              <w:spacing w:after="0"/>
              <w:rPr>
                <w:sz w:val="9"/>
                <w:szCs w:val="9"/>
                <w:color w:val="auto"/>
              </w:rPr>
            </w:pPr>
          </w:p>
        </w:tc>
        <w:tc>
          <w:tcPr>
            <w:tcW w:w="860" w:type="dxa"/>
            <w:vAlign w:val="bottom"/>
            <w:gridSpan w:val="3"/>
          </w:tcPr>
          <w:p>
            <w:pPr>
              <w:jc w:val="center"/>
              <w:ind w:right="20"/>
              <w:spacing w:after="0" w:line="104" w:lineRule="exact"/>
              <w:rPr>
                <w:sz w:val="20"/>
                <w:szCs w:val="20"/>
                <w:color w:val="auto"/>
              </w:rPr>
            </w:pPr>
            <w:r>
              <w:rPr>
                <w:rFonts w:ascii="Times New Roman" w:cs="Times New Roman" w:eastAsia="Times New Roman" w:hAnsi="Times New Roman"/>
                <w:sz w:val="12"/>
                <w:szCs w:val="12"/>
                <w:b w:val="1"/>
                <w:bCs w:val="1"/>
                <w:color w:val="auto"/>
                <w:w w:val="99"/>
              </w:rPr>
              <w:t>Reclassification</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3"/>
          </w:tcPr>
          <w:p>
            <w:pPr>
              <w:jc w:val="center"/>
              <w:ind w:right="139"/>
              <w:spacing w:after="0" w:line="104" w:lineRule="exact"/>
              <w:rPr>
                <w:sz w:val="20"/>
                <w:szCs w:val="20"/>
                <w:color w:val="auto"/>
              </w:rPr>
            </w:pPr>
            <w:r>
              <w:rPr>
                <w:rFonts w:ascii="Times New Roman" w:cs="Times New Roman" w:eastAsia="Times New Roman" w:hAnsi="Times New Roman"/>
                <w:sz w:val="12"/>
                <w:szCs w:val="12"/>
                <w:b w:val="1"/>
                <w:bCs w:val="1"/>
                <w:color w:val="auto"/>
                <w:w w:val="99"/>
              </w:rPr>
              <w:t>Transaction</w:t>
            </w:r>
          </w:p>
        </w:tc>
        <w:tc>
          <w:tcPr>
            <w:tcW w:w="600" w:type="dxa"/>
            <w:vAlign w:val="bottom"/>
            <w:gridSpan w:val="2"/>
          </w:tcPr>
          <w:p>
            <w:pPr>
              <w:jc w:val="right"/>
              <w:spacing w:after="0" w:line="104" w:lineRule="exact"/>
              <w:rPr>
                <w:sz w:val="20"/>
                <w:szCs w:val="20"/>
                <w:color w:val="auto"/>
              </w:rPr>
            </w:pPr>
            <w:r>
              <w:rPr>
                <w:rFonts w:ascii="Times New Roman" w:cs="Times New Roman" w:eastAsia="Times New Roman" w:hAnsi="Times New Roman"/>
                <w:sz w:val="12"/>
                <w:szCs w:val="12"/>
                <w:b w:val="1"/>
                <w:bCs w:val="1"/>
                <w:color w:val="auto"/>
                <w:w w:val="99"/>
              </w:rPr>
              <w:t>Pro Forma</w:t>
            </w:r>
          </w:p>
        </w:tc>
        <w:tc>
          <w:tcPr>
            <w:tcW w:w="80" w:type="dxa"/>
            <w:vAlign w:val="bottom"/>
          </w:tcPr>
          <w:p>
            <w:pPr>
              <w:spacing w:after="0"/>
              <w:rPr>
                <w:sz w:val="9"/>
                <w:szCs w:val="9"/>
                <w:color w:val="auto"/>
              </w:rPr>
            </w:pPr>
          </w:p>
        </w:tc>
        <w:tc>
          <w:tcPr>
            <w:tcW w:w="660" w:type="dxa"/>
            <w:vAlign w:val="bottom"/>
            <w:gridSpan w:val="4"/>
          </w:tcPr>
          <w:p>
            <w:pPr>
              <w:jc w:val="center"/>
              <w:ind w:right="20"/>
              <w:spacing w:after="0" w:line="104" w:lineRule="exact"/>
              <w:rPr>
                <w:sz w:val="20"/>
                <w:szCs w:val="20"/>
                <w:color w:val="auto"/>
              </w:rPr>
            </w:pPr>
            <w:r>
              <w:rPr>
                <w:rFonts w:ascii="Times New Roman" w:cs="Times New Roman" w:eastAsia="Times New Roman" w:hAnsi="Times New Roman"/>
                <w:sz w:val="12"/>
                <w:szCs w:val="12"/>
                <w:b w:val="1"/>
                <w:bCs w:val="1"/>
                <w:color w:val="auto"/>
                <w:w w:val="99"/>
              </w:rPr>
              <w:t>Pro Forma</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2"/>
                <w:szCs w:val="12"/>
                <w:b w:val="1"/>
                <w:bCs w:val="1"/>
                <w:color w:val="auto"/>
              </w:rPr>
              <w:t>Results of</w:t>
            </w:r>
          </w:p>
        </w:tc>
        <w:tc>
          <w:tcPr>
            <w:tcW w:w="20" w:type="dxa"/>
            <w:vAlign w:val="bottom"/>
          </w:tcPr>
          <w:p>
            <w:pPr>
              <w:spacing w:after="0"/>
              <w:rPr>
                <w:sz w:val="10"/>
                <w:szCs w:val="10"/>
                <w:color w:val="auto"/>
              </w:rPr>
            </w:pPr>
          </w:p>
        </w:tc>
        <w:tc>
          <w:tcPr>
            <w:tcW w:w="70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2"/>
                <w:szCs w:val="12"/>
                <w:b w:val="1"/>
                <w:bCs w:val="1"/>
                <w:color w:val="auto"/>
                <w:w w:val="99"/>
              </w:rPr>
              <w:t>Results of</w:t>
            </w:r>
          </w:p>
        </w:tc>
        <w:tc>
          <w:tcPr>
            <w:tcW w:w="80" w:type="dxa"/>
            <w:vAlign w:val="bottom"/>
          </w:tcPr>
          <w:p>
            <w:pPr>
              <w:spacing w:after="0"/>
              <w:rPr>
                <w:sz w:val="10"/>
                <w:szCs w:val="10"/>
                <w:color w:val="auto"/>
              </w:rPr>
            </w:pPr>
          </w:p>
        </w:tc>
        <w:tc>
          <w:tcPr>
            <w:tcW w:w="98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20" w:type="dxa"/>
            <w:vAlign w:val="bottom"/>
          </w:tcPr>
          <w:p>
            <w:pPr>
              <w:spacing w:after="0"/>
              <w:rPr>
                <w:sz w:val="10"/>
                <w:szCs w:val="10"/>
                <w:color w:val="auto"/>
              </w:rPr>
            </w:pPr>
          </w:p>
        </w:tc>
        <w:tc>
          <w:tcPr>
            <w:tcW w:w="880" w:type="dxa"/>
            <w:vAlign w:val="bottom"/>
            <w:gridSpan w:val="3"/>
          </w:tcPr>
          <w:p>
            <w:pPr>
              <w:jc w:val="center"/>
              <w:ind w:right="119"/>
              <w:spacing w:after="0" w:line="125"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680" w:type="dxa"/>
            <w:vAlign w:val="bottom"/>
            <w:gridSpan w:val="3"/>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w w:val="99"/>
              </w:rPr>
              <w:t>Results of</w:t>
            </w:r>
          </w:p>
        </w:tc>
        <w:tc>
          <w:tcPr>
            <w:tcW w:w="20" w:type="dxa"/>
            <w:vAlign w:val="bottom"/>
          </w:tcPr>
          <w:p>
            <w:pPr>
              <w:spacing w:after="0"/>
              <w:rPr>
                <w:sz w:val="10"/>
                <w:szCs w:val="10"/>
                <w:color w:val="auto"/>
              </w:rPr>
            </w:pPr>
          </w:p>
        </w:tc>
        <w:tc>
          <w:tcPr>
            <w:tcW w:w="660" w:type="dxa"/>
            <w:vAlign w:val="bottom"/>
            <w:gridSpan w:val="3"/>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rPr>
              <w:t>Results of</w:t>
            </w:r>
          </w:p>
        </w:tc>
        <w:tc>
          <w:tcPr>
            <w:tcW w:w="20" w:type="dxa"/>
            <w:vAlign w:val="bottom"/>
          </w:tcPr>
          <w:p>
            <w:pPr>
              <w:spacing w:after="0"/>
              <w:rPr>
                <w:sz w:val="10"/>
                <w:szCs w:val="10"/>
                <w:color w:val="auto"/>
              </w:rPr>
            </w:pPr>
          </w:p>
        </w:tc>
        <w:tc>
          <w:tcPr>
            <w:tcW w:w="960" w:type="dxa"/>
            <w:vAlign w:val="bottom"/>
            <w:gridSpan w:val="3"/>
          </w:tcPr>
          <w:p>
            <w:pPr>
              <w:jc w:val="center"/>
              <w:ind w:right="199"/>
              <w:spacing w:after="0" w:line="125"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660" w:type="dxa"/>
            <w:vAlign w:val="bottom"/>
            <w:gridSpan w:val="3"/>
          </w:tcPr>
          <w:p>
            <w:pPr>
              <w:jc w:val="right"/>
              <w:ind w:right="100"/>
              <w:spacing w:after="0" w:line="125" w:lineRule="exact"/>
              <w:rPr>
                <w:sz w:val="20"/>
                <w:szCs w:val="20"/>
                <w:color w:val="auto"/>
              </w:rPr>
            </w:pPr>
            <w:r>
              <w:rPr>
                <w:rFonts w:ascii="Times New Roman" w:cs="Times New Roman" w:eastAsia="Times New Roman" w:hAnsi="Times New Roman"/>
                <w:sz w:val="12"/>
                <w:szCs w:val="12"/>
                <w:b w:val="1"/>
                <w:bCs w:val="1"/>
                <w:color w:val="auto"/>
              </w:rPr>
              <w:t>Results of</w:t>
            </w:r>
          </w:p>
        </w:tc>
        <w:tc>
          <w:tcPr>
            <w:tcW w:w="20" w:type="dxa"/>
            <w:vAlign w:val="bottom"/>
          </w:tcPr>
          <w:p>
            <w:pPr>
              <w:spacing w:after="0"/>
              <w:rPr>
                <w:sz w:val="10"/>
                <w:szCs w:val="10"/>
                <w:color w:val="auto"/>
              </w:rPr>
            </w:pPr>
          </w:p>
        </w:tc>
        <w:tc>
          <w:tcPr>
            <w:tcW w:w="680" w:type="dxa"/>
            <w:vAlign w:val="bottom"/>
            <w:gridSpan w:val="3"/>
          </w:tcPr>
          <w:p>
            <w:pPr>
              <w:jc w:val="center"/>
              <w:ind w:right="60"/>
              <w:spacing w:after="0" w:line="125" w:lineRule="exact"/>
              <w:rPr>
                <w:sz w:val="20"/>
                <w:szCs w:val="20"/>
                <w:color w:val="auto"/>
              </w:rPr>
            </w:pPr>
            <w:r>
              <w:rPr>
                <w:rFonts w:ascii="Times New Roman" w:cs="Times New Roman" w:eastAsia="Times New Roman" w:hAnsi="Times New Roman"/>
                <w:sz w:val="12"/>
                <w:szCs w:val="12"/>
                <w:b w:val="1"/>
                <w:bCs w:val="1"/>
                <w:color w:val="auto"/>
                <w:w w:val="99"/>
              </w:rPr>
              <w:t>Results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jc w:val="center"/>
              <w:ind w:right="139"/>
              <w:spacing w:after="0" w:line="125"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680" w:type="dxa"/>
            <w:vAlign w:val="bottom"/>
            <w:gridSpan w:val="3"/>
          </w:tcPr>
          <w:p>
            <w:pPr>
              <w:jc w:val="right"/>
              <w:ind w:right="120"/>
              <w:spacing w:after="0" w:line="125" w:lineRule="exact"/>
              <w:rPr>
                <w:sz w:val="20"/>
                <w:szCs w:val="20"/>
                <w:color w:val="auto"/>
              </w:rPr>
            </w:pPr>
            <w:r>
              <w:rPr>
                <w:rFonts w:ascii="Times New Roman" w:cs="Times New Roman" w:eastAsia="Times New Roman" w:hAnsi="Times New Roman"/>
                <w:sz w:val="12"/>
                <w:szCs w:val="12"/>
                <w:b w:val="1"/>
                <w:bCs w:val="1"/>
                <w:color w:val="auto"/>
              </w:rPr>
              <w:t>Results of</w:t>
            </w:r>
          </w:p>
        </w:tc>
        <w:tc>
          <w:tcPr>
            <w:tcW w:w="80" w:type="dxa"/>
            <w:vAlign w:val="bottom"/>
          </w:tcPr>
          <w:p>
            <w:pPr>
              <w:spacing w:after="0"/>
              <w:rPr>
                <w:sz w:val="10"/>
                <w:szCs w:val="10"/>
                <w:color w:val="auto"/>
              </w:rPr>
            </w:pPr>
          </w:p>
        </w:tc>
        <w:tc>
          <w:tcPr>
            <w:tcW w:w="580" w:type="dxa"/>
            <w:vAlign w:val="bottom"/>
            <w:gridSpan w:val="3"/>
          </w:tcPr>
          <w:p>
            <w:pPr>
              <w:jc w:val="right"/>
              <w:ind w:right="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Results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7"/>
              </w:rPr>
              <w:t>Operations</w:t>
            </w:r>
          </w:p>
        </w:tc>
        <w:tc>
          <w:tcPr>
            <w:tcW w:w="20" w:type="dxa"/>
            <w:vAlign w:val="bottom"/>
          </w:tcPr>
          <w:p>
            <w:pPr>
              <w:spacing w:after="0"/>
              <w:rPr>
                <w:sz w:val="13"/>
                <w:szCs w:val="13"/>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8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(Note 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19"/>
              <w:spacing w:after="0"/>
              <w:rPr>
                <w:sz w:val="20"/>
                <w:szCs w:val="20"/>
                <w:color w:val="auto"/>
              </w:rPr>
            </w:pPr>
            <w:r>
              <w:rPr>
                <w:rFonts w:ascii="Times New Roman" w:cs="Times New Roman" w:eastAsia="Times New Roman" w:hAnsi="Times New Roman"/>
                <w:sz w:val="12"/>
                <w:szCs w:val="12"/>
                <w:b w:val="1"/>
                <w:bCs w:val="1"/>
                <w:color w:val="auto"/>
              </w:rPr>
              <w:t>(Note 4)</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20" w:type="dxa"/>
            <w:vAlign w:val="bottom"/>
          </w:tcPr>
          <w:p>
            <w:pPr>
              <w:spacing w:after="0"/>
              <w:rPr>
                <w:sz w:val="13"/>
                <w:szCs w:val="13"/>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99"/>
              <w:spacing w:after="0"/>
              <w:rPr>
                <w:sz w:val="20"/>
                <w:szCs w:val="20"/>
                <w:color w:val="auto"/>
              </w:rPr>
            </w:pPr>
            <w:r>
              <w:rPr>
                <w:rFonts w:ascii="Times New Roman" w:cs="Times New Roman" w:eastAsia="Times New Roman" w:hAnsi="Times New Roman"/>
                <w:sz w:val="12"/>
                <w:szCs w:val="12"/>
                <w:b w:val="1"/>
                <w:bCs w:val="1"/>
                <w:color w:val="auto"/>
              </w:rPr>
              <w:t>(Note 4)</w:t>
            </w:r>
          </w:p>
        </w:tc>
        <w:tc>
          <w:tcPr>
            <w:tcW w:w="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20" w:type="dxa"/>
            <w:vAlign w:val="bottom"/>
          </w:tcPr>
          <w:p>
            <w:pPr>
              <w:spacing w:after="0"/>
              <w:rPr>
                <w:sz w:val="13"/>
                <w:szCs w:val="13"/>
                <w:color w:val="auto"/>
              </w:rPr>
            </w:pP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(Note 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(Note 4)</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660" w:type="dxa"/>
            <w:vAlign w:val="bottom"/>
            <w:gridSpan w:val="4"/>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9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Revenues</w:t>
            </w:r>
          </w:p>
        </w:tc>
        <w:tc>
          <w:tcPr>
            <w:tcW w:w="8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shd w:val="clear" w:color="auto" w:fill="CCEEFF"/>
          </w:tcPr>
          <w:p>
            <w:pPr>
              <w:jc w:val="right"/>
              <w:ind w:right="20"/>
              <w:spacing w:after="0" w:line="125" w:lineRule="exact"/>
              <w:rPr>
                <w:sz w:val="20"/>
                <w:szCs w:val="20"/>
                <w:color w:val="auto"/>
              </w:rPr>
            </w:pPr>
            <w:r>
              <w:rPr>
                <w:rFonts w:ascii="Times New Roman" w:cs="Times New Roman" w:eastAsia="Times New Roman" w:hAnsi="Times New Roman"/>
                <w:sz w:val="12"/>
                <w:szCs w:val="12"/>
                <w:color w:val="auto"/>
              </w:rPr>
              <w:t>108,742</w:t>
            </w:r>
          </w:p>
        </w:tc>
        <w:tc>
          <w:tcPr>
            <w:tcW w:w="14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shd w:val="clear" w:color="auto" w:fill="CCEEFF"/>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273,118</w:t>
            </w:r>
          </w:p>
        </w:tc>
        <w:tc>
          <w:tcPr>
            <w:tcW w:w="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22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273,118</w:t>
            </w:r>
          </w:p>
        </w:tc>
        <w:tc>
          <w:tcPr>
            <w:tcW w:w="160" w:type="dxa"/>
            <w:vAlign w:val="bottom"/>
            <w:gridSpan w:val="2"/>
            <w:shd w:val="clear" w:color="auto" w:fill="CCEEFF"/>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44,293</w:t>
            </w:r>
          </w:p>
        </w:tc>
        <w:tc>
          <w:tcPr>
            <w:tcW w:w="12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jc w:val="right"/>
              <w:ind w:right="199"/>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44,293</w:t>
            </w:r>
          </w:p>
        </w:tc>
        <w:tc>
          <w:tcPr>
            <w:tcW w:w="200" w:type="dxa"/>
            <w:vAlign w:val="bottom"/>
            <w:gridSpan w:val="2"/>
            <w:shd w:val="clear" w:color="auto" w:fill="CCEEFF"/>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54,274</w:t>
            </w:r>
          </w:p>
        </w:tc>
        <w:tc>
          <w:tcPr>
            <w:tcW w:w="10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CEEFF"/>
          </w:tcPr>
          <w:p>
            <w:pPr>
              <w:ind w:left="70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ind w:left="540"/>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54,274</w:t>
            </w:r>
          </w:p>
        </w:tc>
        <w:tc>
          <w:tcPr>
            <w:tcW w:w="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480,427</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6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Cost of revenues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69,240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173,062</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173,062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9"/>
              <w:spacing w:after="0" w:line="137" w:lineRule="exact"/>
              <w:rPr>
                <w:sz w:val="20"/>
                <w:szCs w:val="20"/>
                <w:color w:val="auto"/>
              </w:rPr>
            </w:pPr>
            <w:r>
              <w:rPr>
                <w:rFonts w:ascii="Times New Roman" w:cs="Times New Roman" w:eastAsia="Times New Roman" w:hAnsi="Times New Roman"/>
                <w:sz w:val="12"/>
                <w:szCs w:val="12"/>
                <w:color w:val="auto"/>
              </w:rPr>
              <w:t>2,843(C)</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2,843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31,932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7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31,932</w:t>
            </w:r>
          </w:p>
        </w:tc>
        <w:tc>
          <w:tcPr>
            <w:tcW w:w="80" w:type="dxa"/>
            <w:vAlign w:val="bottom"/>
          </w:tcPr>
          <w:p>
            <w:pPr>
              <w:spacing w:after="0"/>
              <w:rPr>
                <w:sz w:val="12"/>
                <w:szCs w:val="12"/>
                <w:color w:val="auto"/>
              </w:rPr>
            </w:pPr>
          </w:p>
        </w:tc>
        <w:tc>
          <w:tcPr>
            <w:tcW w:w="5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2"/>
                <w:szCs w:val="12"/>
                <w:color w:val="auto"/>
              </w:rPr>
              <w:t>277,077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Gross (loss) profit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39,502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100,056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100,056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44,293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(2,843</w:t>
            </w:r>
          </w:p>
        </w:tc>
        <w:tc>
          <w:tcPr>
            <w:tcW w:w="260" w:type="dxa"/>
            <w:vAlign w:val="bottom"/>
            <w:tcBorders>
              <w:top w:val="single" w:sz="8" w:color="CCEEFF"/>
              <w:bottom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41,450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22,342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22,342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203,350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w w:val="99"/>
              </w:rPr>
              <w:t>Operating expenses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60" w:type="dxa"/>
            <w:vAlign w:val="bottom"/>
            <w:shd w:val="clear" w:color="auto" w:fill="CCEEFF"/>
          </w:tcPr>
          <w:p>
            <w:pPr>
              <w:ind w:left="100"/>
              <w:spacing w:after="0" w:line="106" w:lineRule="exact"/>
              <w:rPr>
                <w:sz w:val="20"/>
                <w:szCs w:val="20"/>
                <w:color w:val="auto"/>
              </w:rPr>
            </w:pPr>
            <w:r>
              <w:rPr>
                <w:rFonts w:ascii="Times New Roman" w:cs="Times New Roman" w:eastAsia="Times New Roman" w:hAnsi="Times New Roman"/>
                <w:sz w:val="12"/>
                <w:szCs w:val="12"/>
                <w:color w:val="auto"/>
              </w:rPr>
              <w:t>Sales</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24,590</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33,398(H)</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33,398</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37,554</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37,554</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14,400</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14,400</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109,942</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commissions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60" w:type="dxa"/>
            <w:vAlign w:val="bottom"/>
          </w:tcPr>
          <w:p>
            <w:pPr>
              <w:ind w:left="100"/>
              <w:spacing w:after="0" w:line="106" w:lineRule="exact"/>
              <w:rPr>
                <w:sz w:val="20"/>
                <w:szCs w:val="20"/>
                <w:color w:val="auto"/>
              </w:rPr>
            </w:pPr>
            <w:r>
              <w:rPr>
                <w:rFonts w:ascii="Times New Roman" w:cs="Times New Roman" w:eastAsia="Times New Roman" w:hAnsi="Times New Roman"/>
                <w:sz w:val="12"/>
                <w:szCs w:val="12"/>
                <w:color w:val="auto"/>
              </w:rPr>
              <w:t>Sales and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6,827</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13,257(H)</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13,257</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1,170</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1,170</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9"/>
                <w:szCs w:val="9"/>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21,254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marketing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60" w:type="dxa"/>
            <w:vAlign w:val="bottom"/>
            <w:shd w:val="clear" w:color="auto" w:fill="CCEEFF"/>
          </w:tcPr>
          <w:p>
            <w:pPr>
              <w:ind w:left="100"/>
              <w:spacing w:after="0" w:line="106" w:lineRule="exact"/>
              <w:rPr>
                <w:sz w:val="20"/>
                <w:szCs w:val="20"/>
                <w:color w:val="auto"/>
              </w:rPr>
            </w:pPr>
            <w:r>
              <w:rPr>
                <w:rFonts w:ascii="Times New Roman" w:cs="Times New Roman" w:eastAsia="Times New Roman" w:hAnsi="Times New Roman"/>
                <w:sz w:val="12"/>
                <w:szCs w:val="12"/>
                <w:color w:val="auto"/>
              </w:rPr>
              <w:t>General and</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76,594</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177,238(H)</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(2,776)(I)</w:t>
            </w:r>
          </w:p>
        </w:tc>
        <w:tc>
          <w:tcPr>
            <w:tcW w:w="1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174,462</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16,146</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9,764(C)</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25,910</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11,156</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1,601</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(F)</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12,757</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289,723</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administrative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60" w:type="dxa"/>
            <w:vAlign w:val="bottom"/>
          </w:tcPr>
          <w:p>
            <w:pPr>
              <w:ind w:left="100"/>
              <w:spacing w:after="0" w:line="106" w:lineRule="exact"/>
              <w:rPr>
                <w:sz w:val="20"/>
                <w:szCs w:val="20"/>
                <w:color w:val="auto"/>
              </w:rPr>
            </w:pPr>
            <w:r>
              <w:rPr>
                <w:rFonts w:ascii="Times New Roman" w:cs="Times New Roman" w:eastAsia="Times New Roman" w:hAnsi="Times New Roman"/>
                <w:sz w:val="12"/>
                <w:szCs w:val="12"/>
                <w:color w:val="auto"/>
              </w:rPr>
              <w:t>Sales, general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240"/>
              <w:spacing w:after="0" w:line="125" w:lineRule="exact"/>
              <w:rPr>
                <w:sz w:val="20"/>
                <w:szCs w:val="20"/>
                <w:color w:val="auto"/>
              </w:rPr>
            </w:pPr>
            <w:r>
              <w:rPr>
                <w:rFonts w:ascii="Times New Roman" w:cs="Times New Roman" w:eastAsia="Times New Roman" w:hAnsi="Times New Roman"/>
                <w:sz w:val="12"/>
                <w:szCs w:val="12"/>
                <w:color w:val="auto"/>
              </w:rPr>
              <w:t>and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219,932</w:t>
            </w:r>
          </w:p>
        </w:tc>
        <w:tc>
          <w:tcPr>
            <w:tcW w:w="80" w:type="dxa"/>
            <w:vAlign w:val="bottom"/>
          </w:tcPr>
          <w:p>
            <w:pPr>
              <w:spacing w:after="0"/>
              <w:rPr>
                <w:sz w:val="10"/>
                <w:szCs w:val="10"/>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(219,932)(H)</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administrative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60" w:type="dxa"/>
            <w:vAlign w:val="bottom"/>
            <w:shd w:val="clear" w:color="auto" w:fill="CCEEFF"/>
          </w:tcPr>
          <w:p>
            <w:pPr>
              <w:ind w:left="100"/>
              <w:spacing w:after="0" w:line="106" w:lineRule="exact"/>
              <w:rPr>
                <w:sz w:val="20"/>
                <w:szCs w:val="20"/>
                <w:color w:val="auto"/>
              </w:rPr>
            </w:pPr>
            <w:r>
              <w:rPr>
                <w:rFonts w:ascii="Times New Roman" w:cs="Times New Roman" w:eastAsia="Times New Roman" w:hAnsi="Times New Roman"/>
                <w:sz w:val="12"/>
                <w:szCs w:val="12"/>
                <w:color w:val="auto"/>
              </w:rPr>
              <w:t>Loss on</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shd w:val="clear" w:color="auto" w:fill="CCEEFF"/>
          </w:tcPr>
          <w:p>
            <w:pPr>
              <w:ind w:left="240"/>
              <w:spacing w:after="0" w:line="125" w:lineRule="exact"/>
              <w:rPr>
                <w:sz w:val="20"/>
                <w:szCs w:val="20"/>
                <w:color w:val="auto"/>
              </w:rPr>
            </w:pPr>
            <w:r>
              <w:rPr>
                <w:rFonts w:ascii="Times New Roman" w:cs="Times New Roman" w:eastAsia="Times New Roman" w:hAnsi="Times New Roman"/>
                <w:sz w:val="12"/>
                <w:szCs w:val="12"/>
                <w:color w:val="auto"/>
              </w:rPr>
              <w:t>goodwill</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103,926</w:t>
            </w:r>
          </w:p>
        </w:tc>
        <w:tc>
          <w:tcPr>
            <w:tcW w:w="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103,926</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103,926</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impairment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60" w:type="dxa"/>
            <w:vAlign w:val="bottom"/>
          </w:tcPr>
          <w:p>
            <w:pPr>
              <w:ind w:left="100"/>
              <w:spacing w:after="0" w:line="106" w:lineRule="exact"/>
              <w:rPr>
                <w:sz w:val="20"/>
                <w:szCs w:val="20"/>
                <w:color w:val="auto"/>
              </w:rPr>
            </w:pPr>
            <w:r>
              <w:rPr>
                <w:rFonts w:ascii="Times New Roman" w:cs="Times New Roman" w:eastAsia="Times New Roman" w:hAnsi="Times New Roman"/>
                <w:sz w:val="12"/>
                <w:szCs w:val="12"/>
                <w:color w:val="auto"/>
              </w:rPr>
              <w:t>Research and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3,961</w:t>
            </w:r>
          </w:p>
        </w:tc>
        <w:tc>
          <w:tcPr>
            <w:tcW w:w="80" w:type="dxa"/>
            <w:vAlign w:val="bottom"/>
          </w:tcPr>
          <w:p>
            <w:pPr>
              <w:spacing w:after="0"/>
              <w:rPr>
                <w:sz w:val="9"/>
                <w:szCs w:val="9"/>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(3,961)(H)</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9"/>
                <w:szCs w:val="9"/>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development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Rent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line="12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20"/>
              <w:spacing w:after="0" w:line="12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99"/>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1,199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3"/>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(1,199)(F)</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540"/>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60" w:type="dxa"/>
            <w:vAlign w:val="bottom"/>
          </w:tcPr>
          <w:p>
            <w:pPr>
              <w:ind w:left="100"/>
              <w:spacing w:after="0" w:line="106" w:lineRule="exact"/>
              <w:rPr>
                <w:sz w:val="20"/>
                <w:szCs w:val="20"/>
                <w:color w:val="auto"/>
              </w:rPr>
            </w:pPr>
            <w:r>
              <w:rPr>
                <w:rFonts w:ascii="Times New Roman" w:cs="Times New Roman" w:eastAsia="Times New Roman" w:hAnsi="Times New Roman"/>
                <w:sz w:val="12"/>
                <w:szCs w:val="12"/>
                <w:color w:val="auto"/>
              </w:rPr>
              <w:t>Depreciation</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240"/>
              <w:spacing w:after="0" w:line="125" w:lineRule="exact"/>
              <w:rPr>
                <w:sz w:val="20"/>
                <w:szCs w:val="20"/>
                <w:color w:val="auto"/>
              </w:rPr>
            </w:pPr>
            <w:r>
              <w:rPr>
                <w:rFonts w:ascii="Times New Roman" w:cs="Times New Roman" w:eastAsia="Times New Roman" w:hAnsi="Times New Roman"/>
                <w:sz w:val="12"/>
                <w:szCs w:val="12"/>
                <w:color w:val="auto"/>
              </w:rPr>
              <w:t>and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amortization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9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(402)(F)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60" w:type="dxa"/>
            <w:vAlign w:val="bottom"/>
            <w:tcBorders>
              <w:top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Total operating</w:t>
            </w: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expenses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108,011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327,819</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(2,776)</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325,043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54,870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rPr>
              <w:t>9,764</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64,634</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27,157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27,157</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524,845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60" w:type="dxa"/>
            <w:vAlign w:val="bottom"/>
            <w:tcBorders>
              <w:top w:val="single" w:sz="8" w:color="CCEEFF"/>
            </w:tcBorders>
          </w:tcPr>
          <w:p>
            <w:pPr>
              <w:spacing w:after="0" w:line="77" w:lineRule="exact"/>
              <w:rPr>
                <w:sz w:val="20"/>
                <w:szCs w:val="20"/>
                <w:color w:val="auto"/>
              </w:rPr>
            </w:pPr>
            <w:r>
              <w:rPr>
                <w:rFonts w:ascii="Times New Roman" w:cs="Times New Roman" w:eastAsia="Times New Roman" w:hAnsi="Times New Roman"/>
                <w:sz w:val="8"/>
                <w:szCs w:val="8"/>
                <w:color w:val="auto"/>
              </w:rPr>
              <w:t>(Loss) income from</w:t>
            </w:r>
          </w:p>
        </w:tc>
        <w:tc>
          <w:tcPr>
            <w:tcW w:w="20" w:type="dxa"/>
            <w:vAlign w:val="bottom"/>
            <w:tcBorders>
              <w:top w:val="single" w:sz="8" w:color="CCEE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2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20" w:type="dxa"/>
            <w:vAlign w:val="bottom"/>
            <w:tcBorders>
              <w:top w:val="single" w:sz="8" w:color="CCEE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continuing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operations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(68,509)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(227,763)</w:t>
            </w:r>
          </w:p>
        </w:tc>
        <w:tc>
          <w:tcPr>
            <w:tcW w:w="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19"/>
              <w:spacing w:after="0"/>
              <w:rPr>
                <w:sz w:val="20"/>
                <w:szCs w:val="20"/>
                <w:color w:val="auto"/>
              </w:rPr>
            </w:pPr>
            <w:r>
              <w:rPr>
                <w:rFonts w:ascii="Times New Roman" w:cs="Times New Roman" w:eastAsia="Times New Roman" w:hAnsi="Times New Roman"/>
                <w:sz w:val="12"/>
                <w:szCs w:val="12"/>
                <w:color w:val="auto"/>
              </w:rPr>
              <w:t>2,776</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(224,987)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(10,577)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(12,607)</w:t>
            </w:r>
          </w:p>
        </w:tc>
        <w:tc>
          <w:tcPr>
            <w:tcW w:w="8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(23,184)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(4,815)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(4,815)</w:t>
            </w:r>
          </w:p>
        </w:tc>
        <w:tc>
          <w:tcPr>
            <w:tcW w:w="8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(321,495)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Interest expense</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(16,223)</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(285)</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(13,274)</w:t>
            </w:r>
          </w:p>
        </w:tc>
        <w:tc>
          <w:tcPr>
            <w:tcW w:w="180" w:type="dxa"/>
            <w:vAlign w:val="bottom"/>
            <w:tcBorders>
              <w:top w:val="single" w:sz="8" w:color="CCEEFF"/>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(J)</w:t>
            </w: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(13,559)</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(180)</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(4,605)</w:t>
            </w:r>
          </w:p>
        </w:tc>
        <w:tc>
          <w:tcPr>
            <w:tcW w:w="260" w:type="dxa"/>
            <w:vAlign w:val="bottom"/>
            <w:tcBorders>
              <w:top w:val="single" w:sz="8" w:color="CCEEFF"/>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(D)</w:t>
            </w: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(4,785)</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(1,234)</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(1,234)</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(35,801)</w:t>
            </w:r>
          </w:p>
        </w:tc>
        <w:tc>
          <w:tcPr>
            <w:tcW w:w="40" w:type="dxa"/>
            <w:vAlign w:val="bottom"/>
            <w:tcBorders>
              <w:top w:val="single" w:sz="8" w:color="CCEEFF"/>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Interest income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980" w:type="dxa"/>
            <w:vAlign w:val="bottom"/>
            <w:gridSpan w:val="2"/>
          </w:tcPr>
          <w:p>
            <w:pPr>
              <w:jc w:val="right"/>
              <w:ind w:right="220"/>
              <w:spacing w:after="0" w:line="12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199"/>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18</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ind w:left="70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540"/>
              <w:spacing w:after="0" w:line="12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2"/>
                <w:szCs w:val="12"/>
                <w:color w:val="auto"/>
              </w:rPr>
              <w:t>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Other income</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7,932</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4,525</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4,525</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(204)</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12,241</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(expense),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Gain on troubled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debt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restructuring</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22,337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9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22,337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60" w:type="dxa"/>
            <w:vAlign w:val="bottom"/>
            <w:tcBorders>
              <w:top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Total other income</w:t>
            </w: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(expense), net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14,065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(297)</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color w:val="auto"/>
              </w:rPr>
              <w:t>(13,274)</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(13,571)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4,363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rPr>
              <w:t>(4,605)</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(242)</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(1,438)</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(1,186)</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60" w:type="dxa"/>
            <w:vAlign w:val="bottom"/>
            <w:tcBorders>
              <w:top w:val="single" w:sz="8" w:color="CCEEFF"/>
            </w:tcBorders>
          </w:tcPr>
          <w:p>
            <w:pPr>
              <w:spacing w:after="0" w:line="77" w:lineRule="exact"/>
              <w:rPr>
                <w:sz w:val="20"/>
                <w:szCs w:val="20"/>
                <w:color w:val="auto"/>
              </w:rPr>
            </w:pPr>
            <w:r>
              <w:rPr>
                <w:rFonts w:ascii="Times New Roman" w:cs="Times New Roman" w:eastAsia="Times New Roman" w:hAnsi="Times New Roman"/>
                <w:sz w:val="8"/>
                <w:szCs w:val="8"/>
                <w:color w:val="auto"/>
              </w:rPr>
              <w:t>Loss from</w:t>
            </w:r>
          </w:p>
        </w:tc>
        <w:tc>
          <w:tcPr>
            <w:tcW w:w="20" w:type="dxa"/>
            <w:vAlign w:val="bottom"/>
            <w:tcBorders>
              <w:top w:val="single" w:sz="8" w:color="CCEE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2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20" w:type="dxa"/>
            <w:vAlign w:val="bottom"/>
            <w:tcBorders>
              <w:top w:val="single" w:sz="8" w:color="CCEE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continuing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operations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before income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taxes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(54,444)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(228,060)</w:t>
            </w:r>
          </w:p>
        </w:tc>
        <w:tc>
          <w:tcPr>
            <w:tcW w:w="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79"/>
              <w:spacing w:after="0"/>
              <w:rPr>
                <w:sz w:val="20"/>
                <w:szCs w:val="20"/>
                <w:color w:val="auto"/>
              </w:rPr>
            </w:pPr>
            <w:r>
              <w:rPr>
                <w:rFonts w:ascii="Times New Roman" w:cs="Times New Roman" w:eastAsia="Times New Roman" w:hAnsi="Times New Roman"/>
                <w:sz w:val="12"/>
                <w:szCs w:val="12"/>
                <w:color w:val="auto"/>
              </w:rPr>
              <w:t>(10,498)</w:t>
            </w:r>
          </w:p>
        </w:tc>
        <w:tc>
          <w:tcPr>
            <w:tcW w:w="12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(238,558)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(6,214)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(17,212)</w:t>
            </w:r>
          </w:p>
        </w:tc>
        <w:tc>
          <w:tcPr>
            <w:tcW w:w="8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(23,426)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(6,253)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(6,253)</w:t>
            </w:r>
          </w:p>
        </w:tc>
        <w:tc>
          <w:tcPr>
            <w:tcW w:w="8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(322,681)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60" w:type="dxa"/>
            <w:vAlign w:val="bottom"/>
            <w:tcBorders>
              <w:top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Income tax</w:t>
            </w: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(provision)</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benefit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572</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572</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60" w:type="dxa"/>
            <w:vAlign w:val="bottom"/>
            <w:tcBorders>
              <w:top w:val="single" w:sz="8" w:color="CCEEFF"/>
            </w:tcBorders>
          </w:tcPr>
          <w:p>
            <w:pPr>
              <w:spacing w:after="0" w:line="77" w:lineRule="exact"/>
              <w:rPr>
                <w:sz w:val="20"/>
                <w:szCs w:val="20"/>
                <w:color w:val="auto"/>
              </w:rPr>
            </w:pPr>
            <w:r>
              <w:rPr>
                <w:rFonts w:ascii="Times New Roman" w:cs="Times New Roman" w:eastAsia="Times New Roman" w:hAnsi="Times New Roman"/>
                <w:sz w:val="8"/>
                <w:szCs w:val="8"/>
                <w:color w:val="auto"/>
              </w:rPr>
              <w:t>Net loss from</w:t>
            </w:r>
          </w:p>
        </w:tc>
        <w:tc>
          <w:tcPr>
            <w:tcW w:w="20" w:type="dxa"/>
            <w:vAlign w:val="bottom"/>
            <w:tcBorders>
              <w:top w:val="single" w:sz="8" w:color="CCEE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2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20" w:type="dxa"/>
            <w:vAlign w:val="bottom"/>
            <w:tcBorders>
              <w:top w:val="single" w:sz="8" w:color="CCEEFF"/>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continuing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operations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(54,444)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(227,488)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79"/>
              <w:spacing w:after="0"/>
              <w:rPr>
                <w:sz w:val="20"/>
                <w:szCs w:val="20"/>
                <w:color w:val="auto"/>
              </w:rPr>
            </w:pPr>
            <w:r>
              <w:rPr>
                <w:rFonts w:ascii="Times New Roman" w:cs="Times New Roman" w:eastAsia="Times New Roman" w:hAnsi="Times New Roman"/>
                <w:sz w:val="12"/>
                <w:szCs w:val="12"/>
                <w:color w:val="auto"/>
              </w:rPr>
              <w:t>(10,498)</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4"/>
          </w:tcPr>
          <w:p>
            <w:pPr>
              <w:jc w:val="right"/>
              <w:ind w:right="19"/>
              <w:spacing w:after="0"/>
              <w:rPr>
                <w:sz w:val="20"/>
                <w:szCs w:val="20"/>
                <w:color w:val="auto"/>
              </w:rPr>
            </w:pPr>
            <w:r>
              <w:rPr>
                <w:rFonts w:ascii="Times New Roman" w:cs="Times New Roman" w:eastAsia="Times New Roman" w:hAnsi="Times New Roman"/>
                <w:sz w:val="12"/>
                <w:szCs w:val="12"/>
                <w:color w:val="auto"/>
              </w:rPr>
              <w:t>(237,986)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(6,214) $</w:t>
            </w:r>
          </w:p>
        </w:tc>
        <w:tc>
          <w:tcPr>
            <w:tcW w:w="860" w:type="dxa"/>
            <w:vAlign w:val="bottom"/>
            <w:gridSpan w:val="2"/>
          </w:tcPr>
          <w:p>
            <w:pPr>
              <w:jc w:val="right"/>
              <w:ind w:right="159"/>
              <w:spacing w:after="0"/>
              <w:rPr>
                <w:sz w:val="20"/>
                <w:szCs w:val="20"/>
                <w:color w:val="auto"/>
              </w:rPr>
            </w:pPr>
            <w:r>
              <w:rPr>
                <w:rFonts w:ascii="Times New Roman" w:cs="Times New Roman" w:eastAsia="Times New Roman" w:hAnsi="Times New Roman"/>
                <w:sz w:val="12"/>
                <w:szCs w:val="12"/>
                <w:color w:val="auto"/>
              </w:rPr>
              <w:t>(17,212)</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4"/>
          </w:tcPr>
          <w:p>
            <w:pPr>
              <w:jc w:val="right"/>
              <w:ind w:right="59"/>
              <w:spacing w:after="0"/>
              <w:rPr>
                <w:sz w:val="20"/>
                <w:szCs w:val="20"/>
                <w:color w:val="auto"/>
              </w:rPr>
            </w:pPr>
            <w:r>
              <w:rPr>
                <w:rFonts w:ascii="Times New Roman" w:cs="Times New Roman" w:eastAsia="Times New Roman" w:hAnsi="Times New Roman"/>
                <w:sz w:val="12"/>
                <w:szCs w:val="12"/>
                <w:color w:val="auto"/>
              </w:rPr>
              <w:t>(23,426) $</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(6,253) $</w:t>
            </w:r>
          </w:p>
        </w:tc>
        <w:tc>
          <w:tcPr>
            <w:tcW w:w="78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(6,253)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(322,109)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60" w:type="dxa"/>
            <w:vAlign w:val="bottom"/>
            <w:tcBorders>
              <w:top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Net loss from</w:t>
            </w: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continuing</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operations per</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share</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attributable to</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common</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stockholders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6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Basic</w:t>
            </w:r>
          </w:p>
        </w:tc>
        <w:tc>
          <w:tcPr>
            <w:tcW w:w="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2"/>
                <w:szCs w:val="12"/>
                <w:color w:val="auto"/>
              </w:rPr>
              <w:t>(0.82)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2"/>
                <w:szCs w:val="12"/>
                <w:color w:val="auto"/>
              </w:rPr>
              <w:t>(4.01)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60" w:type="dxa"/>
            <w:vAlign w:val="bottom"/>
            <w:tcBorders>
              <w:top w:val="single" w:sz="8" w:color="CCEEFF"/>
              <w:bottom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2"/>
                <w:szCs w:val="12"/>
                <w:color w:val="auto"/>
              </w:rPr>
              <w:t>Diluted</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(1.19</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4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(4.01</w:t>
            </w:r>
          </w:p>
        </w:tc>
        <w:tc>
          <w:tcPr>
            <w:tcW w:w="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vMerge w:val="restart"/>
          </w:tcPr>
          <w:p>
            <w:pPr>
              <w:spacing w:after="0" w:line="106" w:lineRule="exact"/>
              <w:rPr>
                <w:sz w:val="20"/>
                <w:szCs w:val="20"/>
                <w:color w:val="auto"/>
              </w:rPr>
            </w:pPr>
            <w:r>
              <w:rPr>
                <w:rFonts w:ascii="Times New Roman" w:cs="Times New Roman" w:eastAsia="Times New Roman" w:hAnsi="Times New Roman"/>
                <w:sz w:val="12"/>
                <w:szCs w:val="12"/>
                <w:color w:val="auto"/>
              </w:rPr>
              <w:t>Weighted average</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shares used to</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compute net loss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per share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attributable to</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common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Basic</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w w:val="96"/>
              </w:rPr>
              <w:t>66,655,837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37" w:lineRule="exact"/>
              <w:rPr>
                <w:sz w:val="20"/>
                <w:szCs w:val="20"/>
                <w:color w:val="auto"/>
              </w:rPr>
            </w:pPr>
            <w:r>
              <w:rPr>
                <w:rFonts w:ascii="Times New Roman" w:cs="Times New Roman" w:eastAsia="Times New Roman" w:hAnsi="Times New Roman"/>
                <w:sz w:val="12"/>
                <w:szCs w:val="12"/>
                <w:color w:val="auto"/>
              </w:rPr>
              <w:t>3,333,334(E)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3,333,334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0"/>
              <w:spacing w:after="0" w:line="137" w:lineRule="exact"/>
              <w:rPr>
                <w:sz w:val="20"/>
                <w:szCs w:val="20"/>
                <w:color w:val="auto"/>
              </w:rPr>
            </w:pPr>
            <w:r>
              <w:rPr>
                <w:rFonts w:ascii="Times New Roman" w:cs="Times New Roman" w:eastAsia="Times New Roman" w:hAnsi="Times New Roman"/>
                <w:sz w:val="12"/>
                <w:szCs w:val="12"/>
                <w:color w:val="auto"/>
              </w:rPr>
              <w:t>10,243,924 (G)</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10,243,924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w w:val="96"/>
              </w:rPr>
              <w:t>80,233,095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2"/>
                <w:szCs w:val="12"/>
                <w:color w:val="auto"/>
              </w:rPr>
              <w:t>(E)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2"/>
                <w:szCs w:val="12"/>
                <w:color w:val="auto"/>
                <w:w w:val="95"/>
              </w:rPr>
              <w:t>(G)</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w w:val="96"/>
              </w:rPr>
              <w:t>75,793,548</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3,333,334</w:t>
            </w:r>
          </w:p>
        </w:tc>
        <w:tc>
          <w:tcPr>
            <w:tcW w:w="26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rPr>
              <w:t>3,333,334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ind w:left="40"/>
              <w:spacing w:after="0" w:line="120" w:lineRule="exact"/>
              <w:rPr>
                <w:sz w:val="20"/>
                <w:szCs w:val="20"/>
                <w:color w:val="auto"/>
              </w:rPr>
            </w:pPr>
            <w:r>
              <w:rPr>
                <w:rFonts w:ascii="Times New Roman" w:cs="Times New Roman" w:eastAsia="Times New Roman" w:hAnsi="Times New Roman"/>
                <w:sz w:val="12"/>
                <w:szCs w:val="12"/>
                <w:color w:val="auto"/>
                <w:w w:val="96"/>
              </w:rPr>
              <w:t>10,243,924</w:t>
            </w:r>
          </w:p>
        </w:tc>
        <w:tc>
          <w:tcPr>
            <w:tcW w:w="220" w:type="dxa"/>
            <w:vAlign w:val="bottom"/>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w w:val="96"/>
              </w:rPr>
              <w:t>10,243,924</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2"/>
                <w:szCs w:val="12"/>
                <w:color w:val="auto"/>
                <w:w w:val="96"/>
              </w:rPr>
              <w:t>80,233,095</w:t>
            </w:r>
          </w:p>
        </w:tc>
        <w:tc>
          <w:tcPr>
            <w:tcW w:w="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pro forma financial statements.</w:t>
      </w: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F-184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340"/>
          </w:cols>
          <w:pgMar w:left="320" w:top="303" w:right="239" w:bottom="1440" w:gutter="0" w:footer="0" w:header="0"/>
        </w:sectPr>
      </w:pPr>
    </w:p>
    <w:bookmarkStart w:id="320" w:name="page321"/>
    <w:bookmarkEnd w:id="320"/>
    <w:p>
      <w:pPr>
        <w:jc w:val="center"/>
        <w:ind w:right="-8"/>
        <w:spacing w:after="0"/>
        <w:rPr>
          <w:sz w:val="20"/>
          <w:szCs w:val="20"/>
          <w:color w:val="auto"/>
        </w:rPr>
      </w:pPr>
      <w:r>
        <w:rPr>
          <w:rFonts w:ascii="Times New Roman" w:cs="Times New Roman" w:eastAsia="Times New Roman" w:hAnsi="Times New Roman"/>
          <w:sz w:val="15"/>
          <w:szCs w:val="15"/>
          <w:b w:val="1"/>
          <w:bCs w:val="1"/>
          <w:i w:val="1"/>
          <w:iCs w:val="1"/>
          <w:color w:val="auto"/>
        </w:rPr>
        <w:t>Notes to Unaudited Pro Forma Combined Financial Statements</w:t>
      </w:r>
    </w:p>
    <w:p>
      <w:pPr>
        <w:spacing w:after="0" w:line="192" w:lineRule="exact"/>
        <w:rPr>
          <w:sz w:val="20"/>
          <w:szCs w:val="20"/>
          <w:color w:val="auto"/>
        </w:rPr>
      </w:pPr>
    </w:p>
    <w:p>
      <w:pPr>
        <w:ind w:left="269" w:hanging="269"/>
        <w:spacing w:after="0"/>
        <w:tabs>
          <w:tab w:leader="none" w:pos="269" w:val="left"/>
        </w:tabs>
        <w:numPr>
          <w:ilvl w:val="0"/>
          <w:numId w:val="1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Basis of Presentation</w:t>
      </w:r>
    </w:p>
    <w:p>
      <w:pPr>
        <w:spacing w:after="0" w:line="196" w:lineRule="exact"/>
        <w:rPr>
          <w:sz w:val="20"/>
          <w:szCs w:val="20"/>
          <w:color w:val="auto"/>
        </w:rPr>
      </w:pPr>
    </w:p>
    <w:p>
      <w:pPr>
        <w:jc w:val="both"/>
        <w:ind w:left="9" w:right="20"/>
        <w:spacing w:after="0" w:line="270" w:lineRule="auto"/>
        <w:rPr>
          <w:sz w:val="20"/>
          <w:szCs w:val="20"/>
          <w:color w:val="auto"/>
        </w:rPr>
      </w:pPr>
      <w:r>
        <w:rPr>
          <w:rFonts w:ascii="Times New Roman" w:cs="Times New Roman" w:eastAsia="Times New Roman" w:hAnsi="Times New Roman"/>
          <w:sz w:val="15"/>
          <w:szCs w:val="15"/>
          <w:color w:val="auto"/>
        </w:rPr>
        <w:t>The unaudited pro forma combined financial information was prepared in accordance with Article 11 of Regulation S-X, and presents the pro forma financial condition and results of operations of the Company based on the historical financial information of the Company, SunPower Businesses, Sunder and Ambia after giving effect to the Acquisitions and reclassifications and financing adjustments as set forth in the notes to the unaudited pro forma combined financial information.</w:t>
      </w:r>
    </w:p>
    <w:p>
      <w:pPr>
        <w:spacing w:after="0" w:line="14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unaudited pro forma combined financial information does not reflect any management adjustments for expected effects of the Acquisitions.</w:t>
      </w:r>
    </w:p>
    <w:p>
      <w:pPr>
        <w:spacing w:after="0" w:line="192" w:lineRule="exact"/>
        <w:rPr>
          <w:sz w:val="20"/>
          <w:szCs w:val="20"/>
          <w:color w:val="auto"/>
        </w:rPr>
      </w:pPr>
    </w:p>
    <w:p>
      <w:pPr>
        <w:jc w:val="both"/>
        <w:ind w:left="9"/>
        <w:spacing w:after="0" w:line="261" w:lineRule="auto"/>
        <w:rPr>
          <w:sz w:val="20"/>
          <w:szCs w:val="20"/>
          <w:color w:val="auto"/>
        </w:rPr>
      </w:pPr>
      <w:r>
        <w:rPr>
          <w:rFonts w:ascii="Times New Roman" w:cs="Times New Roman" w:eastAsia="Times New Roman" w:hAnsi="Times New Roman"/>
          <w:sz w:val="15"/>
          <w:szCs w:val="15"/>
          <w:color w:val="auto"/>
        </w:rPr>
        <w:t>The unaudited pro forma combined statement of operations for the fiscal year ended December 29, 2024 combine the historical statements of operations of the Company, SunPower Businesses, Sunder and Ambia on a pro forma basis as if the Acquisitions and the Financing, had been consummated on January 1, 2024, the beginning of the earliest period presented. The unaudited pro forma combined statements of operations for the thirty-nine week period ended September 28, 2025, combine the historical statements of operations of the Company, Sunder and Ambia on a pro forma basis as if the Sunder and Ambia Acquisitions and the financing of the Sunder and Ambia Acquisitions had been consummated on January 1, 2024, the beginning of the earliest period presented.</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SunPower Businesses Acquisition</w:t>
      </w:r>
    </w:p>
    <w:p>
      <w:pPr>
        <w:spacing w:after="0" w:line="196" w:lineRule="exact"/>
        <w:rPr>
          <w:sz w:val="20"/>
          <w:szCs w:val="20"/>
          <w:color w:val="auto"/>
        </w:rPr>
      </w:pPr>
    </w:p>
    <w:p>
      <w:pPr>
        <w:jc w:val="both"/>
        <w:ind w:left="9"/>
        <w:spacing w:after="0" w:line="259" w:lineRule="auto"/>
        <w:rPr>
          <w:sz w:val="20"/>
          <w:szCs w:val="20"/>
          <w:color w:val="auto"/>
        </w:rPr>
      </w:pPr>
      <w:r>
        <w:rPr>
          <w:rFonts w:ascii="Times New Roman" w:cs="Times New Roman" w:eastAsia="Times New Roman" w:hAnsi="Times New Roman"/>
          <w:sz w:val="15"/>
          <w:szCs w:val="15"/>
          <w:color w:val="auto"/>
        </w:rPr>
        <w:t>On August 5, 2024, the Company entered into an Asset Purchase Agreement (the “APA”) with SunPower Corporation and SunPower Corporation’s direct and indirect subsidiaries (collectively, the “SunPower Debtors”) providing for the sale and purchase of certain assets relating to the Blue Raven Solar business, New Homes Business and Non-Installing Dealer network previously operated by the SunPower Debtors. The APA was entered into in connection with a voluntary petition filed by SunPower Corporation under Chapter 11 of the United States Code, 11 U.S.C.§§ 101-1532. The SunPower Acquisition was approved on September 23, 2024, by the United States Bankruptcy Court for the District of Delaware. The Company completed the acquisition of the Acquired Assets (as defined in the APA) effective September 30, 2024, in the Company’s fourth fiscal quarter of 2024, in consideration for a cash purchase price of $54.5 million. The acquisition transaction under the APA is referred to herein as the “SunPower Acquisition,” and the assets and businesses acquired by the Company under the APA are referred to as the “SunPower Businesses.”</w:t>
      </w:r>
    </w:p>
    <w:p>
      <w:pPr>
        <w:spacing w:after="0" w:line="15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The following table summarizes the final fair values of identifiable assets acquired and liabilities assumed and measurement period adjustments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4"/>
        </w:trPr>
        <w:tc>
          <w:tcPr>
            <w:tcW w:w="10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assets acquired:</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w:t>
            </w: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shd w:val="clear" w:color="auto" w:fill="CCEEFF"/>
          </w:tcPr>
          <w:p>
            <w:pPr>
              <w:spacing w:after="0"/>
              <w:rPr>
                <w:sz w:val="15"/>
                <w:szCs w:val="15"/>
                <w:color w:val="auto"/>
              </w:rPr>
            </w:pP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receivable</w:t>
            </w:r>
          </w:p>
        </w:tc>
        <w:tc>
          <w:tcPr>
            <w:tcW w:w="38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16,614</w:t>
            </w:r>
          </w:p>
        </w:tc>
        <w:tc>
          <w:tcPr>
            <w:tcW w:w="80" w:type="dxa"/>
            <w:vAlign w:val="bottom"/>
          </w:tcPr>
          <w:p>
            <w:pPr>
              <w:spacing w:after="0"/>
              <w:rPr>
                <w:sz w:val="15"/>
                <w:szCs w:val="15"/>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Inventories</w:t>
            </w:r>
          </w:p>
        </w:tc>
        <w:tc>
          <w:tcPr>
            <w:tcW w:w="3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48,388</w:t>
            </w:r>
          </w:p>
        </w:tc>
        <w:tc>
          <w:tcPr>
            <w:tcW w:w="80" w:type="dxa"/>
            <w:vAlign w:val="bottom"/>
            <w:shd w:val="clear" w:color="auto" w:fill="CCEEFF"/>
          </w:tcPr>
          <w:p>
            <w:pPr>
              <w:spacing w:after="0"/>
              <w:rPr>
                <w:sz w:val="15"/>
                <w:szCs w:val="15"/>
                <w:color w:val="auto"/>
              </w:rPr>
            </w:pP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8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2,219</w:t>
            </w:r>
          </w:p>
        </w:tc>
        <w:tc>
          <w:tcPr>
            <w:tcW w:w="80" w:type="dxa"/>
            <w:vAlign w:val="bottom"/>
          </w:tcPr>
          <w:p>
            <w:pPr>
              <w:spacing w:after="0"/>
              <w:rPr>
                <w:sz w:val="15"/>
                <w:szCs w:val="15"/>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Property and equipment</w:t>
            </w:r>
          </w:p>
        </w:tc>
        <w:tc>
          <w:tcPr>
            <w:tcW w:w="3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5,867</w:t>
            </w:r>
          </w:p>
        </w:tc>
        <w:tc>
          <w:tcPr>
            <w:tcW w:w="80" w:type="dxa"/>
            <w:vAlign w:val="bottom"/>
            <w:shd w:val="clear" w:color="auto" w:fill="CCEEFF"/>
          </w:tcPr>
          <w:p>
            <w:pPr>
              <w:spacing w:after="0"/>
              <w:rPr>
                <w:sz w:val="15"/>
                <w:szCs w:val="15"/>
                <w:color w:val="auto"/>
              </w:rPr>
            </w:pP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8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2,506</w:t>
            </w:r>
          </w:p>
        </w:tc>
        <w:tc>
          <w:tcPr>
            <w:tcW w:w="80" w:type="dxa"/>
            <w:vAlign w:val="bottom"/>
          </w:tcPr>
          <w:p>
            <w:pPr>
              <w:spacing w:after="0"/>
              <w:rPr>
                <w:sz w:val="15"/>
                <w:szCs w:val="15"/>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3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541</w:t>
            </w:r>
          </w:p>
        </w:tc>
        <w:tc>
          <w:tcPr>
            <w:tcW w:w="80" w:type="dxa"/>
            <w:vAlign w:val="bottom"/>
            <w:shd w:val="clear" w:color="auto" w:fill="CCEEFF"/>
          </w:tcPr>
          <w:p>
            <w:pPr>
              <w:spacing w:after="0"/>
              <w:rPr>
                <w:sz w:val="15"/>
                <w:szCs w:val="15"/>
                <w:color w:val="auto"/>
              </w:rPr>
            </w:pP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Intangibles</w:t>
            </w:r>
          </w:p>
        </w:tc>
        <w:tc>
          <w:tcPr>
            <w:tcW w:w="38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15,894</w:t>
            </w:r>
          </w:p>
        </w:tc>
        <w:tc>
          <w:tcPr>
            <w:tcW w:w="80" w:type="dxa"/>
            <w:vAlign w:val="bottom"/>
          </w:tcPr>
          <w:p>
            <w:pPr>
              <w:spacing w:after="0"/>
              <w:rPr>
                <w:sz w:val="15"/>
                <w:szCs w:val="15"/>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revenue</w:t>
            </w:r>
          </w:p>
        </w:tc>
        <w:tc>
          <w:tcPr>
            <w:tcW w:w="3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(7,361)</w:t>
            </w: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38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(5,270)</w:t>
            </w: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(13,955)</w:t>
            </w: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80" w:type="dxa"/>
            <w:vAlign w:val="bottom"/>
          </w:tcPr>
          <w:p>
            <w:pPr>
              <w:spacing w:after="0"/>
              <w:rPr>
                <w:sz w:val="15"/>
                <w:szCs w:val="15"/>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(2,963)</w:t>
            </w:r>
          </w:p>
        </w:tc>
      </w:tr>
      <w:tr>
        <w:trPr>
          <w:trHeight w:val="213"/>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(8,980)</w:t>
            </w:r>
          </w:p>
        </w:tc>
      </w:tr>
      <w:tr>
        <w:trPr>
          <w:trHeight w:val="168"/>
        </w:trPr>
        <w:tc>
          <w:tcPr>
            <w:tcW w:w="10020" w:type="dxa"/>
            <w:vAlign w:val="bottom"/>
            <w:tcBorders>
              <w:top w:val="single" w:sz="8" w:color="CCEEFF"/>
              <w:bottom w:val="single" w:sz="8" w:color="CCEEFF"/>
            </w:tcBorders>
          </w:tcPr>
          <w:p>
            <w:pPr>
              <w:ind w:left="120"/>
              <w:spacing w:after="0" w:line="165" w:lineRule="exact"/>
              <w:rPr>
                <w:sz w:val="20"/>
                <w:szCs w:val="20"/>
                <w:color w:val="auto"/>
              </w:rPr>
            </w:pPr>
            <w:r>
              <w:rPr>
                <w:rFonts w:ascii="Times New Roman" w:cs="Times New Roman" w:eastAsia="Times New Roman" w:hAnsi="Times New Roman"/>
                <w:sz w:val="15"/>
                <w:szCs w:val="15"/>
                <w:color w:val="auto"/>
              </w:rPr>
              <w:t>Fair value of net tangible assets acquired</w:t>
            </w:r>
          </w:p>
        </w:tc>
        <w:tc>
          <w:tcPr>
            <w:tcW w:w="3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54,500</w:t>
            </w:r>
          </w:p>
        </w:tc>
        <w:tc>
          <w:tcPr>
            <w:tcW w:w="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r>
      <w:tr>
        <w:trPr>
          <w:trHeight w:val="202"/>
        </w:trPr>
        <w:tc>
          <w:tcPr>
            <w:tcW w:w="10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Goodwill recognized</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gridSpan w:val="2"/>
            <w:shd w:val="clear" w:color="auto" w:fill="CCEEFF"/>
          </w:tcPr>
          <w:p>
            <w:pPr>
              <w:spacing w:after="0"/>
              <w:rPr>
                <w:sz w:val="17"/>
                <w:szCs w:val="17"/>
                <w:color w:val="auto"/>
              </w:rPr>
            </w:pPr>
          </w:p>
        </w:tc>
      </w:tr>
      <w:tr>
        <w:trPr>
          <w:trHeight w:val="168"/>
        </w:trPr>
        <w:tc>
          <w:tcPr>
            <w:tcW w:w="10020" w:type="dxa"/>
            <w:vAlign w:val="bottom"/>
          </w:tcPr>
          <w:p>
            <w:pPr>
              <w:ind w:left="120"/>
              <w:spacing w:after="0" w:line="165" w:lineRule="exact"/>
              <w:rPr>
                <w:sz w:val="20"/>
                <w:szCs w:val="20"/>
                <w:color w:val="auto"/>
              </w:rPr>
            </w:pPr>
            <w:r>
              <w:rPr>
                <w:rFonts w:ascii="Times New Roman" w:cs="Times New Roman" w:eastAsia="Times New Roman" w:hAnsi="Times New Roman"/>
                <w:sz w:val="15"/>
                <w:szCs w:val="15"/>
                <w:color w:val="auto"/>
              </w:rPr>
              <w:t>Consideration transferred</w:t>
            </w:r>
          </w:p>
        </w:tc>
        <w:tc>
          <w:tcPr>
            <w:tcW w:w="380" w:type="dxa"/>
            <w:vAlign w:val="bottom"/>
            <w:tcBorders>
              <w:bottom w:val="single" w:sz="8" w:color="auto"/>
            </w:tcBorders>
          </w:tcPr>
          <w:p>
            <w:pPr>
              <w:jc w:val="right"/>
              <w:ind w:right="22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54,500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9"/>
        <w:spacing w:after="0" w:line="270" w:lineRule="auto"/>
        <w:rPr>
          <w:sz w:val="20"/>
          <w:szCs w:val="20"/>
          <w:color w:val="auto"/>
        </w:rPr>
      </w:pPr>
      <w:r>
        <w:rPr>
          <w:rFonts w:ascii="Times New Roman" w:cs="Times New Roman" w:eastAsia="Times New Roman" w:hAnsi="Times New Roman"/>
          <w:sz w:val="15"/>
          <w:szCs w:val="15"/>
          <w:color w:val="auto"/>
        </w:rPr>
        <w:t>The historical results of the SunPower Businesses included in the pro forma combined statement of operations for the fiscal year ended December 29, 2024 include the historical results of operations for the SunPower Businesses from January 1, 2024 through September 29, 2024, which were derived from the audited carveout financial statements of the SunPower Businesses as of and for the thirty-nine weeks ended September 29, 2024.</w:t>
      </w:r>
    </w:p>
    <w:p>
      <w:pPr>
        <w:spacing w:after="0" w:line="3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5"/>
          <w:szCs w:val="15"/>
          <w:b w:val="1"/>
          <w:bCs w:val="1"/>
          <w:i w:val="1"/>
          <w:iCs w:val="1"/>
          <w:color w:val="auto"/>
        </w:rPr>
        <w:t>Sunder Acquisition</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September 21, 2025, the Company entered into a Membership Interest Purchase Agreement (“MIPA”) with Sunder Energy LLC (“Sunder” or “Sunder Acquisition”) and the seller, Chicken Parm Pizza LLC (“Seller/Member”), the sole member of Sunder. The acquisition of Sunder was completed in the Company’s third fiscal quarter on September 24, 2025, and the financial results of Sunder have been included in the Company’s unaudited condensed consolidated financial statements since the date of acquisition. On September 24, 2025 (“Sunder Closing”), the Company completed the acquisition of all assets and assumption of all liabilities of the Membership Interests of Sunder for aggregate consideration of $57.8 million. Sunder is a solar sales company.</w:t>
      </w:r>
    </w:p>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Per the terms of the MIPA, the Company acquired all of the outstanding membership interest of Sunder for (1) $20.7 million in cash, subject to certain working capital and other adjustments; (2) a promissory note to the Member in the principal amount of $20.0 million (“Seller Note”); (3) and 10.0 million shares of the Company’s common stock (valued at the closing share price on September 24, 2025, of $1.71 per share).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The total consideration is summarized as follows </w:t>
            </w:r>
            <w:r>
              <w:rPr>
                <w:rFonts w:ascii="Times New Roman" w:cs="Times New Roman" w:eastAsia="Times New Roman" w:hAnsi="Times New Roman"/>
                <w:sz w:val="15"/>
                <w:szCs w:val="15"/>
                <w:i w:val="1"/>
                <w:iCs w:val="1"/>
                <w:color w:val="auto"/>
              </w:rPr>
              <w:t>(in thousands except share data):</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10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20,689</w:t>
            </w: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Seller note</w:t>
            </w:r>
          </w:p>
        </w:tc>
        <w:tc>
          <w:tcPr>
            <w:tcW w:w="4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20,000</w:t>
            </w: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3,333,334 shares of the Company’s common stock issued at Closing</w:t>
            </w:r>
          </w:p>
        </w:tc>
        <w:tc>
          <w:tcPr>
            <w:tcW w:w="4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5,700</w:t>
            </w:r>
          </w:p>
        </w:tc>
      </w:tr>
      <w:tr>
        <w:trPr>
          <w:trHeight w:val="196"/>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Contingent consideration arrangement – up to 6,666,666 shares of the Company’s common stock to be issued</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11,400</w:t>
            </w:r>
          </w:p>
        </w:tc>
      </w:tr>
      <w:tr>
        <w:trPr>
          <w:trHeight w:val="185"/>
        </w:trPr>
        <w:tc>
          <w:tcPr>
            <w:tcW w:w="10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Fair value of total consideration transferred</w:t>
            </w: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fair values of assets acquired and liabilities assumed are based upon a provisional valuation of the assets acquired and liabilities assumed, and the Company’s estimates and assumptions are subject to change within the measurement period. Finalization of the fair values remains open for the components of working capital, identification and valuation of intangibles and allocation of goodwill.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The following table summarizes the provisional fair value of identifiable assets acquired and liabilities assumed </w:t>
            </w:r>
            <w:r>
              <w:rPr>
                <w:rFonts w:ascii="Times New Roman" w:cs="Times New Roman" w:eastAsia="Times New Roman" w:hAnsi="Times New Roman"/>
                <w:sz w:val="15"/>
                <w:szCs w:val="15"/>
                <w:i w:val="1"/>
                <w:iCs w:val="1"/>
                <w:color w:val="auto"/>
              </w:rPr>
              <w:t>(in thousands):</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4"/>
        </w:trPr>
        <w:tc>
          <w:tcPr>
            <w:tcW w:w="10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assets acquired:</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receivable</w:t>
            </w: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257</w:t>
            </w: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387</w:t>
            </w: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Property and equipment</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241</w:t>
            </w: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313</w:t>
            </w: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552</w:t>
            </w: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Intangibles</w:t>
            </w:r>
          </w:p>
        </w:tc>
        <w:tc>
          <w:tcPr>
            <w:tcW w:w="3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25,922</w:t>
            </w: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Contract liabilities</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(11,073)</w:t>
            </w: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3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(184)</w:t>
            </w: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(1,322)</w:t>
            </w:r>
          </w:p>
        </w:tc>
      </w:tr>
      <w:tr>
        <w:trPr>
          <w:trHeight w:val="196"/>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(215)</w:t>
            </w:r>
          </w:p>
        </w:tc>
      </w:tr>
      <w:tr>
        <w:trPr>
          <w:trHeight w:val="202"/>
        </w:trPr>
        <w:tc>
          <w:tcPr>
            <w:tcW w:w="10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Fair value of net tangible assets acquired</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8"/>
        </w:trPr>
        <w:tc>
          <w:tcPr>
            <w:tcW w:w="10020" w:type="dxa"/>
            <w:vAlign w:val="bottom"/>
            <w:tcBorders>
              <w:bottom w:val="single" w:sz="8" w:color="CCEEFF"/>
            </w:tcBorders>
          </w:tcPr>
          <w:p>
            <w:pPr>
              <w:ind w:left="120"/>
              <w:spacing w:after="0" w:line="165" w:lineRule="exact"/>
              <w:rPr>
                <w:sz w:val="20"/>
                <w:szCs w:val="20"/>
                <w:color w:val="auto"/>
              </w:rPr>
            </w:pPr>
            <w:r>
              <w:rPr>
                <w:rFonts w:ascii="Times New Roman" w:cs="Times New Roman" w:eastAsia="Times New Roman" w:hAnsi="Times New Roman"/>
                <w:sz w:val="15"/>
                <w:szCs w:val="15"/>
                <w:color w:val="auto"/>
              </w:rPr>
              <w:t>Goodwill recognized</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42,911</w:t>
            </w:r>
          </w:p>
        </w:tc>
        <w:tc>
          <w:tcPr>
            <w:tcW w:w="100" w:type="dxa"/>
            <w:vAlign w:val="bottom"/>
            <w:tcBorders>
              <w:bottom w:val="single" w:sz="8" w:color="CCEEFF"/>
            </w:tcBorders>
          </w:tcPr>
          <w:p>
            <w:pPr>
              <w:spacing w:after="0"/>
              <w:rPr>
                <w:sz w:val="14"/>
                <w:szCs w:val="14"/>
                <w:color w:val="auto"/>
              </w:rPr>
            </w:pPr>
          </w:p>
        </w:tc>
      </w:tr>
      <w:tr>
        <w:trPr>
          <w:trHeight w:val="185"/>
        </w:trPr>
        <w:tc>
          <w:tcPr>
            <w:tcW w:w="10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Consideration transferred</w:t>
            </w: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57,789</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Goodwill represents the excess of the estimated consideration transferred over the fair value of the net tangible and intangible assets acquired that is associated with the excess cash flows that the acquisition is expected to generate in the future.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5"/>
          <w:szCs w:val="15"/>
          <w:b w:val="1"/>
          <w:bCs w:val="1"/>
          <w:i w:val="1"/>
          <w:iCs w:val="1"/>
          <w:color w:val="auto"/>
        </w:rPr>
        <w:t>Ambia Acquisition</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color w:val="auto"/>
        </w:rPr>
        <w:t>On November 21, 2025, the Company entered into a Membership Interest Purchase Agreement (the “Membership Interest Purchase Agreement”) with Ambia and Ambia Holdings, Inc., a Delaware corporation and the sole member of Ambia (“Ambia Holdings”). Ambia was the sole operating entity within Ambia Holdings.</w:t>
      </w:r>
    </w:p>
    <w:p>
      <w:pPr>
        <w:spacing w:after="0" w:line="1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Ambia and Ambia Holdings completed the closing under the Membership Interest Purchase Agreement (the “Ambia Closing”) on November 21, 2025. At the Ambia Closing, the Company acquired all of the outstanding membership interests of Ambia from Ambia Holdings for: (a) 10,243,924 shares (the “Ambia Closing Consideration Shares”) of common stock of the Company, issued at the Ambia Closing to Ambia Holdings; and (b) the agreement to issue an additional $9.375 million of shares of the Company’s common stock on each of the six-month anniversary of the Ambia Closing and the 12-month anniversary of the Ambia Closing (such additional shares of common stock, the “Deferred Ambia Consideration Shares”). The issuance of the Deferred Ambia Consideration Shares is subject to approval by the Company’s stockholders following the Closing in accordance with the rules and regulations of the Nasdaq Stock Market (including Nasdaq Listing Rule 5635(a)).</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actual number of Deferred Ambia Consideration Shares issuable by the Company on the six- and 12-month anniversaries of the Closing will be determined based on the 20-day trailing volume-weighted average price of the Common Stock after market close on the business day immediate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Membership Interest Purchase Agreement.</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 xml:space="preserve">The Company’s closing share price for its common stock of $1.61 on November 21, 2025 was used to fair value the shares issued at the Ambia Closing. The contingent consideration was derived as the requirement to issue $18.75 million of shares in two subsequent tranches of $9.375 million per tranche. The total consideration is summarized as follows </w:t>
      </w:r>
      <w:r>
        <w:rPr>
          <w:rFonts w:ascii="Times New Roman" w:cs="Times New Roman" w:eastAsia="Times New Roman" w:hAnsi="Times New Roman"/>
          <w:sz w:val="15"/>
          <w:szCs w:val="15"/>
          <w:i w:val="1"/>
          <w:iCs w:val="1"/>
          <w:color w:val="auto"/>
        </w:rPr>
        <w:t>(in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10,243,924 shares of the Company’s common stock issued at Ambia Closing</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16,493</w:t>
            </w:r>
          </w:p>
        </w:tc>
      </w:tr>
      <w:tr>
        <w:trPr>
          <w:trHeight w:val="196"/>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Ambia Consideration Shares</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18,750</w:t>
            </w:r>
          </w:p>
        </w:tc>
      </w:tr>
      <w:tr>
        <w:trPr>
          <w:trHeight w:val="185"/>
        </w:trPr>
        <w:tc>
          <w:tcPr>
            <w:tcW w:w="10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Fair value of total consideration</w:t>
            </w: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provisional fair value of identifiable assets acquired and liabilities assumed is summarized in Note 3.B.</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Financing of the Acquisitions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SunPower Acquisition</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financed the SunPower Acquisition by issuing 7% convertible senior notes in September 2024 (the “September 2024 Notes”). The September 2024 Notes mature on July 1, 2029 and are convertible into the Company’s common stock at the option of the holder at a conversion rate of $2.14 per share. The September 2024 Notes will become immediately due and payable at the option of the holder in the event of default and upon a qualifying change of control event. The principal amount of the September 2024 Notes was $66.8 million and debt issuance costs of $66.8 million. In addition to the 7% interest, debt issuance costs are being amortized on a straight-line basis over the term of the September 2024 Notes.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5"/>
          <w:szCs w:val="15"/>
          <w:u w:val="single" w:color="auto"/>
          <w:color w:val="auto"/>
        </w:rPr>
        <w:t>Sunder Acquisition</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acquisition of Sunder was financed as follows: (i) on September 21, 2025, the Company issued $22.0 million of 7% senior unsecured convertible notes (the “September 2025 Notes”), (ii) at closing on September 24, 2025, the Company issued a $20.0 million note to the sellers of Sunder (the “Seller Note”) and (iii) also at closing the Company agreed to issue 10.0 million shares of the Company’s stock which had a fair value of $17.1 million at the closing date of the Sunder acquisition.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September 2025 Notes were issued pursuant to an Indenture agreement with U.S. Bank Trust Company, National Association, as trustee (the “Indenture”). The September 2025 Notes issued under the Indenture bear interest at 7.0% per annum, and the interest is payable semiannually in arrears on January 1 and July 1 of each year beginning on January 1, 2025. The principal is payable in full at maturity on July 1, 2029. The September 2025 Notes are convertible into shares of the Company’s common stock at the option of the holder at a conversion rate of $2.14 per common share. Holders of the September 2025 Notes may convert at any time. The September 2025 Notes may be declared due and payable at the option of the holder upon an event of default and upon a qualifying change of control event.</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Company concluded that since the sellers joined the Company and have a level of influence that is not insignificant, they are related parties of the Company and therefore the Seller Note is a related party obligation.</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Sunder Acquisition was also financed through the issuance of shares of the Company’s common stock. The Company agreed to issue 10.0 million shares of the Company’s common stock (valued at the closing share price on September 24, 2025, of $1.71 per share). At closing the Company issued 3,333,334 shares of the Company’s common stock and subject to approval of such issuances by the Company’s stockholders, the Company will issue an additional 3,333,333 shares of the Company’s common stock to be issued on the 12-month anniversary of the Closing and (y) a further 3,333,333 shares of the Company’s common stock to be issued on the 18-month anniversary of the Closing (“Deferred Consideration Shares”). In lieu of issuing the Deferred Consideration Shares, the Company, in its sole discretion, may elect to pay the Member a cash payment equal to the number of Deferred Consideration Shares otherwise issuable by the Company multiplied by the volume-weighted average price of the Company’s common stock as quoted on Nasdaq for the 30-trading day period ending two business days prior to the date on which the applicable Deferred Consideration Shares were otherwise issuable (“Cash in Lieu Amount”). If the Company elects to pay the Cash in Lieu Amount, 50% of the Cash in Lieu Amount will be paid on the three-month anniversary of the date on which the applicable Deferred Consideration Shares were otherwise issuable, with the remaining 50% of the Cash in Lieu Amount payable on the 6 month anniversary of the date on which the applicable Deferred Consideration Shares were otherwise issuable. The shares of the Company’s common stock were valued at $17.1 million at the date of acquisition. The deferred consideration paid and payable in connection with the Sunder acquisition was accounted for on the Company’s balance sheet as of September 28, 2025, as (i) $5.7 million within Additional paid-in capital, (ii) $5.7 million within Accrued expenses and other current liabilities, and (iii) $5.7 million within Other long-term liabilities. The transaction adjustments within the pro forma results of operations for the thirty-nine weeks ended September 28, 2025 and fiscal year ended December 29, 2024 present the shares of common stock issuable in connection with the Sunder acquisition Refer to Note 4.I within the Transaction Adjustments in the pro forma results of operations for the periods presented.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24" w:name="page325"/>
    <w:bookmarkEnd w:id="324"/>
    <w:p>
      <w:pPr>
        <w:ind w:left="9"/>
        <w:spacing w:after="0"/>
        <w:rPr>
          <w:sz w:val="20"/>
          <w:szCs w:val="20"/>
          <w:color w:val="auto"/>
        </w:rPr>
      </w:pPr>
      <w:r>
        <w:rPr>
          <w:rFonts w:ascii="Times New Roman" w:cs="Times New Roman" w:eastAsia="Times New Roman" w:hAnsi="Times New Roman"/>
          <w:sz w:val="15"/>
          <w:szCs w:val="15"/>
          <w:u w:val="single" w:color="auto"/>
          <w:color w:val="auto"/>
        </w:rPr>
        <w:t>Ambia Acquisition</w:t>
      </w:r>
    </w:p>
    <w:p>
      <w:pPr>
        <w:spacing w:after="0" w:line="192" w:lineRule="exact"/>
        <w:rPr>
          <w:sz w:val="20"/>
          <w:szCs w:val="20"/>
          <w:color w:val="auto"/>
        </w:rPr>
      </w:pPr>
    </w:p>
    <w:p>
      <w:pPr>
        <w:jc w:val="both"/>
        <w:ind w:left="9" w:right="20"/>
        <w:spacing w:after="0" w:line="270" w:lineRule="auto"/>
        <w:rPr>
          <w:sz w:val="20"/>
          <w:szCs w:val="20"/>
          <w:color w:val="auto"/>
        </w:rPr>
      </w:pPr>
      <w:r>
        <w:rPr>
          <w:rFonts w:ascii="Times New Roman" w:cs="Times New Roman" w:eastAsia="Times New Roman" w:hAnsi="Times New Roman"/>
          <w:sz w:val="15"/>
          <w:szCs w:val="15"/>
          <w:color w:val="auto"/>
        </w:rPr>
        <w:t>The Ambia Acquisition was consummated through the issuance of shares of the Company’s common stock. At the Ambia Closing the Company paid initial consideration through the issuance of 10,243,924 shares of the Company’s common stock, a non-cash transaction. The Deferred Ambia Consideration Shares will also be paid in shares of the Company’s common stock.</w:t>
      </w:r>
    </w:p>
    <w:p>
      <w:pPr>
        <w:spacing w:after="0" w:line="142" w:lineRule="exact"/>
        <w:rPr>
          <w:sz w:val="20"/>
          <w:szCs w:val="20"/>
          <w:color w:val="auto"/>
        </w:rPr>
      </w:pPr>
    </w:p>
    <w:p>
      <w:pPr>
        <w:ind w:left="269" w:hanging="269"/>
        <w:spacing w:after="0"/>
        <w:tabs>
          <w:tab w:leader="none" w:pos="269" w:val="left"/>
        </w:tabs>
        <w:numPr>
          <w:ilvl w:val="0"/>
          <w:numId w:val="1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Sunder Year to Date Results through September 23, 2025</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historical pro forma results of Sunder for the period January 1, 2025 through September 23, 2025 were derived from the unaudited financial statements for the six months ended</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 xml:space="preserve">June 30, 2025 and interim results of operations for the period from July 1, 2025 through September 23, 2025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173"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rPr>
              <w:t>July 1,</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7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22"/>
              <w:spacing w:after="0"/>
              <w:rPr>
                <w:sz w:val="20"/>
                <w:szCs w:val="20"/>
                <w:color w:val="auto"/>
              </w:rPr>
            </w:pPr>
            <w:r>
              <w:rPr>
                <w:rFonts w:ascii="Times New Roman" w:cs="Times New Roman" w:eastAsia="Times New Roman" w:hAnsi="Times New Roman"/>
                <w:sz w:val="15"/>
                <w:szCs w:val="15"/>
                <w:b w:val="1"/>
                <w:bCs w:val="1"/>
                <w:color w:val="auto"/>
              </w:rPr>
              <w:t>Six Months</w:t>
            </w:r>
          </w:p>
        </w:tc>
        <w:tc>
          <w:tcPr>
            <w:tcW w:w="100" w:type="dxa"/>
            <w:vAlign w:val="bottom"/>
          </w:tcPr>
          <w:p>
            <w:pPr>
              <w:spacing w:after="0"/>
              <w:rPr>
                <w:sz w:val="15"/>
                <w:szCs w:val="15"/>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Year to Date</w:t>
            </w:r>
          </w:p>
        </w:tc>
      </w:tr>
      <w:tr>
        <w:trPr>
          <w:trHeight w:val="182"/>
        </w:trPr>
        <w:tc>
          <w:tcPr>
            <w:tcW w:w="7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62"/>
              <w:spacing w:after="0"/>
              <w:rPr>
                <w:sz w:val="20"/>
                <w:szCs w:val="20"/>
                <w:color w:val="auto"/>
              </w:rPr>
            </w:pPr>
            <w:r>
              <w:rPr>
                <w:rFonts w:ascii="Times New Roman" w:cs="Times New Roman" w:eastAsia="Times New Roman" w:hAnsi="Times New Roman"/>
                <w:sz w:val="15"/>
                <w:szCs w:val="15"/>
                <w:b w:val="1"/>
                <w:bCs w:val="1"/>
                <w:color w:val="auto"/>
              </w:rPr>
              <w:t>Ended</w:t>
            </w:r>
          </w:p>
        </w:tc>
        <w:tc>
          <w:tcPr>
            <w:tcW w:w="100" w:type="dxa"/>
            <w:vAlign w:val="bottom"/>
          </w:tcPr>
          <w:p>
            <w:pPr>
              <w:spacing w:after="0"/>
              <w:rPr>
                <w:sz w:val="15"/>
                <w:szCs w:val="15"/>
                <w:color w:val="auto"/>
              </w:rPr>
            </w:pPr>
          </w:p>
        </w:tc>
        <w:tc>
          <w:tcPr>
            <w:tcW w:w="126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8"/>
              </w:rPr>
              <w:t>thru</w:t>
            </w:r>
          </w:p>
        </w:tc>
        <w:tc>
          <w:tcPr>
            <w:tcW w:w="80" w:type="dxa"/>
            <w:vAlign w:val="bottom"/>
          </w:tcPr>
          <w:p>
            <w:pPr>
              <w:spacing w:after="0"/>
              <w:rPr>
                <w:sz w:val="15"/>
                <w:szCs w:val="15"/>
                <w:color w:val="auto"/>
              </w:rPr>
            </w:pP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Through</w:t>
            </w:r>
          </w:p>
        </w:tc>
      </w:tr>
      <w:tr>
        <w:trPr>
          <w:trHeight w:val="182"/>
        </w:trPr>
        <w:tc>
          <w:tcPr>
            <w:tcW w:w="7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22"/>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Pr>
          <w:p>
            <w:pPr>
              <w:spacing w:after="0"/>
              <w:rPr>
                <w:sz w:val="15"/>
                <w:szCs w:val="15"/>
                <w:color w:val="auto"/>
              </w:rPr>
            </w:pPr>
          </w:p>
        </w:tc>
        <w:tc>
          <w:tcPr>
            <w:tcW w:w="1260" w:type="dxa"/>
            <w:vAlign w:val="bottom"/>
            <w:gridSpan w:val="2"/>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September 23,</w:t>
            </w:r>
          </w:p>
        </w:tc>
        <w:tc>
          <w:tcPr>
            <w:tcW w:w="8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September 23,</w:t>
            </w:r>
          </w:p>
        </w:tc>
      </w:tr>
      <w:tr>
        <w:trPr>
          <w:trHeight w:val="203"/>
        </w:trPr>
        <w:tc>
          <w:tcPr>
            <w:tcW w:w="7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40,012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16,072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Sales commissions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33,339</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12,276</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45,615</w:t>
            </w:r>
          </w:p>
        </w:tc>
        <w:tc>
          <w:tcPr>
            <w:tcW w:w="80" w:type="dxa"/>
            <w:vAlign w:val="bottom"/>
            <w:shd w:val="clear" w:color="auto" w:fill="CCEEFF"/>
          </w:tcPr>
          <w:p>
            <w:pPr>
              <w:spacing w:after="0"/>
              <w:rPr>
                <w:sz w:val="15"/>
                <w:szCs w:val="15"/>
                <w:color w:val="auto"/>
              </w:rPr>
            </w:pPr>
          </w:p>
        </w:tc>
      </w:tr>
      <w:tr>
        <w:trPr>
          <w:trHeight w:val="182"/>
        </w:trPr>
        <w:tc>
          <w:tcPr>
            <w:tcW w:w="7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Sales and marketing</w:t>
            </w:r>
          </w:p>
        </w:tc>
        <w:tc>
          <w:tcPr>
            <w:tcW w:w="140" w:type="dxa"/>
            <w:vAlign w:val="bottom"/>
          </w:tcPr>
          <w:p>
            <w:pPr>
              <w:spacing w:after="0"/>
              <w:rPr>
                <w:sz w:val="15"/>
                <w:szCs w:val="15"/>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771</w:t>
            </w:r>
          </w:p>
        </w:tc>
        <w:tc>
          <w:tcPr>
            <w:tcW w:w="10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480</w:t>
            </w:r>
          </w:p>
        </w:tc>
        <w:tc>
          <w:tcPr>
            <w:tcW w:w="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1,251</w:t>
            </w:r>
          </w:p>
        </w:tc>
        <w:tc>
          <w:tcPr>
            <w:tcW w:w="80" w:type="dxa"/>
            <w:vAlign w:val="bottom"/>
          </w:tcPr>
          <w:p>
            <w:pPr>
              <w:spacing w:after="0"/>
              <w:rPr>
                <w:sz w:val="15"/>
                <w:szCs w:val="15"/>
                <w:color w:val="auto"/>
              </w:rPr>
            </w:pPr>
          </w:p>
        </w:tc>
      </w:tr>
      <w:tr>
        <w:trPr>
          <w:trHeight w:val="213"/>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11,458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4,458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15,916</w:t>
            </w:r>
          </w:p>
        </w:tc>
        <w:tc>
          <w:tcPr>
            <w:tcW w:w="80" w:type="dxa"/>
            <w:vAlign w:val="bottom"/>
            <w:shd w:val="clear" w:color="auto" w:fill="CCEEFF"/>
          </w:tcPr>
          <w:p>
            <w:pPr>
              <w:spacing w:after="0"/>
              <w:rPr>
                <w:sz w:val="18"/>
                <w:szCs w:val="18"/>
                <w:color w:val="auto"/>
              </w:rPr>
            </w:pPr>
          </w:p>
        </w:tc>
      </w:tr>
      <w:tr>
        <w:trPr>
          <w:trHeight w:val="168"/>
        </w:trPr>
        <w:tc>
          <w:tcPr>
            <w:tcW w:w="732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operating expenses</w:t>
            </w: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45,568</w:t>
            </w:r>
          </w:p>
        </w:tc>
        <w:tc>
          <w:tcPr>
            <w:tcW w:w="2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17,214</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62,782</w:t>
            </w:r>
          </w:p>
        </w:tc>
        <w:tc>
          <w:tcPr>
            <w:tcW w:w="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r>
      <w:tr>
        <w:trPr>
          <w:trHeight w:val="202"/>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(5,556</w:t>
            </w:r>
          </w:p>
        </w:tc>
        <w:tc>
          <w:tcPr>
            <w:tcW w:w="2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w:t>
            </w:r>
          </w:p>
        </w:tc>
        <w:tc>
          <w:tcPr>
            <w:tcW w:w="22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(6,698</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65"/>
        </w:trPr>
        <w:tc>
          <w:tcPr>
            <w:tcW w:w="732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tcPr>
          <w:p>
            <w:pPr>
              <w:spacing w:after="0"/>
              <w:rPr>
                <w:sz w:val="14"/>
                <w:szCs w:val="14"/>
                <w:color w:val="auto"/>
              </w:rPr>
            </w:pPr>
          </w:p>
        </w:tc>
        <w:tc>
          <w:tcPr>
            <w:tcW w:w="100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(168)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(78)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(246)</w:t>
            </w:r>
          </w:p>
        </w:tc>
        <w:tc>
          <w:tcPr>
            <w:tcW w:w="100" w:type="dxa"/>
            <w:vAlign w:val="bottom"/>
            <w:gridSpan w:val="2"/>
          </w:tcPr>
          <w:p>
            <w:pPr>
              <w:spacing w:after="0"/>
              <w:rPr>
                <w:sz w:val="14"/>
                <w:szCs w:val="14"/>
                <w:color w:val="auto"/>
              </w:rPr>
            </w:pPr>
          </w:p>
        </w:tc>
      </w:tr>
      <w:tr>
        <w:trPr>
          <w:trHeight w:val="18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5"/>
                <w:szCs w:val="15"/>
                <w:color w:val="auto"/>
              </w:rPr>
            </w:pPr>
          </w:p>
        </w:tc>
      </w:tr>
      <w:tr>
        <w:trPr>
          <w:trHeight w:val="196"/>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140" w:type="dxa"/>
            <w:vAlign w:val="bottom"/>
          </w:tcPr>
          <w:p>
            <w:pPr>
              <w:spacing w:after="0"/>
              <w:rPr>
                <w:sz w:val="17"/>
                <w:szCs w:val="17"/>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12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310</w:t>
            </w:r>
          </w:p>
        </w:tc>
        <w:tc>
          <w:tcPr>
            <w:tcW w:w="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80" w:type="dxa"/>
            <w:vAlign w:val="bottom"/>
          </w:tcPr>
          <w:p>
            <w:pPr>
              <w:spacing w:after="0"/>
              <w:rPr>
                <w:sz w:val="17"/>
                <w:szCs w:val="17"/>
                <w:color w:val="auto"/>
              </w:rPr>
            </w:pPr>
          </w:p>
        </w:tc>
      </w:tr>
      <w:tr>
        <w:trPr>
          <w:trHeight w:val="202"/>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165"/>
        </w:trPr>
        <w:tc>
          <w:tcPr>
            <w:tcW w:w="732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Loss from before income taxes</w:t>
            </w:r>
          </w:p>
        </w:tc>
        <w:tc>
          <w:tcPr>
            <w:tcW w:w="140" w:type="dxa"/>
            <w:vAlign w:val="bottom"/>
          </w:tcPr>
          <w:p>
            <w:pPr>
              <w:spacing w:after="0"/>
              <w:rPr>
                <w:sz w:val="14"/>
                <w:szCs w:val="14"/>
                <w:color w:val="auto"/>
              </w:rPr>
            </w:pPr>
          </w:p>
        </w:tc>
        <w:tc>
          <w:tcPr>
            <w:tcW w:w="100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(5,681)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(907)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(6,588)</w:t>
            </w:r>
          </w:p>
        </w:tc>
        <w:tc>
          <w:tcPr>
            <w:tcW w:w="100" w:type="dxa"/>
            <w:vAlign w:val="bottom"/>
            <w:gridSpan w:val="2"/>
          </w:tcPr>
          <w:p>
            <w:pPr>
              <w:spacing w:after="0"/>
              <w:rPr>
                <w:sz w:val="14"/>
                <w:szCs w:val="14"/>
                <w:color w:val="auto"/>
              </w:rPr>
            </w:pPr>
          </w:p>
        </w:tc>
      </w:tr>
      <w:tr>
        <w:trPr>
          <w:trHeight w:val="21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(provision) benefit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r>
      <w:tr>
        <w:trPr>
          <w:trHeight w:val="168"/>
        </w:trPr>
        <w:tc>
          <w:tcPr>
            <w:tcW w:w="732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Net loss</w:t>
            </w:r>
          </w:p>
        </w:tc>
        <w:tc>
          <w:tcPr>
            <w:tcW w:w="1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(5,681</w:t>
            </w:r>
          </w:p>
        </w:tc>
        <w:tc>
          <w:tcPr>
            <w:tcW w:w="220" w:type="dxa"/>
            <w:vAlign w:val="bottom"/>
            <w:tcBorders>
              <w:top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(907</w:t>
            </w:r>
          </w:p>
        </w:tc>
        <w:tc>
          <w:tcPr>
            <w:tcW w:w="220" w:type="dxa"/>
            <w:vAlign w:val="bottom"/>
            <w:tcBorders>
              <w:top w:val="single" w:sz="8" w:color="CCEEFF"/>
            </w:tcBorders>
          </w:tcPr>
          <w:p>
            <w:pPr>
              <w:jc w:val="right"/>
              <w:ind w:right="8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(6,588</w:t>
            </w:r>
          </w:p>
        </w:tc>
        <w:tc>
          <w:tcPr>
            <w:tcW w:w="10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historical pro forma results of Sunder for the year ended 2024 were derived from Sunder’s audited financial statements.</w:t>
      </w:r>
    </w:p>
    <w:p>
      <w:pPr>
        <w:spacing w:after="0" w:line="188" w:lineRule="exact"/>
        <w:rPr>
          <w:sz w:val="20"/>
          <w:szCs w:val="20"/>
          <w:color w:val="auto"/>
        </w:rPr>
      </w:pPr>
    </w:p>
    <w:p>
      <w:pPr>
        <w:ind w:left="269" w:hanging="269"/>
        <w:spacing w:after="0"/>
        <w:tabs>
          <w:tab w:leader="none" w:pos="269" w:val="left"/>
        </w:tabs>
        <w:numPr>
          <w:ilvl w:val="0"/>
          <w:numId w:val="1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Notes to the Unaudited Pro Forma Balance Sheet</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following adjustments were made related to the unaudited pro forma combined balance sheet as of September 28, 2025 for the acquisition of Ambia:</w:t>
      </w:r>
    </w:p>
    <w:p>
      <w:pPr>
        <w:spacing w:after="0" w:line="192" w:lineRule="exact"/>
        <w:rPr>
          <w:sz w:val="20"/>
          <w:szCs w:val="20"/>
          <w:color w:val="auto"/>
        </w:rPr>
      </w:pPr>
    </w:p>
    <w:p>
      <w:pPr>
        <w:ind w:left="5449" w:right="3620" w:hanging="5176"/>
        <w:spacing w:after="0" w:line="794" w:lineRule="auto"/>
        <w:tabs>
          <w:tab w:leader="none" w:pos="543"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Reclassification adjustments to conform the Ambia balance sheet accounts to the Company’s balance sheet accounts. F-189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53910" cy="146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307" w:right="319" w:bottom="1440" w:gutter="0" w:footer="0" w:header="0"/>
        </w:sectPr>
      </w:pPr>
    </w:p>
    <w:bookmarkStart w:id="325" w:name="page326"/>
    <w:bookmarkEnd w:id="325"/>
    <w:p>
      <w:pPr>
        <w:jc w:val="both"/>
        <w:ind w:left="549" w:hanging="276"/>
        <w:spacing w:after="0" w:line="259" w:lineRule="auto"/>
        <w:tabs>
          <w:tab w:leader="none" w:pos="549"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Reflects the $35.2 million of stock consideration to consummate the Ambia Acquisition. Ambia’s closing balance sheet as of September 30, 2025 was used as a proxy to derive the pro forma balance sheet of SunPower inclusive of the acquisition of Ambia. Per ASC 805, the historical deferred commissions balance of $1.1 million on Ambia’s closing balance sheet is not included as an asset in the determination of assets acquired and is eliminated as shown in the transaction adjustments to derive the pro forma balance sheet. In addition, the deferred costs on Ambia’s historical balance sheet includes costs that the Company accounts for as inventory and therefore, the Company has classified such deferred costs as inventory in the provisional allocation of the purchase price and on the pro forma balance sheet. Based on Ambia’s closing balance sheet of September 30, 2025 and the consideration transferred, the pro forma balance sheet reflects excess consideration of $44.6 million which is presented as goodwill in the Company’s pro forma balance sheet. The following table summarizes the provisional fair value of the identifiable assets acquired and liabilities assumed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15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10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assets as of September 30, 2025</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80" w:type="dxa"/>
            <w:vAlign w:val="bottom"/>
            <w:shd w:val="clear" w:color="auto" w:fill="CCEEFF"/>
          </w:tcPr>
          <w:p>
            <w:pPr>
              <w:spacing w:after="0"/>
              <w:rPr>
                <w:sz w:val="15"/>
                <w:szCs w:val="15"/>
                <w:color w:val="auto"/>
              </w:rPr>
            </w:pP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receivable, net</w:t>
            </w:r>
          </w:p>
        </w:tc>
        <w:tc>
          <w:tcPr>
            <w:tcW w:w="4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1,293</w:t>
            </w:r>
          </w:p>
        </w:tc>
        <w:tc>
          <w:tcPr>
            <w:tcW w:w="80" w:type="dxa"/>
            <w:vAlign w:val="bottom"/>
          </w:tcPr>
          <w:p>
            <w:pPr>
              <w:spacing w:after="0"/>
              <w:rPr>
                <w:sz w:val="15"/>
                <w:szCs w:val="15"/>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Contract assets - unbilled receivables</w:t>
            </w:r>
          </w:p>
        </w:tc>
        <w:tc>
          <w:tcPr>
            <w:tcW w:w="4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5,716</w:t>
            </w:r>
          </w:p>
        </w:tc>
        <w:tc>
          <w:tcPr>
            <w:tcW w:w="80" w:type="dxa"/>
            <w:vAlign w:val="bottom"/>
            <w:shd w:val="clear" w:color="auto" w:fill="CCEEFF"/>
          </w:tcPr>
          <w:p>
            <w:pPr>
              <w:spacing w:after="0"/>
              <w:rPr>
                <w:sz w:val="15"/>
                <w:szCs w:val="15"/>
                <w:color w:val="auto"/>
              </w:rPr>
            </w:pP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Inventories</w:t>
            </w:r>
          </w:p>
        </w:tc>
        <w:tc>
          <w:tcPr>
            <w:tcW w:w="4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3,943</w:t>
            </w:r>
          </w:p>
        </w:tc>
        <w:tc>
          <w:tcPr>
            <w:tcW w:w="80" w:type="dxa"/>
            <w:vAlign w:val="bottom"/>
          </w:tcPr>
          <w:p>
            <w:pPr>
              <w:spacing w:after="0"/>
              <w:rPr>
                <w:sz w:val="15"/>
                <w:szCs w:val="15"/>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4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2,410</w:t>
            </w:r>
          </w:p>
        </w:tc>
        <w:tc>
          <w:tcPr>
            <w:tcW w:w="80" w:type="dxa"/>
            <w:vAlign w:val="bottom"/>
            <w:shd w:val="clear" w:color="auto" w:fill="CCEEFF"/>
          </w:tcPr>
          <w:p>
            <w:pPr>
              <w:spacing w:after="0"/>
              <w:rPr>
                <w:sz w:val="15"/>
                <w:szCs w:val="15"/>
                <w:color w:val="auto"/>
              </w:rPr>
            </w:pP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4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Pr>
          <w:p>
            <w:pPr>
              <w:spacing w:after="0"/>
              <w:rPr>
                <w:sz w:val="15"/>
                <w:szCs w:val="15"/>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4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2,856</w:t>
            </w:r>
          </w:p>
        </w:tc>
        <w:tc>
          <w:tcPr>
            <w:tcW w:w="80" w:type="dxa"/>
            <w:vAlign w:val="bottom"/>
            <w:shd w:val="clear" w:color="auto" w:fill="CCEEFF"/>
          </w:tcPr>
          <w:p>
            <w:pPr>
              <w:spacing w:after="0"/>
              <w:rPr>
                <w:sz w:val="15"/>
                <w:szCs w:val="15"/>
                <w:color w:val="auto"/>
              </w:rPr>
            </w:pP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4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80" w:type="dxa"/>
            <w:vAlign w:val="bottom"/>
          </w:tcPr>
          <w:p>
            <w:pPr>
              <w:spacing w:after="0"/>
              <w:rPr>
                <w:sz w:val="15"/>
                <w:szCs w:val="15"/>
                <w:color w:val="auto"/>
              </w:rPr>
            </w:pP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4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(2,489)</w:t>
            </w: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 due to related party</w:t>
            </w:r>
          </w:p>
        </w:tc>
        <w:tc>
          <w:tcPr>
            <w:tcW w:w="40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(294)</w:t>
            </w: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4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(5,063)</w:t>
            </w: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Contract liabilities</w:t>
            </w:r>
          </w:p>
        </w:tc>
        <w:tc>
          <w:tcPr>
            <w:tcW w:w="40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(7,702)</w:t>
            </w:r>
          </w:p>
        </w:tc>
      </w:tr>
      <w:tr>
        <w:trPr>
          <w:trHeight w:val="182"/>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Notes payable and lines of credit due to related parties</w:t>
            </w:r>
          </w:p>
        </w:tc>
        <w:tc>
          <w:tcPr>
            <w:tcW w:w="4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(9,815)</w:t>
            </w:r>
          </w:p>
        </w:tc>
      </w:tr>
      <w:tr>
        <w:trPr>
          <w:trHeight w:val="182"/>
        </w:trPr>
        <w:tc>
          <w:tcPr>
            <w:tcW w:w="10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40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(2,146)</w:t>
            </w:r>
          </w:p>
        </w:tc>
      </w:tr>
      <w:tr>
        <w:trPr>
          <w:trHeight w:val="213"/>
        </w:trPr>
        <w:tc>
          <w:tcPr>
            <w:tcW w:w="10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(986)</w:t>
            </w:r>
          </w:p>
        </w:tc>
      </w:tr>
      <w:tr>
        <w:trPr>
          <w:trHeight w:val="168"/>
        </w:trPr>
        <w:tc>
          <w:tcPr>
            <w:tcW w:w="1002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w:t>
            </w:r>
          </w:p>
        </w:tc>
        <w:tc>
          <w:tcPr>
            <w:tcW w:w="4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(9,375</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of common stock issued (APIC)</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Fair value of Deferred Ambia Consideration Shares (Accrued expenses and other current liabilities)</w:t>
            </w:r>
          </w:p>
        </w:tc>
        <w:tc>
          <w:tcPr>
            <w:tcW w:w="4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18,750</w:t>
            </w:r>
          </w:p>
        </w:tc>
        <w:tc>
          <w:tcPr>
            <w:tcW w:w="80" w:type="dxa"/>
            <w:vAlign w:val="bottom"/>
          </w:tcPr>
          <w:p>
            <w:pPr>
              <w:spacing w:after="0"/>
              <w:rPr>
                <w:sz w:val="17"/>
                <w:szCs w:val="17"/>
                <w:color w:val="auto"/>
              </w:rPr>
            </w:pPr>
          </w:p>
        </w:tc>
      </w:tr>
      <w:tr>
        <w:trPr>
          <w:trHeight w:val="202"/>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consideration</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35,243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8"/>
        </w:trPr>
        <w:tc>
          <w:tcPr>
            <w:tcW w:w="1002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Goodwill</w:t>
            </w:r>
          </w:p>
        </w:tc>
        <w:tc>
          <w:tcPr>
            <w:tcW w:w="400" w:type="dxa"/>
            <w:vAlign w:val="bottom"/>
            <w:tcBorders>
              <w:bottom w:val="single" w:sz="8" w:color="auto"/>
            </w:tcBorders>
          </w:tcPr>
          <w:p>
            <w:pPr>
              <w:jc w:val="right"/>
              <w:ind w:right="2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44,618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549"/>
        <w:spacing w:after="0" w:line="264" w:lineRule="auto"/>
        <w:rPr>
          <w:sz w:val="20"/>
          <w:szCs w:val="20"/>
          <w:color w:val="auto"/>
        </w:rPr>
      </w:pPr>
      <w:r>
        <w:rPr>
          <w:rFonts w:ascii="Times New Roman" w:cs="Times New Roman" w:eastAsia="Times New Roman" w:hAnsi="Times New Roman"/>
          <w:sz w:val="15"/>
          <w:szCs w:val="15"/>
          <w:color w:val="auto"/>
        </w:rPr>
        <w:t>As Ambia’s historical balance sheet as of September 30, 2025 was used to estimate the provisional fair values of the assets acquired and liabilities assumed, no intangible assets are included in the preliminary purchase price allocation, and therefore no amortization expense is included in the pro forma transaction adjustments for the Ambia Acquisition. The Company may recognize intangible assets as it updates the purchase price allocation during the measurement period, which would increase amortization expense, net loss from continuing operations, and net loss per share.</w:t>
      </w:r>
    </w:p>
    <w:p>
      <w:pPr>
        <w:spacing w:after="0" w:line="147" w:lineRule="exact"/>
        <w:rPr>
          <w:sz w:val="20"/>
          <w:szCs w:val="20"/>
          <w:color w:val="auto"/>
        </w:rPr>
      </w:pPr>
    </w:p>
    <w:p>
      <w:pPr>
        <w:ind w:left="269" w:hanging="269"/>
        <w:spacing w:after="0"/>
        <w:tabs>
          <w:tab w:leader="none" w:pos="269" w:val="left"/>
        </w:tabs>
        <w:numPr>
          <w:ilvl w:val="0"/>
          <w:numId w:val="1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Notes to the Unaudited Pro Forma Combined Statements of Operations</w:t>
      </w:r>
    </w:p>
    <w:p>
      <w:pPr>
        <w:spacing w:after="0" w:line="1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The pro forma adjustments included in the unaudited pro forma combined statements of operations for the fiscal year ended December 29, 2024 and the thirty-nine week period ended</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September 28, 2025, are as follows:</w:t>
      </w:r>
    </w:p>
    <w:p>
      <w:pPr>
        <w:spacing w:after="0" w:line="173" w:lineRule="exact"/>
        <w:rPr>
          <w:sz w:val="20"/>
          <w:szCs w:val="20"/>
          <w:color w:val="auto"/>
        </w:rPr>
      </w:pPr>
    </w:p>
    <w:p>
      <w:pPr>
        <w:ind w:left="269"/>
        <w:spacing w:after="0"/>
        <w:tabs>
          <w:tab w:leader="none" w:pos="529" w:val="left"/>
        </w:tabs>
        <w:rPr>
          <w:sz w:val="20"/>
          <w:szCs w:val="20"/>
          <w:color w:val="auto"/>
        </w:rPr>
      </w:pPr>
      <w:r>
        <w:rPr>
          <w:rFonts w:ascii="Times New Roman" w:cs="Times New Roman" w:eastAsia="Times New Roman" w:hAnsi="Times New Roman"/>
          <w:sz w:val="15"/>
          <w:szCs w:val="15"/>
          <w:color w:val="auto"/>
        </w:rPr>
        <w:t>C.</w:t>
        <w:tab/>
        <w:t xml:space="preserve">As of the acquisition date, the provisional components of Sunder intangibles acquired and their useful lives were as follows </w:t>
      </w:r>
      <w:r>
        <w:rPr>
          <w:rFonts w:ascii="Times New Roman" w:cs="Times New Roman" w:eastAsia="Times New Roman" w:hAnsi="Times New Roman"/>
          <w:sz w:val="15"/>
          <w:szCs w:val="15"/>
          <w:i w:val="1"/>
          <w:iCs w:val="1"/>
          <w:color w:val="auto"/>
        </w:rPr>
        <w:t>(in thousands):</w:t>
      </w:r>
    </w:p>
    <w:p>
      <w:pPr>
        <w:spacing w:after="0" w:line="192"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36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Estimated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useful life</w:t>
            </w:r>
          </w:p>
        </w:tc>
        <w:tc>
          <w:tcPr>
            <w:tcW w:w="20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0" w:type="dxa"/>
            <w:vAlign w:val="bottom"/>
          </w:tcPr>
          <w:p>
            <w:pPr>
              <w:spacing w:after="0"/>
              <w:rPr>
                <w:sz w:val="1"/>
                <w:szCs w:val="1"/>
                <w:color w:val="auto"/>
              </w:rPr>
            </w:pPr>
          </w:p>
        </w:tc>
      </w:tr>
      <w:tr>
        <w:trPr>
          <w:trHeight w:val="182"/>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related intangible</w:t>
            </w:r>
          </w:p>
        </w:tc>
        <w:tc>
          <w:tcPr>
            <w:tcW w:w="50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 year</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Trademark - Sunder</w:t>
            </w:r>
          </w:p>
        </w:tc>
        <w:tc>
          <w:tcPr>
            <w:tcW w:w="500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5 years</w:t>
            </w: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2,427</w:t>
            </w:r>
          </w:p>
        </w:tc>
        <w:tc>
          <w:tcPr>
            <w:tcW w:w="0" w:type="dxa"/>
            <w:vAlign w:val="bottom"/>
          </w:tcPr>
          <w:p>
            <w:pPr>
              <w:spacing w:after="0"/>
              <w:rPr>
                <w:sz w:val="1"/>
                <w:szCs w:val="1"/>
                <w:color w:val="auto"/>
              </w:rPr>
            </w:pPr>
          </w:p>
        </w:tc>
      </w:tr>
      <w:tr>
        <w:trPr>
          <w:trHeight w:val="21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Developed technology - Sunder</w:t>
            </w:r>
          </w:p>
        </w:tc>
        <w:tc>
          <w:tcPr>
            <w:tcW w:w="50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5 years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14,216</w:t>
            </w:r>
          </w:p>
        </w:tc>
        <w:tc>
          <w:tcPr>
            <w:tcW w:w="0" w:type="dxa"/>
            <w:vAlign w:val="bottom"/>
          </w:tcPr>
          <w:p>
            <w:pPr>
              <w:spacing w:after="0"/>
              <w:rPr>
                <w:sz w:val="1"/>
                <w:szCs w:val="1"/>
                <w:color w:val="auto"/>
              </w:rPr>
            </w:pPr>
          </w:p>
        </w:tc>
      </w:tr>
      <w:tr>
        <w:trPr>
          <w:trHeight w:val="168"/>
        </w:trPr>
        <w:tc>
          <w:tcPr>
            <w:tcW w:w="3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Intangible assets acquired</w:t>
            </w:r>
          </w:p>
        </w:tc>
        <w:tc>
          <w:tcPr>
            <w:tcW w:w="500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25,922</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340" w:type="dxa"/>
            <w:vAlign w:val="bottom"/>
            <w:gridSpan w:val="3"/>
            <w:vMerge w:val="restart"/>
          </w:tcPr>
          <w:p>
            <w:pPr>
              <w:ind w:left="1760"/>
              <w:spacing w:after="0"/>
              <w:rPr>
                <w:sz w:val="20"/>
                <w:szCs w:val="20"/>
                <w:color w:val="auto"/>
              </w:rPr>
            </w:pPr>
            <w:r>
              <w:rPr>
                <w:rFonts w:ascii="Times New Roman" w:cs="Times New Roman" w:eastAsia="Times New Roman" w:hAnsi="Times New Roman"/>
                <w:sz w:val="15"/>
                <w:szCs w:val="15"/>
                <w:color w:val="auto"/>
              </w:rPr>
              <w:t>F-190</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36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gridSpan w:val="3"/>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9"/>
          </w:cols>
          <w:pgMar w:left="311" w:top="307" w:right="319" w:bottom="1440" w:gutter="0" w:footer="0" w:header="0"/>
        </w:sectPr>
      </w:pPr>
    </w:p>
    <w:bookmarkStart w:id="326" w:name="page327"/>
    <w:bookmarkEnd w:id="326"/>
    <w:p>
      <w:pPr>
        <w:jc w:val="both"/>
        <w:ind w:left="540"/>
        <w:spacing w:after="0" w:line="270" w:lineRule="auto"/>
        <w:rPr>
          <w:sz w:val="20"/>
          <w:szCs w:val="20"/>
          <w:color w:val="auto"/>
        </w:rPr>
      </w:pPr>
      <w:r>
        <w:rPr>
          <w:rFonts w:ascii="Times New Roman" w:cs="Times New Roman" w:eastAsia="Times New Roman" w:hAnsi="Times New Roman"/>
          <w:sz w:val="15"/>
          <w:szCs w:val="15"/>
          <w:color w:val="auto"/>
        </w:rPr>
        <w:t xml:space="preserve">Intangible assets are amortized on a straight-line basis. This transaction adjustment reflects the pro forma amortization expense for the thirty-nine week period ended September 28, 2025, as if the acquisition occurred and corresponding intangible assets were established on January 1, 2024. The components of the pro forma amortization expense are as noted below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Thirty-Nine</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Fiscal Year</w:t>
            </w:r>
          </w:p>
        </w:tc>
      </w:tr>
      <w:tr>
        <w:trPr>
          <w:trHeight w:val="182"/>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Weeks Ended</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2"/>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29,</w:t>
            </w: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related intangible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9,279</w:t>
            </w:r>
          </w:p>
        </w:tc>
        <w:tc>
          <w:tcPr>
            <w:tcW w:w="100" w:type="dxa"/>
            <w:vAlign w:val="bottom"/>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Trademark</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364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485</w:t>
            </w: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Developed technology</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2,843</w:t>
            </w:r>
          </w:p>
        </w:tc>
      </w:tr>
      <w:tr>
        <w:trPr>
          <w:trHeight w:val="208"/>
        </w:trPr>
        <w:tc>
          <w:tcPr>
            <w:tcW w:w="8680" w:type="dxa"/>
            <w:vAlign w:val="bottom"/>
            <w:tcBorders>
              <w:top w:val="single" w:sz="8" w:color="CCEEFF"/>
              <w:bottom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pro forma amortization expense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2,496</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12,607</w:t>
            </w:r>
          </w:p>
        </w:tc>
        <w:tc>
          <w:tcPr>
            <w:tcW w:w="100" w:type="dxa"/>
            <w:vAlign w:val="bottom"/>
            <w:tcBorders>
              <w:top w:val="single" w:sz="8" w:color="CCEEFF"/>
              <w:bottom w:val="single" w:sz="8" w:color="CCEEFF"/>
            </w:tcBorders>
          </w:tcPr>
          <w:p>
            <w:pPr>
              <w:spacing w:after="0"/>
              <w:rPr>
                <w:sz w:val="18"/>
                <w:szCs w:val="18"/>
                <w:color w:val="auto"/>
              </w:rPr>
            </w:pPr>
          </w:p>
        </w:tc>
      </w:tr>
      <w:tr>
        <w:trPr>
          <w:trHeight w:val="17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Classified within cost of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2,843</w:t>
            </w:r>
          </w:p>
        </w:tc>
        <w:tc>
          <w:tcPr>
            <w:tcW w:w="100" w:type="dxa"/>
            <w:vAlign w:val="bottom"/>
            <w:shd w:val="clear" w:color="auto" w:fill="CCEEFF"/>
          </w:tcPr>
          <w:p>
            <w:pPr>
              <w:spacing w:after="0"/>
              <w:rPr>
                <w:sz w:val="15"/>
                <w:szCs w:val="15"/>
                <w:color w:val="auto"/>
              </w:rPr>
            </w:pP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Classified within general and administrative expense</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364</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9,764</w:t>
            </w:r>
          </w:p>
        </w:tc>
      </w:tr>
    </w:tbl>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above estimates of intangible assets’ fair values and useful lives are provisional and subject to change upon finalization of the fair values of the assets acquired.</w:t>
      </w:r>
    </w:p>
    <w:p>
      <w:pPr>
        <w:spacing w:after="0" w:line="192" w:lineRule="exact"/>
        <w:rPr>
          <w:sz w:val="20"/>
          <w:szCs w:val="20"/>
          <w:color w:val="auto"/>
        </w:rPr>
      </w:pPr>
    </w:p>
    <w:p>
      <w:pPr>
        <w:jc w:val="both"/>
        <w:ind w:left="540" w:hanging="276"/>
        <w:spacing w:after="0" w:line="264" w:lineRule="auto"/>
        <w:tabs>
          <w:tab w:leader="none" w:pos="5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Transaction adjustment reflects (i) the impact of interest expense and amortization of debt issuance costs arising from the September 2025 Notes issued in connection with the acquisition of Sunder, assuming the September 2025 Notes were issued on January 1, 2024 and (ii) the impact of interest expense arising from the $20.0 million Seller Note issued in connection with the acquisition of Sunder, assuming the Seller Note was issued on January 1, 2024. The components of pro forma interest and amortization of debt issuance costs are as follows </w:t>
      </w:r>
      <w:r>
        <w:rPr>
          <w:rFonts w:ascii="Times New Roman" w:cs="Times New Roman" w:eastAsia="Times New Roman" w:hAnsi="Times New Roman"/>
          <w:sz w:val="15"/>
          <w:szCs w:val="15"/>
          <w:i w:val="1"/>
          <w:i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Thirty-Nine</w:t>
            </w:r>
          </w:p>
        </w:tc>
        <w:tc>
          <w:tcPr>
            <w:tcW w:w="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Fiscal</w:t>
            </w:r>
          </w:p>
        </w:tc>
      </w:tr>
      <w:tr>
        <w:trPr>
          <w:trHeight w:val="182"/>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Weeks Ended</w:t>
            </w:r>
          </w:p>
        </w:tc>
        <w:tc>
          <w:tcPr>
            <w:tcW w:w="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Year Ended</w:t>
            </w:r>
          </w:p>
        </w:tc>
      </w:tr>
      <w:tr>
        <w:trPr>
          <w:trHeight w:val="182"/>
        </w:trPr>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September 28,</w:t>
            </w:r>
          </w:p>
        </w:tc>
        <w:tc>
          <w:tcPr>
            <w:tcW w:w="8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29,</w:t>
            </w:r>
          </w:p>
        </w:tc>
      </w:tr>
      <w:tr>
        <w:trPr>
          <w:trHeight w:val="203"/>
        </w:trPr>
        <w:tc>
          <w:tcPr>
            <w:tcW w:w="8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r>
      <w:tr>
        <w:trPr>
          <w:trHeight w:val="18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2025 Notes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3,168</w:t>
            </w:r>
          </w:p>
        </w:tc>
        <w:tc>
          <w:tcPr>
            <w:tcW w:w="100" w:type="dxa"/>
            <w:vAlign w:val="bottom"/>
            <w:shd w:val="clear" w:color="auto" w:fill="CCEEFF"/>
          </w:tcPr>
          <w:p>
            <w:pPr>
              <w:spacing w:after="0"/>
              <w:rPr>
                <w:sz w:val="15"/>
                <w:szCs w:val="15"/>
                <w:color w:val="auto"/>
              </w:rPr>
            </w:pPr>
          </w:p>
        </w:tc>
      </w:tr>
      <w:tr>
        <w:trPr>
          <w:trHeight w:val="196"/>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Seller Note</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1,145</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1,437</w:t>
            </w:r>
          </w:p>
        </w:tc>
      </w:tr>
      <w:tr>
        <w:trPr>
          <w:trHeight w:val="185"/>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pro forma interest expense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540" w:hanging="276"/>
        <w:spacing w:after="0" w:line="261" w:lineRule="auto"/>
        <w:tabs>
          <w:tab w:leader="none" w:pos="54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 forma results of operations include 3,333,334 shares of the Company’s stock issued at the date of the Sunder Acquisition. As of September 28, 2025, the historical weighted average shares outstanding included 36,630 shares issued in connection with the Sunder Acquisition. As such, incremental shares of 3,296,704 shares included in the pro forma shares outstanding as of September 28, 2025 is net of the 36,630 shares included in the historical weighted average shares outstanding. The 6,666,666 Deferred Consideration Shares were excluded from the computation of pro forma net loss per share because issuance of such shares is contingent upon the satisfaction of certain conditions which are not satisfied as of the period end for pro forma presentation purposes.</w:t>
      </w:r>
    </w:p>
    <w:p>
      <w:pPr>
        <w:spacing w:after="0" w:line="154"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conform the financial statement presentation for the Ambia Acquisition to the Company’s presentation within the Statements of Operations for the periods ended September 28, 2025 and December 29, 2024.</w:t>
      </w:r>
    </w:p>
    <w:p>
      <w:pPr>
        <w:spacing w:after="0" w:line="133" w:lineRule="exact"/>
        <w:rPr>
          <w:rFonts w:ascii="Times New Roman" w:cs="Times New Roman" w:eastAsia="Times New Roman" w:hAnsi="Times New Roman"/>
          <w:sz w:val="15"/>
          <w:szCs w:val="15"/>
          <w:color w:val="auto"/>
        </w:rPr>
      </w:pPr>
    </w:p>
    <w:p>
      <w:pPr>
        <w:jc w:val="both"/>
        <w:ind w:left="540" w:hanging="276"/>
        <w:spacing w:after="0" w:line="270" w:lineRule="auto"/>
        <w:tabs>
          <w:tab w:leader="none" w:pos="54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 forma results of operations include 10,243,924 shares of the Company’s stock issued at the date of the Ambia Acquisition. The Deferred Ambia Consideration Shares were excluded from the computation of pro forma net loss per share because the issuance of such shares is contingent upon the satisfaction of certain conditions which are not satisfied as of the period end for pro forma presentation purposes.</w:t>
      </w:r>
    </w:p>
    <w:p>
      <w:pPr>
        <w:spacing w:after="0" w:line="146" w:lineRule="exact"/>
        <w:rPr>
          <w:rFonts w:ascii="Times New Roman" w:cs="Times New Roman" w:eastAsia="Times New Roman" w:hAnsi="Times New Roman"/>
          <w:sz w:val="15"/>
          <w:szCs w:val="15"/>
          <w:color w:val="auto"/>
        </w:rPr>
      </w:pPr>
    </w:p>
    <w:p>
      <w:pPr>
        <w:ind w:left="540" w:hanging="276"/>
        <w:spacing w:after="0" w:line="287" w:lineRule="auto"/>
        <w:tabs>
          <w:tab w:leader="none" w:pos="54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conform the financial statement presentation for the SunPower Acquisition to the Company’s presentation within the Statement of Operations for the fiscal year ended December 29, 2024.</w:t>
      </w: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7" w:right="319" w:bottom="1440" w:gutter="0" w:footer="0" w:header="0"/>
        </w:sectPr>
      </w:pPr>
    </w:p>
    <w:bookmarkStart w:id="327" w:name="page328"/>
    <w:bookmarkEnd w:id="327"/>
    <w:p>
      <w:pPr>
        <w:ind w:left="580" w:hanging="316"/>
        <w:spacing w:after="0"/>
        <w:tabs>
          <w:tab w:leader="none" w:pos="58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intangible assets and related useful lives of the SunPower Acquisition are as follows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Estimated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868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useful life</w:t>
            </w:r>
          </w:p>
        </w:tc>
        <w:tc>
          <w:tcPr>
            <w:tcW w:w="200" w:type="dxa"/>
            <w:vAlign w:val="bottom"/>
          </w:tcPr>
          <w:p>
            <w:pPr>
              <w:spacing w:after="0"/>
              <w:rPr>
                <w:sz w:val="17"/>
                <w:szCs w:val="17"/>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82"/>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Trademark – Blue Raven</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 years</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Trademark – SunPower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9"/>
              </w:rPr>
              <w:t>10 years</w:t>
            </w:r>
          </w:p>
        </w:tc>
        <w:tc>
          <w:tcPr>
            <w:tcW w:w="20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4,300</w:t>
            </w:r>
          </w:p>
        </w:tc>
        <w:tc>
          <w:tcPr>
            <w:tcW w:w="80" w:type="dxa"/>
            <w:vAlign w:val="bottom"/>
          </w:tcPr>
          <w:p>
            <w:pPr>
              <w:spacing w:after="0"/>
              <w:rPr>
                <w:sz w:val="15"/>
                <w:szCs w:val="15"/>
                <w:color w:val="auto"/>
              </w:rPr>
            </w:pPr>
          </w:p>
        </w:tc>
      </w:tr>
      <w:tr>
        <w:trPr>
          <w:trHeight w:val="21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Developed technology</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3 years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4,500</w:t>
            </w:r>
          </w:p>
        </w:tc>
        <w:tc>
          <w:tcPr>
            <w:tcW w:w="80" w:type="dxa"/>
            <w:vAlign w:val="bottom"/>
            <w:shd w:val="clear" w:color="auto" w:fill="CCEEFF"/>
          </w:tcPr>
          <w:p>
            <w:pPr>
              <w:spacing w:after="0"/>
              <w:rPr>
                <w:sz w:val="18"/>
                <w:szCs w:val="18"/>
                <w:color w:val="auto"/>
              </w:rPr>
            </w:pPr>
          </w:p>
        </w:tc>
      </w:tr>
      <w:tr>
        <w:trPr>
          <w:trHeight w:val="168"/>
        </w:trPr>
        <w:tc>
          <w:tcPr>
            <w:tcW w:w="868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Balance at end of period</w:t>
            </w:r>
          </w:p>
        </w:tc>
        <w:tc>
          <w:tcPr>
            <w:tcW w:w="12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15,894</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540"/>
        <w:spacing w:after="0" w:line="270" w:lineRule="auto"/>
        <w:rPr>
          <w:sz w:val="20"/>
          <w:szCs w:val="20"/>
          <w:color w:val="auto"/>
        </w:rPr>
      </w:pPr>
      <w:r>
        <w:rPr>
          <w:rFonts w:ascii="Times New Roman" w:cs="Times New Roman" w:eastAsia="Times New Roman" w:hAnsi="Times New Roman"/>
          <w:sz w:val="15"/>
          <w:szCs w:val="15"/>
          <w:color w:val="auto"/>
        </w:rPr>
        <w:t xml:space="preserve">Intangible assets are amortized on a straight-line basis. This transaction adjustment reflects the pro forma amortization expense for the fiscal year ended December 29, 2024, as if the SunPower Acquisition occurred and corresponding intangible assets were established on January 1, 2024. The components of the pro forma amortization expense for the fiscal year ended December 29, 2024, are as noted below </w:t>
      </w:r>
      <w:r>
        <w:rPr>
          <w:rFonts w:ascii="Times New Roman" w:cs="Times New Roman" w:eastAsia="Times New Roman" w:hAnsi="Times New Roman"/>
          <w:sz w:val="15"/>
          <w:szCs w:val="15"/>
          <w:i w:val="1"/>
          <w:iCs w:val="1"/>
          <w:color w:val="auto"/>
        </w:rPr>
        <w:t>(in thousands)</w:t>
      </w:r>
      <w:r>
        <w:rPr>
          <w:rFonts w:ascii="Times New Roman" w:cs="Times New Roman" w:eastAsia="Times New Roman" w:hAnsi="Times New Roman"/>
          <w:sz w:val="15"/>
          <w:szCs w:val="15"/>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amortization</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Included in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of intangible</w:t>
            </w:r>
          </w:p>
        </w:tc>
        <w:tc>
          <w:tcPr>
            <w:tcW w:w="1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historical</w:t>
            </w:r>
          </w:p>
        </w:tc>
        <w:tc>
          <w:tcPr>
            <w:tcW w:w="10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Pro forma</w:t>
            </w:r>
          </w:p>
        </w:tc>
      </w:tr>
      <w:tr>
        <w:trPr>
          <w:trHeight w:val="203"/>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results</w:t>
            </w:r>
          </w:p>
        </w:tc>
        <w:tc>
          <w:tcPr>
            <w:tcW w:w="10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amortization</w:t>
            </w:r>
          </w:p>
        </w:tc>
      </w:tr>
      <w:tr>
        <w:trPr>
          <w:trHeight w:val="182"/>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SunPower Acquisition</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Trademark – Blue Raven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499</w:t>
            </w:r>
          </w:p>
        </w:tc>
        <w:tc>
          <w:tcPr>
            <w:tcW w:w="80" w:type="dxa"/>
            <w:vAlign w:val="bottom"/>
            <w:shd w:val="clear" w:color="auto" w:fill="CCEEFF"/>
          </w:tcPr>
          <w:p>
            <w:pPr>
              <w:spacing w:after="0"/>
              <w:rPr>
                <w:sz w:val="15"/>
                <w:szCs w:val="15"/>
                <w:color w:val="auto"/>
              </w:rPr>
            </w:pPr>
          </w:p>
        </w:tc>
      </w:tr>
      <w:tr>
        <w:trPr>
          <w:trHeight w:val="182"/>
        </w:trPr>
        <w:tc>
          <w:tcPr>
            <w:tcW w:w="7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Trademark – SunPower</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430</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300</w:t>
            </w:r>
          </w:p>
        </w:tc>
        <w:tc>
          <w:tcPr>
            <w:tcW w:w="80" w:type="dxa"/>
            <w:vAlign w:val="bottom"/>
          </w:tcPr>
          <w:p>
            <w:pPr>
              <w:spacing w:after="0"/>
              <w:rPr>
                <w:sz w:val="15"/>
                <w:szCs w:val="15"/>
                <w:color w:val="auto"/>
              </w:rPr>
            </w:pPr>
          </w:p>
        </w:tc>
      </w:tr>
      <w:tr>
        <w:trPr>
          <w:trHeight w:val="213"/>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Developed technology</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375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1,125</w:t>
            </w:r>
          </w:p>
        </w:tc>
        <w:tc>
          <w:tcPr>
            <w:tcW w:w="80" w:type="dxa"/>
            <w:vAlign w:val="bottom"/>
            <w:shd w:val="clear" w:color="auto" w:fill="CCEEFF"/>
          </w:tcPr>
          <w:p>
            <w:pPr>
              <w:spacing w:after="0"/>
              <w:rPr>
                <w:sz w:val="18"/>
                <w:szCs w:val="18"/>
                <w:color w:val="auto"/>
              </w:rPr>
            </w:pPr>
          </w:p>
        </w:tc>
      </w:tr>
      <w:tr>
        <w:trPr>
          <w:trHeight w:val="168"/>
        </w:trPr>
        <w:tc>
          <w:tcPr>
            <w:tcW w:w="7320" w:type="dxa"/>
            <w:vAlign w:val="bottom"/>
            <w:tcBorders>
              <w:top w:val="single" w:sz="8" w:color="CCEEFF"/>
            </w:tcBorders>
          </w:tcPr>
          <w:p>
            <w:pPr>
              <w:ind w:left="260"/>
              <w:spacing w:after="0" w:line="165" w:lineRule="exact"/>
              <w:rPr>
                <w:sz w:val="20"/>
                <w:szCs w:val="20"/>
                <w:color w:val="auto"/>
              </w:rPr>
            </w:pPr>
            <w:r>
              <w:rPr>
                <w:rFonts w:ascii="Times New Roman" w:cs="Times New Roman" w:eastAsia="Times New Roman" w:hAnsi="Times New Roman"/>
                <w:sz w:val="15"/>
                <w:szCs w:val="15"/>
                <w:color w:val="auto"/>
              </w:rPr>
              <w:t>Total pro forma SunPower Acquisition intangible asset amortization expense</w:t>
            </w: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2,639</w:t>
            </w: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715</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1,924</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540"/>
        <w:spacing w:after="0" w:line="270" w:lineRule="auto"/>
        <w:rPr>
          <w:sz w:val="20"/>
          <w:szCs w:val="20"/>
          <w:color w:val="auto"/>
        </w:rPr>
      </w:pPr>
      <w:r>
        <w:rPr>
          <w:rFonts w:ascii="Times New Roman" w:cs="Times New Roman" w:eastAsia="Times New Roman" w:hAnsi="Times New Roman"/>
          <w:sz w:val="15"/>
          <w:szCs w:val="15"/>
          <w:color w:val="auto"/>
        </w:rPr>
        <w:t xml:space="preserve">The historical results of operations of the SunPower Businesses for the period from January 1, 2024 through September 29, 2024, included intangible asset amortization of $4.7 million. As such, the transaction adjustment for the intangible assets includes the $1,924 of intangible asset amortization, net of the $4.7 million of intangible asset amortization included in the historical results of operations as noted below </w:t>
      </w:r>
      <w:r>
        <w:rPr>
          <w:rFonts w:ascii="Times New Roman" w:cs="Times New Roman" w:eastAsia="Times New Roman" w:hAnsi="Times New Roman"/>
          <w:sz w:val="15"/>
          <w:szCs w:val="15"/>
          <w:i w:val="1"/>
          <w:i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SunPower Acquisition intangible asset amortization expense</w:t>
            </w:r>
          </w:p>
        </w:tc>
        <w:tc>
          <w:tcPr>
            <w:tcW w:w="4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1,924</w:t>
            </w:r>
          </w:p>
        </w:tc>
      </w:tr>
      <w:tr>
        <w:trPr>
          <w:trHeight w:val="196"/>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Historical intangible asset amortization expense</w:t>
            </w:r>
          </w:p>
        </w:tc>
        <w:tc>
          <w:tcPr>
            <w:tcW w:w="420" w:type="dxa"/>
            <w:vAlign w:val="bottom"/>
          </w:tcPr>
          <w:p>
            <w:pPr>
              <w:spacing w:after="0"/>
              <w:rPr>
                <w:sz w:val="17"/>
                <w:szCs w:val="17"/>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(4,700)</w:t>
            </w:r>
          </w:p>
        </w:tc>
      </w:tr>
      <w:tr>
        <w:trPr>
          <w:trHeight w:val="185"/>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SunPower pro forma intangible asset transaction adjustment</w:t>
            </w:r>
          </w:p>
        </w:tc>
        <w:tc>
          <w:tcPr>
            <w:tcW w:w="42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(2,776</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0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All of the SunPower Acquisition intangible asset amortization expense is classified within general and administrative expense.</w:t>
      </w:r>
    </w:p>
    <w:p>
      <w:pPr>
        <w:spacing w:after="0" w:line="192" w:lineRule="exact"/>
        <w:rPr>
          <w:sz w:val="20"/>
          <w:szCs w:val="20"/>
          <w:color w:val="auto"/>
        </w:rPr>
      </w:pPr>
    </w:p>
    <w:p>
      <w:pPr>
        <w:jc w:val="both"/>
        <w:ind w:left="540" w:hanging="276"/>
        <w:spacing w:after="0" w:line="270" w:lineRule="auto"/>
        <w:tabs>
          <w:tab w:leader="none" w:pos="54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Transaction adjustment reflects the impact of interest and amortization of debt issuance costs arising from the September 2024 Notes issued in connection with the SunPower Acquisition for the period from January 1, 2024 through September 29, 2024, assuming the September 2024 Notes were issued on January 1, 2024, The components of pro forma interest and amortization of debt issuance costs for the fiscal year ended December 29, 2024, are as follows </w:t>
      </w:r>
      <w:r>
        <w:rPr>
          <w:rFonts w:ascii="Times New Roman" w:cs="Times New Roman" w:eastAsia="Times New Roman" w:hAnsi="Times New Roman"/>
          <w:sz w:val="15"/>
          <w:szCs w:val="15"/>
          <w:i w:val="1"/>
          <w:i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SunPower Acquisition – financing expense</w:t>
            </w:r>
          </w:p>
        </w:tc>
        <w:tc>
          <w:tcPr>
            <w:tcW w:w="5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September 2024 Notes</w:t>
            </w:r>
          </w:p>
        </w:tc>
        <w:tc>
          <w:tcPr>
            <w:tcW w:w="584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18,598</w:t>
            </w:r>
          </w:p>
        </w:tc>
      </w:tr>
      <w:tr>
        <w:trPr>
          <w:trHeight w:val="196"/>
        </w:trPr>
        <w:tc>
          <w:tcPr>
            <w:tcW w:w="45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Less amount included in the historical results of operations</w:t>
            </w:r>
          </w:p>
        </w:tc>
        <w:tc>
          <w:tcPr>
            <w:tcW w:w="5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(5,324)</w:t>
            </w:r>
          </w:p>
        </w:tc>
      </w:tr>
      <w:tr>
        <w:trPr>
          <w:trHeight w:val="185"/>
        </w:trPr>
        <w:tc>
          <w:tcPr>
            <w:tcW w:w="4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SunPower pro forma interest expense</w:t>
            </w:r>
          </w:p>
        </w:tc>
        <w:tc>
          <w:tcPr>
            <w:tcW w:w="54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3"/>
        </w:trPr>
        <w:tc>
          <w:tcPr>
            <w:tcW w:w="45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2"/>
          </w:tcPr>
          <w:p>
            <w:pPr>
              <w:jc w:val="right"/>
              <w:ind w:right="4544"/>
              <w:spacing w:after="0"/>
              <w:rPr>
                <w:sz w:val="20"/>
                <w:szCs w:val="20"/>
                <w:color w:val="auto"/>
              </w:rPr>
            </w:pPr>
            <w:r>
              <w:rPr>
                <w:rFonts w:ascii="Times New Roman" w:cs="Times New Roman" w:eastAsia="Times New Roman" w:hAnsi="Times New Roman"/>
                <w:sz w:val="15"/>
                <w:szCs w:val="15"/>
                <w:color w:val="auto"/>
              </w:rPr>
              <w:t>F-192</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3" w:right="319"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13. Other Expenses of Issuance and Distribution.</w:t>
      </w:r>
    </w:p>
    <w:p>
      <w:pPr>
        <w:spacing w:after="0" w:line="19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The following table sets forth all costs and expenses, other than underwriting discounts and commissions, payable by us in connection with the sale of the securities being registered. All amounts shown are estimates except for the SEC registration fee.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82"/>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16,026</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Accountants’ fees and expenses</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50,000</w:t>
            </w:r>
          </w:p>
        </w:tc>
        <w:tc>
          <w:tcPr>
            <w:tcW w:w="80" w:type="dxa"/>
            <w:vAlign w:val="bottom"/>
          </w:tcPr>
          <w:p>
            <w:pPr>
              <w:spacing w:after="0"/>
              <w:rPr>
                <w:sz w:val="15"/>
                <w:szCs w:val="15"/>
                <w:color w:val="auto"/>
              </w:rPr>
            </w:pPr>
          </w:p>
        </w:tc>
      </w:tr>
      <w:tr>
        <w:trPr>
          <w:trHeight w:val="18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50,000</w:t>
            </w:r>
          </w:p>
        </w:tc>
        <w:tc>
          <w:tcPr>
            <w:tcW w:w="80" w:type="dxa"/>
            <w:vAlign w:val="bottom"/>
            <w:shd w:val="clear" w:color="auto" w:fill="CCEEFF"/>
          </w:tcPr>
          <w:p>
            <w:pPr>
              <w:spacing w:after="0"/>
              <w:rPr>
                <w:sz w:val="15"/>
                <w:szCs w:val="15"/>
                <w:color w:val="auto"/>
              </w:rPr>
            </w:pPr>
          </w:p>
        </w:tc>
      </w:tr>
      <w:tr>
        <w:trPr>
          <w:trHeight w:val="182"/>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Printing fees</w:t>
            </w:r>
          </w:p>
        </w:tc>
        <w:tc>
          <w:tcPr>
            <w:tcW w:w="20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Pr>
          <w:p>
            <w:pPr>
              <w:spacing w:after="0"/>
              <w:rPr>
                <w:sz w:val="15"/>
                <w:szCs w:val="15"/>
                <w:color w:val="auto"/>
              </w:rPr>
            </w:pPr>
          </w:p>
        </w:tc>
      </w:tr>
      <w:tr>
        <w:trPr>
          <w:trHeight w:val="21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Miscellaneous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shd w:val="clear" w:color="auto" w:fill="CCEEFF"/>
          </w:tcPr>
          <w:p>
            <w:pPr>
              <w:spacing w:after="0"/>
              <w:rPr>
                <w:sz w:val="18"/>
                <w:szCs w:val="18"/>
                <w:color w:val="auto"/>
              </w:rPr>
            </w:pPr>
          </w:p>
        </w:tc>
      </w:tr>
      <w:tr>
        <w:trPr>
          <w:trHeight w:val="168"/>
        </w:trPr>
        <w:tc>
          <w:tcPr>
            <w:tcW w:w="1002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5"/>
                <w:szCs w:val="15"/>
                <w:color w:val="auto"/>
              </w:rPr>
              <w:t>Total expenses</w:t>
            </w:r>
          </w:p>
        </w:tc>
        <w:tc>
          <w:tcPr>
            <w:tcW w:w="200" w:type="dxa"/>
            <w:vAlign w:val="bottom"/>
            <w:tcBorders>
              <w:top w:val="single" w:sz="8" w:color="auto"/>
              <w:bottom w:val="single" w:sz="8" w:color="auto"/>
            </w:tcBorders>
          </w:tcPr>
          <w:p>
            <w:pPr>
              <w:jc w:val="right"/>
              <w:ind w:right="44"/>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136,026</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Discounts, concessions, commissions and similar selling expenses attributable to the sale of shares of common stock covered by this prospectus will be borne by the selling securityholders. We will pay all expenses (other than discounts, concessions, commissions and similar selling expenses) relating to the registration of the shares with the Securities and Exchange Commission, as estimated in the table above.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14. Indemnification of Directors and Officers.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w:t>
      </w:r>
    </w:p>
    <w:p>
      <w:pPr>
        <w:spacing w:after="0" w:line="14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Our Charter provides for indemnification of our directors, officers, employees and other agents to the maximum extent permitted by the Delaware General Corporation Law, and our Bylaws provide for indemnification of our directors, officers, employees and other agents to the maximum extent permitted by the Delaware General Corporation Law.</w:t>
      </w:r>
    </w:p>
    <w:p>
      <w:pPr>
        <w:spacing w:after="0" w:line="134"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In addition, we have entered into indemnification agreements with our directors, officers, and some employees containing provisions which are in some respects broader than the specific indemnification provisions contained in the Delaware General Corporation Law. The indemnification agreements will require us, among other things, to indemnify our directors against certain liabilities that may arise by reason of their status or service as directors and to advance their expenses incurred as a result of any proceeding against them as to which they could be indemnified.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5"/>
          <w:szCs w:val="15"/>
          <w:b w:val="1"/>
          <w:bCs w:val="1"/>
          <w:color w:val="auto"/>
        </w:rPr>
        <w:t>Item 15. Recent Sales of Unregistered Securities.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Company has not sold any securities within the past three years which were not registered under the Securities Act, except as set forth below. The registrant believes that, unless otherwise noted, all of the transactions described in Item 15 were exempt from registration under the Securities Act pursuant to Section 4(a)(2) of the Securities Act and/or Rule 506 of Regulation D promulgated thereunder.</w:t>
      </w:r>
    </w:p>
    <w:p>
      <w:pPr>
        <w:spacing w:after="0" w:line="142" w:lineRule="exact"/>
        <w:rPr>
          <w:sz w:val="20"/>
          <w:szCs w:val="20"/>
          <w:color w:val="auto"/>
        </w:rPr>
      </w:pPr>
    </w:p>
    <w:p>
      <w:pPr>
        <w:ind w:left="540" w:hanging="276"/>
        <w:spacing w:after="0"/>
        <w:tabs>
          <w:tab w:leader="none" w:pos="5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Forward Purchase Agreements</w:t>
      </w:r>
    </w:p>
    <w:p>
      <w:pPr>
        <w:spacing w:after="0" w:line="192"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In July 2023, FACT and Legacy Complete Solaria, Inc. entered into FPAs with each of (i) Meteora; (ii) Polar, and (iii) Sandia (each individually, a “</w:t>
      </w:r>
      <w:r>
        <w:rPr>
          <w:rFonts w:ascii="Times New Roman" w:cs="Times New Roman" w:eastAsia="Times New Roman" w:hAnsi="Times New Roman"/>
          <w:sz w:val="15"/>
          <w:szCs w:val="15"/>
          <w:b w:val="1"/>
          <w:bCs w:val="1"/>
          <w:color w:val="auto"/>
        </w:rPr>
        <w:t>Seller</w:t>
      </w:r>
      <w:r>
        <w:rPr>
          <w:rFonts w:ascii="Times New Roman" w:cs="Times New Roman" w:eastAsia="Times New Roman" w:hAnsi="Times New Roman"/>
          <w:sz w:val="15"/>
          <w:szCs w:val="15"/>
          <w:color w:val="auto"/>
        </w:rPr>
        <w:t>”, and together, the “</w:t>
      </w:r>
      <w:r>
        <w:rPr>
          <w:rFonts w:ascii="Times New Roman" w:cs="Times New Roman" w:eastAsia="Times New Roman" w:hAnsi="Times New Roman"/>
          <w:sz w:val="15"/>
          <w:szCs w:val="15"/>
          <w:b w:val="1"/>
          <w:bCs w:val="1"/>
          <w:color w:val="auto"/>
        </w:rPr>
        <w:t>FPA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Sellers</w:t>
      </w:r>
      <w:r>
        <w:rPr>
          <w:rFonts w:ascii="Times New Roman" w:cs="Times New Roman" w:eastAsia="Times New Roman" w:hAnsi="Times New Roman"/>
          <w:sz w:val="15"/>
          <w:szCs w:val="15"/>
          <w:color w:val="auto"/>
        </w:rPr>
        <w:t>”). Pursuant to the terms of the FPAs, the FPA Sellers may purchase through a broker in the open market, from holders of Shares other than the Company or affiliates thereof,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of common stock (the “</w:t>
      </w:r>
      <w:r>
        <w:rPr>
          <w:rFonts w:ascii="Times New Roman" w:cs="Times New Roman" w:eastAsia="Times New Roman" w:hAnsi="Times New Roman"/>
          <w:sz w:val="15"/>
          <w:szCs w:val="15"/>
          <w:b w:val="1"/>
          <w:bCs w:val="1"/>
          <w:color w:val="auto"/>
        </w:rPr>
        <w:t>FPA Shares</w:t>
      </w:r>
      <w:r>
        <w:rPr>
          <w:rFonts w:ascii="Times New Roman" w:cs="Times New Roman" w:eastAsia="Times New Roman" w:hAnsi="Times New Roman"/>
          <w:sz w:val="15"/>
          <w:szCs w:val="15"/>
          <w:color w:val="auto"/>
        </w:rPr>
        <w:t>”). While the FPA Sellers have no obligation to purchase any FPA Shares under the FPAs, the aggregate total FPA Shares that may be purchased under the FPAs shall be no more than 6,720,000 in aggregate. The FPA Sellers may not beneficially own greater than 9.9% of issued and outstanding FPA Shares following the Mergers as per the Amended and Restated Business Combination Agreement. The key terms of the forward contracts are as follows:</w:t>
      </w:r>
    </w:p>
    <w:p>
      <w:pPr>
        <w:spacing w:after="0" w:line="147" w:lineRule="exact"/>
        <w:rPr>
          <w:sz w:val="20"/>
          <w:szCs w:val="20"/>
          <w:color w:val="auto"/>
        </w:rPr>
      </w:pPr>
    </w:p>
    <w:p>
      <w:pPr>
        <w:jc w:val="both"/>
        <w:ind w:left="540" w:hanging="276"/>
        <w:spacing w:after="0" w:line="266" w:lineRule="auto"/>
        <w:tabs>
          <w:tab w:leader="none" w:pos="5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FPA Sellers can terminate the transaction following the Optional Early Termination (“</w:t>
      </w:r>
      <w:r>
        <w:rPr>
          <w:rFonts w:ascii="Times New Roman" w:cs="Times New Roman" w:eastAsia="Times New Roman" w:hAnsi="Times New Roman"/>
          <w:sz w:val="15"/>
          <w:szCs w:val="15"/>
          <w:b w:val="1"/>
          <w:bCs w:val="1"/>
          <w:color w:val="auto"/>
        </w:rPr>
        <w:t>OET</w:t>
      </w:r>
      <w:r>
        <w:rPr>
          <w:rFonts w:ascii="Times New Roman" w:cs="Times New Roman" w:eastAsia="Times New Roman" w:hAnsi="Times New Roman"/>
          <w:sz w:val="15"/>
          <w:szCs w:val="15"/>
          <w:color w:val="auto"/>
        </w:rPr>
        <w:t>”) Date which shall specify the quantity by which the number of shares is to be reduced (such quantity, the “</w:t>
      </w:r>
      <w:r>
        <w:rPr>
          <w:rFonts w:ascii="Times New Roman" w:cs="Times New Roman" w:eastAsia="Times New Roman" w:hAnsi="Times New Roman"/>
          <w:sz w:val="15"/>
          <w:szCs w:val="15"/>
          <w:b w:val="1"/>
          <w:bCs w:val="1"/>
          <w:color w:val="auto"/>
        </w:rPr>
        <w:t>Terminated Shares</w:t>
      </w:r>
      <w:r>
        <w:rPr>
          <w:rFonts w:ascii="Times New Roman" w:cs="Times New Roman" w:eastAsia="Times New Roman" w:hAnsi="Times New Roman"/>
          <w:sz w:val="15"/>
          <w:szCs w:val="15"/>
          <w:color w:val="auto"/>
        </w:rPr>
        <w:t>”). Seller shall terminate the transaction in respect of any shares sold on or prior to the maturity date. The counterparty is entitled to an amount from the seller equal to the number of terminated shares multiplied by a reset price. The reset price is initially $10.56 (the “</w:t>
      </w:r>
      <w:r>
        <w:rPr>
          <w:rFonts w:ascii="Times New Roman" w:cs="Times New Roman" w:eastAsia="Times New Roman" w:hAnsi="Times New Roman"/>
          <w:sz w:val="15"/>
          <w:szCs w:val="15"/>
          <w:b w:val="1"/>
          <w:bCs w:val="1"/>
          <w:color w:val="auto"/>
        </w:rPr>
        <w:t>Initial Price</w:t>
      </w:r>
      <w:r>
        <w:rPr>
          <w:rFonts w:ascii="Times New Roman" w:cs="Times New Roman" w:eastAsia="Times New Roman" w:hAnsi="Times New Roman"/>
          <w:sz w:val="15"/>
          <w:szCs w:val="15"/>
          <w:color w:val="auto"/>
        </w:rPr>
        <w:t>”) and is subject to a $5.00 floor.</w:t>
      </w:r>
    </w:p>
    <w:p>
      <w:pPr>
        <w:spacing w:after="0" w:line="149" w:lineRule="exact"/>
        <w:rPr>
          <w:rFonts w:ascii="Times New Roman" w:cs="Times New Roman" w:eastAsia="Times New Roman" w:hAnsi="Times New Roman"/>
          <w:sz w:val="15"/>
          <w:szCs w:val="15"/>
          <w:color w:val="auto"/>
        </w:rPr>
      </w:pPr>
    </w:p>
    <w:p>
      <w:pPr>
        <w:jc w:val="both"/>
        <w:ind w:left="540" w:hanging="276"/>
        <w:spacing w:after="0" w:line="260" w:lineRule="auto"/>
        <w:tabs>
          <w:tab w:leader="none" w:pos="5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FPAs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SunPower Common Stock, with a per share price based on the volume-weighted average price (“</w:t>
      </w:r>
      <w:r>
        <w:rPr>
          <w:rFonts w:ascii="Times New Roman" w:cs="Times New Roman" w:eastAsia="Times New Roman" w:hAnsi="Times New Roman"/>
          <w:sz w:val="15"/>
          <w:szCs w:val="15"/>
          <w:b w:val="1"/>
          <w:bCs w:val="1"/>
          <w:color w:val="auto"/>
        </w:rPr>
        <w:t>VWAP</w:t>
      </w:r>
      <w:r>
        <w:rPr>
          <w:rFonts w:ascii="Times New Roman" w:cs="Times New Roman" w:eastAsia="Times New Roman" w:hAnsi="Times New Roman"/>
          <w:sz w:val="15"/>
          <w:szCs w:val="15"/>
          <w:color w:val="auto"/>
        </w:rPr>
        <w:t>”)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p>
      <w:pPr>
        <w:spacing w:after="0" w:line="153" w:lineRule="exact"/>
        <w:rPr>
          <w:rFonts w:ascii="Times New Roman" w:cs="Times New Roman" w:eastAsia="Times New Roman" w:hAnsi="Times New Roman"/>
          <w:sz w:val="15"/>
          <w:szCs w:val="15"/>
          <w:color w:val="auto"/>
        </w:rPr>
      </w:pPr>
    </w:p>
    <w:p>
      <w:pPr>
        <w:jc w:val="both"/>
        <w:ind w:left="540" w:hanging="276"/>
        <w:spacing w:after="0" w:line="264" w:lineRule="auto"/>
        <w:tabs>
          <w:tab w:leader="none" w:pos="5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w:t>
      </w:r>
      <w:r>
        <w:rPr>
          <w:rFonts w:ascii="Times New Roman" w:cs="Times New Roman" w:eastAsia="Times New Roman" w:hAnsi="Times New Roman"/>
          <w:sz w:val="15"/>
          <w:szCs w:val="15"/>
          <w:b w:val="1"/>
          <w:bCs w:val="1"/>
          <w:color w:val="auto"/>
        </w:rPr>
        <w:t>Measurement Period</w:t>
      </w:r>
      <w:r>
        <w:rPr>
          <w:rFonts w:ascii="Times New Roman" w:cs="Times New Roman" w:eastAsia="Times New Roman" w:hAnsi="Times New Roman"/>
          <w:sz w:val="15"/>
          <w:szCs w:val="15"/>
          <w:color w:val="auto"/>
        </w:rPr>
        <w:t>”) that occurs at least 6 months after the Closing Date, the VWAP price is less than the then applicable reset price.</w:t>
      </w:r>
    </w:p>
    <w:p>
      <w:pPr>
        <w:spacing w:after="0" w:line="147"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On December 18, 2023, we and the FPA Sellers entered into separate amendments to the FPA (the “</w:t>
      </w:r>
      <w:r>
        <w:rPr>
          <w:rFonts w:ascii="Times New Roman" w:cs="Times New Roman" w:eastAsia="Times New Roman" w:hAnsi="Times New Roman"/>
          <w:sz w:val="15"/>
          <w:szCs w:val="15"/>
          <w:b w:val="1"/>
          <w:bCs w:val="1"/>
          <w:color w:val="auto"/>
        </w:rPr>
        <w:t>FPA Amendments</w:t>
      </w:r>
      <w:r>
        <w:rPr>
          <w:rFonts w:ascii="Times New Roman" w:cs="Times New Roman" w:eastAsia="Times New Roman" w:hAnsi="Times New Roman"/>
          <w:sz w:val="15"/>
          <w:szCs w:val="15"/>
          <w:color w:val="auto"/>
        </w:rPr>
        <w:t>”). The FPA Amendments lowered the reset floor price of each FPA from $5.00 to $3.00 and allow us to raise up to $10.0 million of equity from existing stockholders without triggering certain anti-dilution provisions contained in the FPA;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47"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May 7 and 8, 2024, respectively, we entered into and executed separate amendments to the FPAs (collectively the “</w:t>
      </w:r>
      <w:r>
        <w:rPr>
          <w:rFonts w:ascii="Times New Roman" w:cs="Times New Roman" w:eastAsia="Times New Roman" w:hAnsi="Times New Roman"/>
          <w:sz w:val="15"/>
          <w:szCs w:val="15"/>
          <w:b w:val="1"/>
          <w:bCs w:val="1"/>
          <w:color w:val="auto"/>
        </w:rPr>
        <w:t>Second Amendments</w:t>
      </w:r>
      <w:r>
        <w:rPr>
          <w:rFonts w:ascii="Times New Roman" w:cs="Times New Roman" w:eastAsia="Times New Roman" w:hAnsi="Times New Roman"/>
          <w:sz w:val="15"/>
          <w:szCs w:val="15"/>
          <w:color w:val="auto"/>
        </w:rPr>
        <w:t>”) with Sandia (the “</w:t>
      </w:r>
      <w:r>
        <w:rPr>
          <w:rFonts w:ascii="Times New Roman" w:cs="Times New Roman" w:eastAsia="Times New Roman" w:hAnsi="Times New Roman"/>
          <w:sz w:val="15"/>
          <w:szCs w:val="15"/>
          <w:b w:val="1"/>
          <w:bCs w:val="1"/>
          <w:color w:val="auto"/>
        </w:rPr>
        <w:t>Sandia Second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Amendment</w:t>
      </w:r>
      <w:r>
        <w:rPr>
          <w:rFonts w:ascii="Times New Roman" w:cs="Times New Roman" w:eastAsia="Times New Roman" w:hAnsi="Times New Roman"/>
          <w:sz w:val="15"/>
          <w:szCs w:val="15"/>
          <w:color w:val="auto"/>
        </w:rPr>
        <w:t>”) and Polar (the “</w:t>
      </w:r>
      <w:r>
        <w:rPr>
          <w:rFonts w:ascii="Times New Roman" w:cs="Times New Roman" w:eastAsia="Times New Roman" w:hAnsi="Times New Roman"/>
          <w:sz w:val="15"/>
          <w:szCs w:val="15"/>
          <w:b w:val="1"/>
          <w:bCs w:val="1"/>
          <w:color w:val="auto"/>
        </w:rPr>
        <w:t>Polar Second Amendment</w:t>
      </w:r>
      <w:r>
        <w:rPr>
          <w:rFonts w:ascii="Times New Roman" w:cs="Times New Roman" w:eastAsia="Times New Roman" w:hAnsi="Times New Roman"/>
          <w:sz w:val="15"/>
          <w:szCs w:val="15"/>
          <w:color w:val="auto"/>
        </w:rPr>
        <w:t>”). The Second Amendments lowered the reset price of each FPA from $3.00 to $1.00 per share and amended the VWAP</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Trigger Event provision to read as “After December 31, 2024, an event that occurs if the VWAP Price, for any 20 trading days during a 30 consecutive trading day-period, is below $1.00 per Share”.</w:t>
      </w:r>
    </w:p>
    <w:p>
      <w:pPr>
        <w:spacing w:after="0" w:line="146"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color w:val="auto"/>
        </w:rPr>
        <w:t>On June 14, 2024, we entered into and executed an amendment to the FPA with Sandia (the “</w:t>
      </w:r>
      <w:r>
        <w:rPr>
          <w:rFonts w:ascii="Times New Roman" w:cs="Times New Roman" w:eastAsia="Times New Roman" w:hAnsi="Times New Roman"/>
          <w:sz w:val="15"/>
          <w:szCs w:val="15"/>
          <w:b w:val="1"/>
          <w:bCs w:val="1"/>
          <w:color w:val="auto"/>
        </w:rPr>
        <w:t>Sandia Third Amendment</w:t>
      </w:r>
      <w:r>
        <w:rPr>
          <w:rFonts w:ascii="Times New Roman" w:cs="Times New Roman" w:eastAsia="Times New Roman" w:hAnsi="Times New Roman"/>
          <w:sz w:val="15"/>
          <w:szCs w:val="15"/>
          <w:color w:val="auto"/>
        </w:rPr>
        <w: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w:t>
      </w:r>
    </w:p>
    <w:p>
      <w:pPr>
        <w:spacing w:after="0" w:line="144" w:lineRule="exact"/>
        <w:rPr>
          <w:sz w:val="20"/>
          <w:szCs w:val="20"/>
          <w:color w:val="auto"/>
        </w:rPr>
      </w:pPr>
    </w:p>
    <w:p>
      <w:pPr>
        <w:jc w:val="both"/>
        <w:ind w:right="20" w:firstLine="273"/>
        <w:spacing w:after="0" w:line="287" w:lineRule="auto"/>
        <w:rPr>
          <w:sz w:val="20"/>
          <w:szCs w:val="20"/>
          <w:color w:val="auto"/>
        </w:rPr>
      </w:pPr>
      <w:r>
        <w:rPr>
          <w:rFonts w:ascii="Times New Roman" w:cs="Times New Roman" w:eastAsia="Times New Roman" w:hAnsi="Times New Roman"/>
          <w:sz w:val="15"/>
          <w:szCs w:val="15"/>
          <w:color w:val="auto"/>
        </w:rPr>
        <w:t>On July 17, 2024, we entered into an amendment to the FPA with Polar pursuant to which we and Polar agreed that Section 2 (Most Favored Nation) of the FPA is applicable to all 2,450,000 shares subject to the FPA.</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330" w:name="page331"/>
    <w:bookmarkEnd w:id="330"/>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On July 15, 2025, SunPower and Meteora entered into an amendment to the Forward Purchase Agreement between Meteora and SunPower, and on July 16, 2025, SunPower and Sandia entered into an amendment to the Forward Purchase Agreement between Sandia and SunPower (collectively, the “</w:t>
      </w:r>
      <w:r>
        <w:rPr>
          <w:rFonts w:ascii="Times New Roman" w:cs="Times New Roman" w:eastAsia="Times New Roman" w:hAnsi="Times New Roman"/>
          <w:sz w:val="15"/>
          <w:szCs w:val="15"/>
          <w:b w:val="1"/>
          <w:bCs w:val="1"/>
          <w:color w:val="auto"/>
        </w:rPr>
        <w:t>Further FPA Amendments</w:t>
      </w:r>
      <w:r>
        <w:rPr>
          <w:rFonts w:ascii="Times New Roman" w:cs="Times New Roman" w:eastAsia="Times New Roman" w:hAnsi="Times New Roman"/>
          <w:sz w:val="15"/>
          <w:szCs w:val="15"/>
          <w:color w:val="auto"/>
        </w:rPr>
        <w:t>”). The Further FPA Amendments extend the valuation date to the earliest to occur of (a) July 17, 2026, (b) the date specified by the applicable Seller in a written notice to be delivered to the Company at such Seller’s discretion (which valuation date shall not be earlier than the day such notice is effective) after the occurrence of any of (w) a VWAP trigger event (x) a delisting event, (y) a registration failure or (z) unless otherwise specified therein, upon any additional termination event and (c) 90 days after delivery by SunPower of a written notice in the event that for any 20 trading days during a 30 consecutive trading day-period that occurs at least six months after the closing date of the transactions under the Amended and Restated Business Combination Agreement, dated as of May 26, 2023, among Freedom, the Company and the other parties thereto, the VWAP price is less than the then applicable reset price, provided that a registration statement was effective and available for the entire measurement period and remains continuously effective and available during the entire 90 day notice period.</w:t>
      </w:r>
    </w:p>
    <w:p>
      <w:pPr>
        <w:spacing w:after="0" w:line="155"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Further FPA Amendments further amend the definition of “Settlement Amount Adjustment” to provide that if the expected settlement amount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SunPower’s option, in cash or shares of SunPower’s common stock.</w:t>
      </w:r>
    </w:p>
    <w:p>
      <w:pPr>
        <w:spacing w:after="0" w:line="151" w:lineRule="exact"/>
        <w:rPr>
          <w:sz w:val="20"/>
          <w:szCs w:val="20"/>
          <w:color w:val="auto"/>
        </w:rPr>
      </w:pPr>
    </w:p>
    <w:p>
      <w:pPr>
        <w:jc w:val="both"/>
        <w:ind w:firstLine="273"/>
        <w:spacing w:after="0" w:line="264" w:lineRule="auto"/>
        <w:rPr>
          <w:sz w:val="20"/>
          <w:szCs w:val="20"/>
          <w:color w:val="auto"/>
        </w:rPr>
      </w:pPr>
      <w:r>
        <w:rPr>
          <w:rFonts w:ascii="Times New Roman" w:cs="Times New Roman" w:eastAsia="Times New Roman" w:hAnsi="Times New Roman"/>
          <w:sz w:val="15"/>
          <w:szCs w:val="15"/>
          <w:color w:val="auto"/>
        </w:rPr>
        <w:t>The Further FPA Amendments also amend the definition of “Cash Settlement Payment Date” to provide that if the settlement adjustment amount exceeds the settlement amount, SunPower shall remit to the applicable seller the difference between (i) the settlement amount adjustment and (ii) the settlement amount. The Further FPA Amendments further provide that the settlement amount will be used solely as a calculation mechanism to determine any liability SunPower may owe to the Seller via the settlement amount adjustment, and notwithstanding anything to the contrary herein, the Seller shall not be required to remit the settlement amount to SunPower or return any portion of the prepayment amount.</w:t>
      </w:r>
    </w:p>
    <w:p>
      <w:pPr>
        <w:spacing w:after="0" w:line="147" w:lineRule="exact"/>
        <w:rPr>
          <w:sz w:val="20"/>
          <w:szCs w:val="20"/>
          <w:color w:val="auto"/>
        </w:rPr>
      </w:pPr>
    </w:p>
    <w:p>
      <w:pPr>
        <w:ind w:left="540" w:hanging="276"/>
        <w:spacing w:after="0"/>
        <w:tabs>
          <w:tab w:leader="none" w:pos="54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Simple Agreement for Future Equity (“SAFE”) Agreements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First SAFE</w:t>
      </w:r>
    </w:p>
    <w:p>
      <w:pPr>
        <w:spacing w:after="0" w:line="192"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On January 31, 2024, we entered into a SAFE (“</w:t>
      </w:r>
      <w:r>
        <w:rPr>
          <w:rFonts w:ascii="Times New Roman" w:cs="Times New Roman" w:eastAsia="Times New Roman" w:hAnsi="Times New Roman"/>
          <w:sz w:val="15"/>
          <w:szCs w:val="15"/>
          <w:b w:val="1"/>
          <w:bCs w:val="1"/>
          <w:color w:val="auto"/>
        </w:rPr>
        <w:t>First SAFE</w:t>
      </w:r>
      <w:r>
        <w:rPr>
          <w:rFonts w:ascii="Times New Roman" w:cs="Times New Roman" w:eastAsia="Times New Roman" w:hAnsi="Times New Roman"/>
          <w:sz w:val="15"/>
          <w:szCs w:val="15"/>
          <w:color w:val="auto"/>
        </w:rPr>
        <w:t>”) with the Rodgers Massey Freedom and Free Markets Charitable Trust (the “</w:t>
      </w:r>
      <w:r>
        <w:rPr>
          <w:rFonts w:ascii="Times New Roman" w:cs="Times New Roman" w:eastAsia="Times New Roman" w:hAnsi="Times New Roman"/>
          <w:sz w:val="15"/>
          <w:szCs w:val="15"/>
          <w:b w:val="1"/>
          <w:bCs w:val="1"/>
          <w:color w:val="auto"/>
        </w:rPr>
        <w:t>Purchaser</w:t>
      </w:r>
      <w:r>
        <w:rPr>
          <w:rFonts w:ascii="Times New Roman" w:cs="Times New Roman" w:eastAsia="Times New Roman" w:hAnsi="Times New Roman"/>
          <w:sz w:val="15"/>
          <w:szCs w:val="15"/>
          <w:color w:val="auto"/>
        </w:rPr>
        <w:t>”) in connection with the Purchaser investing $1.5 million in the Company. The First SAFE is convertible into shares of our common stock, par value $0.0001 per share, upon the initial closing of a bona fide transaction or series of transactions with the principal purpose of raising capital, pursuant to which we issue and sell common stock at a fixed valuation (an “</w:t>
      </w:r>
      <w:r>
        <w:rPr>
          <w:rFonts w:ascii="Times New Roman" w:cs="Times New Roman" w:eastAsia="Times New Roman" w:hAnsi="Times New Roman"/>
          <w:sz w:val="15"/>
          <w:szCs w:val="15"/>
          <w:b w:val="1"/>
          <w:bCs w:val="1"/>
          <w:color w:val="auto"/>
        </w:rPr>
        <w:t>Equity Financing</w:t>
      </w:r>
      <w:r>
        <w:rPr>
          <w:rFonts w:ascii="Times New Roman" w:cs="Times New Roman" w:eastAsia="Times New Roman" w:hAnsi="Times New Roman"/>
          <w:sz w:val="15"/>
          <w:szCs w:val="15"/>
          <w:color w:val="auto"/>
        </w:rPr>
        <w:t>”), at a per share conversion price which is equal to the lower of (i) (a) $53.54 million divided by (b) our capitalization immediately prior to such Equity Financing (such conversion price, the “</w:t>
      </w:r>
      <w:r>
        <w:rPr>
          <w:rFonts w:ascii="Times New Roman" w:cs="Times New Roman" w:eastAsia="Times New Roman" w:hAnsi="Times New Roman"/>
          <w:sz w:val="15"/>
          <w:szCs w:val="15"/>
          <w:b w:val="1"/>
          <w:bCs w:val="1"/>
          <w:color w:val="auto"/>
        </w:rPr>
        <w:t>SAFE Price</w:t>
      </w:r>
      <w:r>
        <w:rPr>
          <w:rFonts w:ascii="Times New Roman" w:cs="Times New Roman" w:eastAsia="Times New Roman" w:hAnsi="Times New Roman"/>
          <w:sz w:val="15"/>
          <w:szCs w:val="15"/>
          <w:color w:val="auto"/>
        </w:rPr>
        <w:t>”), and (ii) 80% of the price per share of our common stock sold in the Equity Financing. If we consummate a change of control prior to the termination of the First SAFE, the Purchaser will be automatically entitled to receive a portion of the proceeds of such liquidity event equal to the greater of (i) $1.5 million and (ii) the amount payable on the number of shares of our common stock equal to (a) $1.5 million divided by (b)(1) $53.54 million divided by (2) our capitalization immediately prior to such liquidity event (the “Liquidity Price”), subject to certain adjustments as set forth in the First SAFE. The First SAFE was convertible into a maximum of 1,431,297 shares of our common stock, assuming a per share conversion price of $1.05, which is the product of (i) $1.31, the closing price of our common stock on January 31, 2024, multiplied by (ii) 80%.</w:t>
      </w:r>
    </w:p>
    <w:p>
      <w:pPr>
        <w:spacing w:after="0" w:line="152"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April 21, 2024, we entered into an amendment (“</w:t>
      </w:r>
      <w:r>
        <w:rPr>
          <w:rFonts w:ascii="Times New Roman" w:cs="Times New Roman" w:eastAsia="Times New Roman" w:hAnsi="Times New Roman"/>
          <w:sz w:val="15"/>
          <w:szCs w:val="15"/>
          <w:b w:val="1"/>
          <w:bCs w:val="1"/>
          <w:color w:val="auto"/>
        </w:rPr>
        <w:t>First SAFE Amendment</w:t>
      </w:r>
      <w:r>
        <w:rPr>
          <w:rFonts w:ascii="Times New Roman" w:cs="Times New Roman" w:eastAsia="Times New Roman" w:hAnsi="Times New Roman"/>
          <w:sz w:val="15"/>
          <w:szCs w:val="15"/>
          <w:color w:val="auto"/>
        </w:rPr>
        <w:t>”) that converted the First SAFE investment of $1.5 million into 4,166,667 shares of our common stock based on a conversion price of $0.36 per share, defined in the First SAFE Amendment as the product of (i) $0.45, the closing price of our common stock on April 19, 2024, multiplied by (ii) 80%. Upon conversion, we recorded a debit to SAFE Agreement of $1.5 million, a credit to Additional paid-in-capital of $1.9 million and recognized expense of $0.4 million within Other income (expense), net in our results of operations for the fiscal year ended December 29, 2024.</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62" w:right="319" w:bottom="1440" w:gutter="0" w:footer="0" w:header="0"/>
        </w:sectPr>
      </w:pPr>
    </w:p>
    <w:bookmarkStart w:id="331" w:name="page332"/>
    <w:bookmarkEnd w:id="331"/>
    <w:p>
      <w:pPr>
        <w:ind w:left="260"/>
        <w:spacing w:after="0"/>
        <w:rPr>
          <w:sz w:val="20"/>
          <w:szCs w:val="20"/>
          <w:color w:val="auto"/>
        </w:rPr>
      </w:pPr>
      <w:r>
        <w:rPr>
          <w:rFonts w:ascii="Times New Roman" w:cs="Times New Roman" w:eastAsia="Times New Roman" w:hAnsi="Times New Roman"/>
          <w:sz w:val="15"/>
          <w:szCs w:val="15"/>
          <w:i w:val="1"/>
          <w:iCs w:val="1"/>
          <w:color w:val="auto"/>
        </w:rPr>
        <w:t>Second SAFE</w:t>
      </w:r>
    </w:p>
    <w:p>
      <w:pPr>
        <w:spacing w:after="0" w:line="192"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On February 15, 2024, we entered into a second SAFE (the “</w:t>
      </w:r>
      <w:r>
        <w:rPr>
          <w:rFonts w:ascii="Times New Roman" w:cs="Times New Roman" w:eastAsia="Times New Roman" w:hAnsi="Times New Roman"/>
          <w:sz w:val="15"/>
          <w:szCs w:val="15"/>
          <w:b w:val="1"/>
          <w:bCs w:val="1"/>
          <w:color w:val="auto"/>
        </w:rPr>
        <w:t>Second SAFE</w:t>
      </w:r>
      <w:r>
        <w:rPr>
          <w:rFonts w:ascii="Times New Roman" w:cs="Times New Roman" w:eastAsia="Times New Roman" w:hAnsi="Times New Roman"/>
          <w:sz w:val="15"/>
          <w:szCs w:val="15"/>
          <w:color w:val="auto"/>
        </w:rPr>
        <w:t>”) with the Purchaser, in connection with the Purchaser investing $3.5 million in the Company. The Second SAFE did not accrue interest. The Second SAFE was initially convertible into shares of our common stock upon the initial closing of an Equity Financing at a per share conversion price which was equal to the lower of (i) the Second SAFE Price, and (ii) 80% of the price per share of our common stock sold in the Equity Financing. If we consummated a change of control prior to the termination of the Second SAFE, the Purchaser would have been automatically entitled to receive an amount equal to the greater of (i) $3.5 million and (ii) the amount payable on the number of shares of our common stock equal to $3.5 million divided by the Liquidity Price, subject to certain adjustments as set forth in the Second SAFE. The Second SAFE was convertible into a maximum of 3,707,627 shares of our common stock, assuming a per share conversion price of $0.94, which is the product of (i) $1.18, the closing per share price of our common stock on February 15, 2024, (ii) 80%.</w:t>
      </w:r>
    </w:p>
    <w:p>
      <w:pPr>
        <w:spacing w:after="0" w:line="154"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April 21, 2024, we entered into an amendment (“</w:t>
      </w:r>
      <w:r>
        <w:rPr>
          <w:rFonts w:ascii="Times New Roman" w:cs="Times New Roman" w:eastAsia="Times New Roman" w:hAnsi="Times New Roman"/>
          <w:sz w:val="15"/>
          <w:szCs w:val="15"/>
          <w:b w:val="1"/>
          <w:bCs w:val="1"/>
          <w:color w:val="auto"/>
        </w:rPr>
        <w:t>Second SAFE Amendment</w:t>
      </w:r>
      <w:r>
        <w:rPr>
          <w:rFonts w:ascii="Times New Roman" w:cs="Times New Roman" w:eastAsia="Times New Roman" w:hAnsi="Times New Roman"/>
          <w:sz w:val="15"/>
          <w:szCs w:val="15"/>
          <w:color w:val="auto"/>
        </w:rPr>
        <w:t>”) that converted the Second SAFE investment of $3.5 million into 9,722,222 shares of our common stock based on a conversion price of $0.36 per share, defined in the Second SAFE Amendment as the product of (i) $0.45, the closing price of our common stock on April 19, 2024, multiplied by (ii) 80%. Upon conversion, we recorded a debit to SAFE Agreement of $3.5 million, a credit to Additional paid-in-capital of $4.4 million and recognized expense of $0.9 million within Other income (expense), net in our results of operations for the fiscal year ended December 29, 2024.</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Third SAFE</w:t>
      </w:r>
    </w:p>
    <w:p>
      <w:pPr>
        <w:spacing w:after="0" w:line="192"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On May 13, 2024, we entered into a third SAFE (the “</w:t>
      </w:r>
      <w:r>
        <w:rPr>
          <w:rFonts w:ascii="Times New Roman" w:cs="Times New Roman" w:eastAsia="Times New Roman" w:hAnsi="Times New Roman"/>
          <w:sz w:val="15"/>
          <w:szCs w:val="15"/>
          <w:b w:val="1"/>
          <w:bCs w:val="1"/>
          <w:color w:val="auto"/>
        </w:rPr>
        <w:t>Third SAFE</w:t>
      </w:r>
      <w:r>
        <w:rPr>
          <w:rFonts w:ascii="Times New Roman" w:cs="Times New Roman" w:eastAsia="Times New Roman" w:hAnsi="Times New Roman"/>
          <w:sz w:val="15"/>
          <w:szCs w:val="15"/>
          <w:color w:val="auto"/>
        </w:rPr>
        <w:t>”) with the Purchaser, in connection with the Purchaser investing $1.0 million in the Company. The Third SAFE is convertible into shares of our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our common stock sold in the Equity Financing. If we consummate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our common stock, assuming a per share conversion price of $0.275, which is the product of (i) $0.55, the closing price of our common stock on May 13, 2024, multiplied by (ii) 50%. Given that the SAFE could be settled in cash or a variable number of shares, we have accounted for the instrument as a liability at its fair value.</w:t>
      </w:r>
    </w:p>
    <w:p>
      <w:pPr>
        <w:spacing w:after="0" w:line="158" w:lineRule="exact"/>
        <w:rPr>
          <w:sz w:val="20"/>
          <w:szCs w:val="20"/>
          <w:color w:val="auto"/>
        </w:rPr>
      </w:pPr>
    </w:p>
    <w:p>
      <w:pPr>
        <w:jc w:val="both"/>
        <w:ind w:firstLine="273"/>
        <w:spacing w:after="0" w:line="319" w:lineRule="auto"/>
        <w:rPr>
          <w:sz w:val="20"/>
          <w:szCs w:val="20"/>
          <w:color w:val="auto"/>
        </w:rPr>
      </w:pPr>
      <w:r>
        <w:rPr>
          <w:rFonts w:ascii="Times New Roman" w:cs="Times New Roman" w:eastAsia="Times New Roman" w:hAnsi="Times New Roman"/>
          <w:sz w:val="15"/>
          <w:szCs w:val="15"/>
          <w:color w:val="auto"/>
        </w:rPr>
        <w:t xml:space="preserve">As March 30, 2025, we estimated the fair value of the Third SAFE at $0.4 million based upon the assumptions disclosed in Note 4 to our unaudited condensed consolidated financial statements </w:t>
      </w:r>
      <w:r>
        <w:rPr>
          <w:rFonts w:ascii="Arial" w:cs="Arial" w:eastAsia="Arial" w:hAnsi="Arial"/>
          <w:sz w:val="15"/>
          <w:szCs w:val="15"/>
          <w:color w:val="auto"/>
        </w:rPr>
        <w:t>̶</w:t>
      </w:r>
      <w:r>
        <w:rPr>
          <w:rFonts w:ascii="Times New Roman" w:cs="Times New Roman" w:eastAsia="Times New Roman" w:hAnsi="Times New Roman"/>
          <w:sz w:val="15"/>
          <w:szCs w:val="15"/>
          <w:color w:val="auto"/>
        </w:rPr>
        <w:t>Fair Value Measurements.</w:t>
      </w:r>
    </w:p>
    <w:p>
      <w:pPr>
        <w:spacing w:after="0" w:line="83" w:lineRule="exact"/>
        <w:rPr>
          <w:sz w:val="20"/>
          <w:szCs w:val="20"/>
          <w:color w:val="auto"/>
        </w:rPr>
      </w:pPr>
    </w:p>
    <w:p>
      <w:pPr>
        <w:ind w:left="540" w:hanging="276"/>
        <w:spacing w:after="0"/>
        <w:tabs>
          <w:tab w:leader="none" w:pos="5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12% Convertible Senior Notes</w:t>
      </w:r>
    </w:p>
    <w:p>
      <w:pPr>
        <w:spacing w:after="0" w:line="192"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In July 2024, we issued $46.0 million of 12% convertible senior notes due 2029 (the “</w:t>
      </w:r>
      <w:r>
        <w:rPr>
          <w:rFonts w:ascii="Times New Roman" w:cs="Times New Roman" w:eastAsia="Times New Roman" w:hAnsi="Times New Roman"/>
          <w:sz w:val="15"/>
          <w:szCs w:val="15"/>
          <w:b w:val="1"/>
          <w:bCs w:val="1"/>
          <w:color w:val="auto"/>
        </w:rPr>
        <w:t>July 2024 12% Notes</w:t>
      </w:r>
      <w:r>
        <w:rPr>
          <w:rFonts w:ascii="Times New Roman" w:cs="Times New Roman" w:eastAsia="Times New Roman" w:hAnsi="Times New Roman"/>
          <w:sz w:val="15"/>
          <w:szCs w:val="15"/>
          <w:color w:val="auto"/>
        </w:rPr>
        <w:t>”) to various lenders, including in connection with the exchange agreement transactions summarized below. Of the July 2024 12% Notes, $18.0 million were issued in exchange for the cancellation of indebtedness as discussed below, which amount included $10.0 million issued to a strategic investor identified by us as a related party. The July 2024 12% Notes also included $18.0 million issued to a related party affiliated with Thurman J. Rodgers (our Chief Executive Officer), Rodgers Massey Revocable Living Trust. The July 2024 12% Notes bear interest at 12% per annum and mature on July 1, 2029. The interest rate increases by 3% in the event of default. The July 2024 12% Notes are convertible into shares of our common stock at the option of the holder at a conversion rate and initially equal to 595.2381 shares of common stock per $1,000 principal amount of the July notes. The July 2024 12% Notes may be declared due and payable at the option of the holder upon event of default and upon a qualifying change of control event.</w:t>
      </w:r>
    </w:p>
    <w:p>
      <w:pPr>
        <w:spacing w:after="0" w:line="158"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Further, on July 10, 2025, we issued an additional $5.0 million principal amount of 12% convertible senior notes due 2029 to a trust controlled by Mr. Rodgers. Such notes have terms substantially similar to the July 2024 12% Notes; provided that the 12% notes issued on July 10, 2025 have an initial conversion rate equal to 558.6592 shares of common stock per $1,000 principal amount of such notes. On November 20, 2025 we issued a further $2.0 principal amount of 12% convertible senior notes due 2029 to a trust controlled by Mr. Rodgers. Such notes have terms substantially similar to the July 2024 12% Notes; provided that the 12% notes issued on July 10, 2025 have an initial conversion rate equal to 626.9592 shares of common stock per $1,000 principal amount of such notes. Further, on January 29, 2026, we issued an additional $3.3 million principal amount of 12% convertible senior notes due 2029 to a trust controlled by Mr. Rodgers. Such notes have terms substantially similar to the July 2024 12% Notes; provided that the 12% notes issued on January 29, 2026 have an initial conversion rate equal to 540.5405 shares of common stock per $1,000 principal amount of such notes.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332" w:name="page333"/>
    <w:bookmarkEnd w:id="332"/>
    <w:p>
      <w:pPr>
        <w:ind w:left="540" w:hanging="276"/>
        <w:spacing w:after="0"/>
        <w:tabs>
          <w:tab w:leader="none" w:pos="5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Exchange Agreement Transactions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On July 1, 2024, we entered into an Exchange Agreement (the “</w:t>
      </w:r>
      <w:r>
        <w:rPr>
          <w:rFonts w:ascii="Times New Roman" w:cs="Times New Roman" w:eastAsia="Times New Roman" w:hAnsi="Times New Roman"/>
          <w:sz w:val="15"/>
          <w:szCs w:val="15"/>
          <w:b w:val="1"/>
          <w:bCs w:val="1"/>
          <w:color w:val="auto"/>
        </w:rPr>
        <w:t>Exchange Agreement</w:t>
      </w:r>
      <w:r>
        <w:rPr>
          <w:rFonts w:ascii="Times New Roman" w:cs="Times New Roman" w:eastAsia="Times New Roman" w:hAnsi="Times New Roman"/>
          <w:sz w:val="15"/>
          <w:szCs w:val="15"/>
          <w:color w:val="auto"/>
        </w:rPr>
        <w:t>”) with CSEF Holdings, LLC and its affiliates (“</w:t>
      </w:r>
      <w:r>
        <w:rPr>
          <w:rFonts w:ascii="Times New Roman" w:cs="Times New Roman" w:eastAsia="Times New Roman" w:hAnsi="Times New Roman"/>
          <w:sz w:val="15"/>
          <w:szCs w:val="15"/>
          <w:b w:val="1"/>
          <w:bCs w:val="1"/>
          <w:color w:val="auto"/>
        </w:rPr>
        <w:t>Carlyle</w:t>
      </w:r>
      <w:r>
        <w:rPr>
          <w:rFonts w:ascii="Times New Roman" w:cs="Times New Roman" w:eastAsia="Times New Roman" w:hAnsi="Times New Roman"/>
          <w:sz w:val="15"/>
          <w:szCs w:val="15"/>
          <w:color w:val="auto"/>
        </w:rPr>
        <w:t>”) and Kline Hill (as defined below)</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providing for:</w:t>
      </w:r>
    </w:p>
    <w:p>
      <w:pPr>
        <w:spacing w:after="0" w:line="177" w:lineRule="exact"/>
        <w:rPr>
          <w:sz w:val="20"/>
          <w:szCs w:val="20"/>
          <w:color w:val="auto"/>
        </w:rPr>
      </w:pPr>
    </w:p>
    <w:p>
      <w:pPr>
        <w:jc w:val="both"/>
        <w:ind w:left="540" w:hanging="276"/>
        <w:spacing w:after="0" w:line="270" w:lineRule="auto"/>
        <w:tabs>
          <w:tab w:leader="none" w:pos="5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p>
      <w:pPr>
        <w:spacing w:after="0" w:line="146"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a note for the principal amount of $10.0 million to Carlyle as part of the 12% Notes;</w:t>
      </w:r>
    </w:p>
    <w:p>
      <w:pPr>
        <w:spacing w:after="0" w:line="187" w:lineRule="exact"/>
        <w:rPr>
          <w:rFonts w:ascii="Times New Roman" w:cs="Times New Roman" w:eastAsia="Times New Roman" w:hAnsi="Times New Roman"/>
          <w:sz w:val="15"/>
          <w:szCs w:val="15"/>
          <w:color w:val="auto"/>
        </w:rPr>
      </w:pPr>
    </w:p>
    <w:p>
      <w:pPr>
        <w:jc w:val="both"/>
        <w:ind w:left="540" w:hanging="276"/>
        <w:spacing w:after="0" w:line="263" w:lineRule="auto"/>
        <w:tabs>
          <w:tab w:leader="none" w:pos="5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cancellation of all indebtedness owed to Kline Hill Partners Fund LP, a Delaware limited partnership (“</w:t>
      </w:r>
      <w:r>
        <w:rPr>
          <w:rFonts w:ascii="Times New Roman" w:cs="Times New Roman" w:eastAsia="Times New Roman" w:hAnsi="Times New Roman"/>
          <w:sz w:val="15"/>
          <w:szCs w:val="15"/>
          <w:b w:val="1"/>
          <w:bCs w:val="1"/>
          <w:color w:val="auto"/>
        </w:rPr>
        <w:t>Kline Fund</w:t>
      </w:r>
      <w:r>
        <w:rPr>
          <w:rFonts w:ascii="Times New Roman" w:cs="Times New Roman" w:eastAsia="Times New Roman" w:hAnsi="Times New Roman"/>
          <w:sz w:val="15"/>
          <w:szCs w:val="15"/>
          <w:color w:val="auto"/>
        </w:rPr>
        <w:t>”), Kline Hill Partners IV SPV LLC, a Delaware limited liability company (“</w:t>
      </w:r>
      <w:r>
        <w:rPr>
          <w:rFonts w:ascii="Times New Roman" w:cs="Times New Roman" w:eastAsia="Times New Roman" w:hAnsi="Times New Roman"/>
          <w:sz w:val="15"/>
          <w:szCs w:val="15"/>
          <w:b w:val="1"/>
          <w:bCs w:val="1"/>
          <w:color w:val="auto"/>
        </w:rPr>
        <w:t>Kline Partners</w:t>
      </w:r>
      <w:r>
        <w:rPr>
          <w:rFonts w:ascii="Times New Roman" w:cs="Times New Roman" w:eastAsia="Times New Roman" w:hAnsi="Times New Roman"/>
          <w:sz w:val="15"/>
          <w:szCs w:val="15"/>
          <w:color w:val="auto"/>
        </w:rPr>
        <w:t>”) and Kline Hill Partners Opportunity IV SPV LLC, a Delaware limited liability company (“</w:t>
      </w:r>
      <w:r>
        <w:rPr>
          <w:rFonts w:ascii="Times New Roman" w:cs="Times New Roman" w:eastAsia="Times New Roman" w:hAnsi="Times New Roman"/>
          <w:sz w:val="15"/>
          <w:szCs w:val="15"/>
          <w:b w:val="1"/>
          <w:bCs w:val="1"/>
          <w:color w:val="auto"/>
        </w:rPr>
        <w:t>Kline Opportunity</w:t>
      </w:r>
      <w:r>
        <w:rPr>
          <w:rFonts w:ascii="Times New Roman" w:cs="Times New Roman" w:eastAsia="Times New Roman" w:hAnsi="Times New Roman"/>
          <w:sz w:val="15"/>
          <w:szCs w:val="15"/>
          <w:color w:val="auto"/>
        </w:rPr>
        <w:t>” and together with Kline Fund and Kline Partners, “</w:t>
      </w:r>
      <w:r>
        <w:rPr>
          <w:rFonts w:ascii="Times New Roman" w:cs="Times New Roman" w:eastAsia="Times New Roman" w:hAnsi="Times New Roman"/>
          <w:sz w:val="15"/>
          <w:szCs w:val="15"/>
          <w:b w:val="1"/>
          <w:bCs w:val="1"/>
          <w:color w:val="auto"/>
        </w:rPr>
        <w:t>Kline Hill</w:t>
      </w:r>
      <w:r>
        <w:rPr>
          <w:rFonts w:ascii="Times New Roman" w:cs="Times New Roman" w:eastAsia="Times New Roman" w:hAnsi="Times New Roman"/>
          <w:sz w:val="15"/>
          <w:szCs w:val="15"/>
          <w:color w:val="auto"/>
        </w:rPr>
        <w:t>”), by the Company, termination of all debt instruments by and between the Company and Kline Hill, including certain senior subordinated convertible secured notes issued by Solaria in 2018 (the “</w:t>
      </w:r>
      <w:r>
        <w:rPr>
          <w:rFonts w:ascii="Times New Roman" w:cs="Times New Roman" w:eastAsia="Times New Roman" w:hAnsi="Times New Roman"/>
          <w:sz w:val="15"/>
          <w:szCs w:val="15"/>
          <w:b w:val="1"/>
          <w:bCs w:val="1"/>
          <w:color w:val="auto"/>
        </w:rPr>
        <w:t>2018 Bridge Notes</w:t>
      </w:r>
      <w:r>
        <w:rPr>
          <w:rFonts w:ascii="Times New Roman" w:cs="Times New Roman" w:eastAsia="Times New Roman" w:hAnsi="Times New Roman"/>
          <w:sz w:val="15"/>
          <w:szCs w:val="15"/>
          <w:color w:val="auto"/>
        </w:rPr>
        <w:t>”), a revolving loan and a secured credit facility, and the satisfaction of all obligations owed to Kline Hill by the Company under the terminated debt instruments;</w:t>
      </w:r>
    </w:p>
    <w:p>
      <w:pPr>
        <w:spacing w:after="0" w:line="151"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a note for the principal amount of $8.0 million to Kline Hill as part of the 12% Notes; and</w:t>
      </w:r>
    </w:p>
    <w:p>
      <w:pPr>
        <w:spacing w:after="0" w:line="187" w:lineRule="exact"/>
        <w:rPr>
          <w:rFonts w:ascii="Times New Roman" w:cs="Times New Roman" w:eastAsia="Times New Roman" w:hAnsi="Times New Roman"/>
          <w:sz w:val="15"/>
          <w:szCs w:val="15"/>
          <w:color w:val="auto"/>
        </w:rPr>
      </w:pPr>
    </w:p>
    <w:p>
      <w:pPr>
        <w:ind w:left="540" w:hanging="276"/>
        <w:spacing w:after="0"/>
        <w:tabs>
          <w:tab w:leader="none" w:pos="5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1,500,000 shares of common stock to Kline Hill (the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540" w:hanging="276"/>
        <w:spacing w:after="0"/>
        <w:tabs>
          <w:tab w:leader="none" w:pos="5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7% Convertible Senior Notes</w:t>
      </w:r>
    </w:p>
    <w:p>
      <w:pPr>
        <w:spacing w:after="0" w:line="192"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In September 2024, we issued $66.8 million of our 7% convertible senior notes due 2029 (the “</w:t>
      </w:r>
      <w:r>
        <w:rPr>
          <w:rFonts w:ascii="Times New Roman" w:cs="Times New Roman" w:eastAsia="Times New Roman" w:hAnsi="Times New Roman"/>
          <w:sz w:val="15"/>
          <w:szCs w:val="15"/>
          <w:b w:val="1"/>
          <w:bCs w:val="1"/>
          <w:color w:val="auto"/>
        </w:rPr>
        <w:t>7% Notes</w:t>
      </w:r>
      <w:r>
        <w:rPr>
          <w:rFonts w:ascii="Times New Roman" w:cs="Times New Roman" w:eastAsia="Times New Roman" w:hAnsi="Times New Roman"/>
          <w:sz w:val="15"/>
          <w:szCs w:val="15"/>
          <w:color w:val="auto"/>
        </w:rPr>
        <w:t>”) to various lenders, $8.0 million of which were issued to a related party. In December 2024, we issued additional 7% Notes for cash proceeds of $13.0 million, and we issued an additional $0.2 million of the 7% Notes in the thirteen weeks ended March 30, 2025. On September 23, 2025, we issued $22.0 million aggregate principal amount of the 7% Notes for net proceeds to us of $19,800,000, which net proceeds were used to pay a portion of the purchase price for the Sunder Acquisition. The 7% Notes bear interest at 7% per annum and mature on July 1, 2029. The 7% Notes are initially convertible into 467.8363 shares of common stock per $1,000 principal amount of 7% Notes, subject to the adjustment provisions, including make-whole adjustment terms, included in the 7% Notes. The 7% Notes may be declared due and payable at the option of the holder upon an event of default and upon a qualifying change of control event.</w:t>
      </w:r>
    </w:p>
    <w:p>
      <w:pPr>
        <w:spacing w:after="0" w:line="149" w:lineRule="exact"/>
        <w:rPr>
          <w:sz w:val="20"/>
          <w:szCs w:val="20"/>
          <w:color w:val="auto"/>
        </w:rPr>
      </w:pPr>
    </w:p>
    <w:p>
      <w:pPr>
        <w:ind w:left="540" w:hanging="276"/>
        <w:spacing w:after="0"/>
        <w:tabs>
          <w:tab w:leader="none" w:pos="5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July 2023 Common Stock Warrants</w:t>
      </w:r>
    </w:p>
    <w:p>
      <w:pPr>
        <w:spacing w:after="0" w:line="196" w:lineRule="exact"/>
        <w:rPr>
          <w:sz w:val="20"/>
          <w:szCs w:val="20"/>
          <w:color w:val="auto"/>
        </w:rPr>
      </w:pPr>
    </w:p>
    <w:p>
      <w:pPr>
        <w:ind w:right="20" w:firstLine="273"/>
        <w:spacing w:after="0" w:line="287" w:lineRule="auto"/>
        <w:rPr>
          <w:sz w:val="20"/>
          <w:szCs w:val="20"/>
          <w:color w:val="auto"/>
        </w:rPr>
      </w:pPr>
      <w:r>
        <w:rPr>
          <w:rFonts w:ascii="Times New Roman" w:cs="Times New Roman" w:eastAsia="Times New Roman" w:hAnsi="Times New Roman"/>
          <w:sz w:val="15"/>
          <w:szCs w:val="15"/>
          <w:color w:val="auto"/>
        </w:rPr>
        <w:t>In July 2023, the Company issued a warrant to a third-party service provider to purchase 38,981 shares of the Company’s common stock in exchange for services. The warrant is exercisable at a price of $0.01 per share and has an expiration date of July 2028.</w:t>
      </w:r>
    </w:p>
    <w:p>
      <w:pPr>
        <w:spacing w:after="0" w:line="130" w:lineRule="exact"/>
        <w:rPr>
          <w:sz w:val="20"/>
          <w:szCs w:val="20"/>
          <w:color w:val="auto"/>
        </w:rPr>
      </w:pPr>
    </w:p>
    <w:p>
      <w:pPr>
        <w:ind w:left="540" w:hanging="276"/>
        <w:spacing w:after="0"/>
        <w:tabs>
          <w:tab w:leader="none" w:pos="54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Warrant Consideration</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In July 2023, in connection with the Mergers, the Company issued 6,266,572 warrants to purchase SunPower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paid-in capital, net of the issuance costs of the Mergers.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333" w:name="page334"/>
    <w:bookmarkEnd w:id="333"/>
    <w:p>
      <w:pPr>
        <w:ind w:left="540" w:hanging="276"/>
        <w:spacing w:after="0"/>
        <w:tabs>
          <w:tab w:leader="none" w:pos="5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Ayna Warrant</w:t>
      </w:r>
    </w:p>
    <w:p>
      <w:pPr>
        <w:spacing w:after="0" w:line="192"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color w:val="auto"/>
        </w:rPr>
        <w:t>On June 17, 2024, a warrant to purchase shares of the Company’s common stock (“</w:t>
      </w:r>
      <w:r>
        <w:rPr>
          <w:rFonts w:ascii="Times New Roman" w:cs="Times New Roman" w:eastAsia="Times New Roman" w:hAnsi="Times New Roman"/>
          <w:sz w:val="15"/>
          <w:szCs w:val="15"/>
          <w:b w:val="1"/>
          <w:bCs w:val="1"/>
          <w:color w:val="auto"/>
        </w:rPr>
        <w:t>Ayna Warrant</w:t>
      </w:r>
      <w:r>
        <w:rPr>
          <w:rFonts w:ascii="Times New Roman" w:cs="Times New Roman" w:eastAsia="Times New Roman" w:hAnsi="Times New Roman"/>
          <w:sz w:val="15"/>
          <w:szCs w:val="15"/>
          <w:color w:val="auto"/>
        </w:rPr>
        <w:t>”) was issued to Ayna.AI LLC (“</w:t>
      </w:r>
      <w:r>
        <w:rPr>
          <w:rFonts w:ascii="Times New Roman" w:cs="Times New Roman" w:eastAsia="Times New Roman" w:hAnsi="Times New Roman"/>
          <w:sz w:val="15"/>
          <w:szCs w:val="15"/>
          <w:b w:val="1"/>
          <w:bCs w:val="1"/>
          <w:color w:val="auto"/>
        </w:rPr>
        <w:t>Ayna</w:t>
      </w:r>
      <w:r>
        <w:rPr>
          <w:rFonts w:ascii="Times New Roman" w:cs="Times New Roman" w:eastAsia="Times New Roman" w:hAnsi="Times New Roman"/>
          <w:sz w:val="15"/>
          <w:szCs w:val="15"/>
          <w:color w:val="auto"/>
        </w:rPr>
        <w:t>”) for the purchase of 6,000,000 shares of the Company’s common stock at an exercise price per share of $0.01, subject to the provisions and upon the terms and conditions set forth in the Ayna Warrant. The Ayna Warrant became fully exercisable for the 6,000,000 shares of the Company’s common stock on September 9, 2024. The Ayna Warrant was exercised in full for cash of $60,000 in January 2025.</w:t>
      </w:r>
    </w:p>
    <w:p>
      <w:pPr>
        <w:spacing w:after="0" w:line="140" w:lineRule="exact"/>
        <w:rPr>
          <w:sz w:val="20"/>
          <w:szCs w:val="20"/>
          <w:color w:val="auto"/>
        </w:rPr>
      </w:pPr>
    </w:p>
    <w:p>
      <w:pPr>
        <w:ind w:left="540" w:hanging="276"/>
        <w:spacing w:after="0"/>
        <w:tabs>
          <w:tab w:leader="none" w:pos="5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Cantor Warrant</w:t>
      </w:r>
    </w:p>
    <w:p>
      <w:pPr>
        <w:spacing w:after="0" w:line="196" w:lineRule="exact"/>
        <w:rPr>
          <w:sz w:val="20"/>
          <w:szCs w:val="20"/>
          <w:color w:val="auto"/>
        </w:rPr>
      </w:pPr>
    </w:p>
    <w:p>
      <w:pPr>
        <w:ind w:right="20" w:firstLine="273"/>
        <w:spacing w:after="0" w:line="287" w:lineRule="auto"/>
        <w:rPr>
          <w:sz w:val="20"/>
          <w:szCs w:val="20"/>
          <w:color w:val="auto"/>
        </w:rPr>
      </w:pPr>
      <w:r>
        <w:rPr>
          <w:rFonts w:ascii="Times New Roman" w:cs="Times New Roman" w:eastAsia="Times New Roman" w:hAnsi="Times New Roman"/>
          <w:sz w:val="15"/>
          <w:szCs w:val="15"/>
          <w:color w:val="auto"/>
        </w:rPr>
        <w:t>In July 2024, the Company issued a warrant to a third-party service provider to purchase 3,066,141 shares of the Company’s common stock in exchange for services provided in the issuance of the 12% Notes. This warrant was immediately exercisable at a price of $1.68 per share and has an expiration date in July 2029.</w:t>
      </w:r>
    </w:p>
    <w:p>
      <w:pPr>
        <w:spacing w:after="0" w:line="130" w:lineRule="exact"/>
        <w:rPr>
          <w:sz w:val="20"/>
          <w:szCs w:val="20"/>
          <w:color w:val="auto"/>
        </w:rPr>
      </w:pPr>
    </w:p>
    <w:p>
      <w:pPr>
        <w:ind w:left="540" w:hanging="276"/>
        <w:spacing w:after="0"/>
        <w:tabs>
          <w:tab w:leader="none" w:pos="5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White Lion Equity Line of Credit</w:t>
      </w:r>
    </w:p>
    <w:p>
      <w:pPr>
        <w:spacing w:after="0" w:line="192"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On July 16, 2024, we entered into a common stock purchase agreement with White Lion Capital, LLC (“</w:t>
      </w:r>
      <w:r>
        <w:rPr>
          <w:rFonts w:ascii="Times New Roman" w:cs="Times New Roman" w:eastAsia="Times New Roman" w:hAnsi="Times New Roman"/>
          <w:sz w:val="15"/>
          <w:szCs w:val="15"/>
          <w:b w:val="1"/>
          <w:bCs w:val="1"/>
          <w:color w:val="auto"/>
        </w:rPr>
        <w:t>White Lion</w:t>
      </w:r>
      <w:r>
        <w:rPr>
          <w:rFonts w:ascii="Times New Roman" w:cs="Times New Roman" w:eastAsia="Times New Roman" w:hAnsi="Times New Roman"/>
          <w:sz w:val="15"/>
          <w:szCs w:val="15"/>
          <w:color w:val="auto"/>
        </w:rPr>
        <w:t>”), as amended (“</w:t>
      </w:r>
      <w:r>
        <w:rPr>
          <w:rFonts w:ascii="Times New Roman" w:cs="Times New Roman" w:eastAsia="Times New Roman" w:hAnsi="Times New Roman"/>
          <w:sz w:val="15"/>
          <w:szCs w:val="15"/>
          <w:b w:val="1"/>
          <w:bCs w:val="1"/>
          <w:color w:val="auto"/>
        </w:rPr>
        <w:t>White Lion SPA</w:t>
      </w:r>
      <w:r>
        <w:rPr>
          <w:rFonts w:ascii="Times New Roman" w:cs="Times New Roman" w:eastAsia="Times New Roman" w:hAnsi="Times New Roman"/>
          <w:sz w:val="15"/>
          <w:szCs w:val="15"/>
          <w:color w:val="auto"/>
        </w:rPr>
        <w:t>”), and a related registration rights agreement for an equity line of credit financing facility. Under the White Lion SPA, the Company issued 1.0 million and 2.9 million shares of the Company’s common stock for proceeds of $1.7 million and $6.7 million in the thirty-nine week period ended September 28, 2025 and fiscal year ended December 29, 2024, respectively. In total, the Company has issued and sold 6,928,837 shares of its common stock to White Lion under the White Lion SPA.</w:t>
      </w:r>
    </w:p>
    <w:p>
      <w:pPr>
        <w:spacing w:after="0" w:line="146" w:lineRule="exact"/>
        <w:rPr>
          <w:sz w:val="20"/>
          <w:szCs w:val="20"/>
          <w:color w:val="auto"/>
        </w:rPr>
      </w:pPr>
    </w:p>
    <w:p>
      <w:pPr>
        <w:ind w:left="540" w:hanging="276"/>
        <w:spacing w:after="0"/>
        <w:tabs>
          <w:tab w:leader="none" w:pos="5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Sunder Seller Note</w:t>
      </w:r>
    </w:p>
    <w:p>
      <w:pPr>
        <w:spacing w:after="0" w:line="192" w:lineRule="exact"/>
        <w:rPr>
          <w:sz w:val="20"/>
          <w:szCs w:val="20"/>
          <w:color w:val="auto"/>
        </w:rPr>
      </w:pPr>
    </w:p>
    <w:p>
      <w:pPr>
        <w:jc w:val="both"/>
        <w:ind w:firstLine="273"/>
        <w:spacing w:after="0" w:line="257" w:lineRule="auto"/>
        <w:rPr>
          <w:sz w:val="20"/>
          <w:szCs w:val="20"/>
          <w:color w:val="auto"/>
        </w:rPr>
      </w:pPr>
      <w:r>
        <w:rPr>
          <w:rFonts w:ascii="Times New Roman" w:cs="Times New Roman" w:eastAsia="Times New Roman" w:hAnsi="Times New Roman"/>
          <w:sz w:val="15"/>
          <w:szCs w:val="15"/>
          <w:color w:val="auto"/>
        </w:rPr>
        <w:t>On September 24, 2025, SunPower issued a promissory note in the principal amount of $20,000,000 (the “</w:t>
      </w:r>
      <w:r>
        <w:rPr>
          <w:rFonts w:ascii="Times New Roman" w:cs="Times New Roman" w:eastAsia="Times New Roman" w:hAnsi="Times New Roman"/>
          <w:sz w:val="15"/>
          <w:szCs w:val="15"/>
          <w:b w:val="1"/>
          <w:bCs w:val="1"/>
          <w:color w:val="auto"/>
        </w:rPr>
        <w:t>Seller Note</w:t>
      </w:r>
      <w:r>
        <w:rPr>
          <w:rFonts w:ascii="Times New Roman" w:cs="Times New Roman" w:eastAsia="Times New Roman" w:hAnsi="Times New Roman"/>
          <w:sz w:val="15"/>
          <w:szCs w:val="15"/>
          <w:color w:val="auto"/>
        </w:rPr>
        <w:t>”) to the selling equity holder in the Sunder Acquisition. The Seller Note bears interest at 7.0% per annum, compounded quarterly, and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The Seller Note also provides that the Company will use its reasonable best efforts to solicit the consent and waiver from the requisite holders of the 7.00% Notes (as defined below) required to grant a security interest and lien in the Company’s assets to secure the Company’s obligations under the Seller Note. If such consent and waiver is obtained, the Company and the Member with negotiate, execute and deliver a separate security agreement with respect to such security interest and lien.</w:t>
      </w:r>
    </w:p>
    <w:p>
      <w:pPr>
        <w:spacing w:after="0" w:line="156" w:lineRule="exact"/>
        <w:rPr>
          <w:sz w:val="20"/>
          <w:szCs w:val="20"/>
          <w:color w:val="auto"/>
        </w:rPr>
      </w:pPr>
    </w:p>
    <w:p>
      <w:pPr>
        <w:ind w:left="540" w:hanging="276"/>
        <w:spacing w:after="0"/>
        <w:tabs>
          <w:tab w:leader="none" w:pos="54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Yorkville Purchase Agreement and Convertible Note</w:t>
      </w:r>
    </w:p>
    <w:p>
      <w:pPr>
        <w:spacing w:after="0" w:line="192"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color w:val="auto"/>
        </w:rPr>
        <w:t>On January 27, 2026, the Company entered into a standby equity purchase agreement (the “</w:t>
      </w:r>
      <w:r>
        <w:rPr>
          <w:rFonts w:ascii="Times New Roman" w:cs="Times New Roman" w:eastAsia="Times New Roman" w:hAnsi="Times New Roman"/>
          <w:sz w:val="15"/>
          <w:szCs w:val="15"/>
          <w:b w:val="1"/>
          <w:bCs w:val="1"/>
          <w:color w:val="auto"/>
        </w:rPr>
        <w:t>Purchase Agreement</w:t>
      </w:r>
      <w:r>
        <w:rPr>
          <w:rFonts w:ascii="Times New Roman" w:cs="Times New Roman" w:eastAsia="Times New Roman" w:hAnsi="Times New Roman"/>
          <w:sz w:val="15"/>
          <w:szCs w:val="15"/>
          <w:color w:val="auto"/>
        </w:rPr>
        <w:t>”) with YA II PN, LTD (“</w:t>
      </w:r>
      <w:r>
        <w:rPr>
          <w:rFonts w:ascii="Times New Roman" w:cs="Times New Roman" w:eastAsia="Times New Roman" w:hAnsi="Times New Roman"/>
          <w:sz w:val="15"/>
          <w:szCs w:val="15"/>
          <w:b w:val="1"/>
          <w:bCs w:val="1"/>
          <w:color w:val="auto"/>
        </w:rPr>
        <w:t>Yorkville</w:t>
      </w:r>
      <w:r>
        <w:rPr>
          <w:rFonts w:ascii="Times New Roman" w:cs="Times New Roman" w:eastAsia="Times New Roman" w:hAnsi="Times New Roman"/>
          <w:sz w:val="15"/>
          <w:szCs w:val="15"/>
          <w:color w:val="auto"/>
        </w:rPr>
        <w:t>”) and a related registration rights agreement for an equity line of credit financing facility. Under the Purchase Agreement, the Company issued 175,000 shares as a commitment fee to Yorkville, and delivered to Yorkville a convertible promissory note, convertible into shares of the Company’s common stock, in the original principal amount of $1,900,000 on January 27, 2026.</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01"/>
        </w:trPr>
        <w:tc>
          <w:tcPr>
            <w:tcW w:w="7780" w:type="dxa"/>
            <w:vAlign w:val="bottom"/>
            <w:gridSpan w:val="25"/>
          </w:tcPr>
          <w:p>
            <w:pPr>
              <w:spacing w:after="0"/>
              <w:rPr>
                <w:sz w:val="20"/>
                <w:szCs w:val="20"/>
                <w:color w:val="auto"/>
              </w:rPr>
            </w:pPr>
            <w:r>
              <w:rPr>
                <w:rFonts w:ascii="Times New Roman" w:cs="Times New Roman" w:eastAsia="Times New Roman" w:hAnsi="Times New Roman"/>
                <w:sz w:val="15"/>
                <w:szCs w:val="15"/>
                <w:b w:val="1"/>
                <w:bCs w:val="1"/>
                <w:color w:val="auto"/>
              </w:rPr>
              <w:t>Item 16. Exhibits and Financial Statement Schedules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45"/>
        </w:trPr>
        <w:tc>
          <w:tcPr>
            <w:tcW w:w="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gridSpan w:val="12"/>
          </w:tcPr>
          <w:p>
            <w:pPr>
              <w:spacing w:after="0"/>
              <w:rPr>
                <w:sz w:val="20"/>
                <w:szCs w:val="20"/>
                <w:color w:val="auto"/>
              </w:rPr>
            </w:pPr>
            <w:r>
              <w:rPr>
                <w:rFonts w:ascii="Times New Roman" w:cs="Times New Roman" w:eastAsia="Times New Roman" w:hAnsi="Times New Roman"/>
                <w:sz w:val="15"/>
                <w:szCs w:val="15"/>
                <w:b w:val="1"/>
                <w:bCs w:val="1"/>
                <w:color w:val="auto"/>
              </w:rPr>
              <w:t>Exhibit Description</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Form</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File Number</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Filing Date</w:t>
            </w:r>
          </w:p>
        </w:tc>
      </w:tr>
      <w:tr>
        <w:trPr>
          <w:trHeight w:val="148"/>
        </w:trPr>
        <w:tc>
          <w:tcPr>
            <w:tcW w:w="90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auto"/>
              </w:rPr>
              <w:t>2.1</w:t>
            </w: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6660" w:type="dxa"/>
            <w:vAlign w:val="bottom"/>
            <w:tcBorders>
              <w:top w:val="single" w:sz="8" w:color="auto"/>
              <w:bottom w:val="single" w:sz="8" w:color="0000EE"/>
            </w:tcBorders>
            <w:gridSpan w:val="21"/>
            <w:shd w:val="clear" w:color="auto" w:fill="CCEEFF"/>
          </w:tcPr>
          <w:p>
            <w:pPr>
              <w:spacing w:after="0" w:line="148" w:lineRule="exact"/>
              <w:rPr>
                <w:rFonts w:ascii="Times New Roman" w:cs="Times New Roman" w:eastAsia="Times New Roman" w:hAnsi="Times New Roman"/>
                <w:sz w:val="15"/>
                <w:szCs w:val="15"/>
                <w:color w:val="0000EE"/>
              </w:rPr>
            </w:pPr>
            <w:hyperlink r:id="rId366">
              <w:r>
                <w:rPr>
                  <w:rFonts w:ascii="Times New Roman" w:cs="Times New Roman" w:eastAsia="Times New Roman" w:hAnsi="Times New Roman"/>
                  <w:sz w:val="15"/>
                  <w:szCs w:val="15"/>
                  <w:color w:val="0000EE"/>
                </w:rPr>
                <w:t>Amended and Restated Business Combination Agreement, dated as of May 26, 2023, by and among Freedom</w:t>
              </w:r>
            </w:hyperlink>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S-4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333-269674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rPr>
              <w:t>2.1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2023-05-31</w:t>
            </w:r>
          </w:p>
        </w:tc>
      </w:tr>
      <w:tr>
        <w:trPr>
          <w:trHeight w:val="162"/>
        </w:trPr>
        <w:tc>
          <w:tcPr>
            <w:tcW w:w="9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6640" w:type="dxa"/>
            <w:vAlign w:val="bottom"/>
            <w:tcBorders>
              <w:bottom w:val="single" w:sz="8" w:color="0000EE"/>
            </w:tcBorders>
            <w:gridSpan w:val="20"/>
            <w:shd w:val="clear" w:color="auto" w:fill="CCEEFF"/>
          </w:tcPr>
          <w:p>
            <w:pPr>
              <w:spacing w:after="0" w:line="162" w:lineRule="exact"/>
              <w:rPr>
                <w:rFonts w:ascii="Times New Roman" w:cs="Times New Roman" w:eastAsia="Times New Roman" w:hAnsi="Times New Roman"/>
                <w:sz w:val="15"/>
                <w:szCs w:val="15"/>
                <w:color w:val="0000EE"/>
              </w:rPr>
            </w:pPr>
            <w:hyperlink r:id="rId366">
              <w:r>
                <w:rPr>
                  <w:rFonts w:ascii="Times New Roman" w:cs="Times New Roman" w:eastAsia="Times New Roman" w:hAnsi="Times New Roman"/>
                  <w:sz w:val="15"/>
                  <w:szCs w:val="15"/>
                  <w:color w:val="0000EE"/>
                </w:rPr>
                <w:t>Acquisition I Corp., Jupiter Merger Sub I Corp., Jupiter Merger Sub II LLC, Complete Solar Holding</w:t>
              </w:r>
            </w:hyperlink>
          </w:p>
        </w:tc>
        <w:tc>
          <w:tcPr>
            <w:tcW w:w="100" w:type="dxa"/>
            <w:vAlign w:val="bottom"/>
            <w:tcBorders>
              <w:bottom w:val="single" w:sz="8" w:color="CCEEFF"/>
            </w:tcBorders>
            <w:gridSpan w:val="3"/>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62"/>
        </w:trPr>
        <w:tc>
          <w:tcPr>
            <w:tcW w:w="9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740" w:type="dxa"/>
            <w:vAlign w:val="bottom"/>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366">
              <w:r>
                <w:rPr>
                  <w:rFonts w:ascii="Times New Roman" w:cs="Times New Roman" w:eastAsia="Times New Roman" w:hAnsi="Times New Roman"/>
                  <w:sz w:val="15"/>
                  <w:szCs w:val="15"/>
                  <w:color w:val="0000EE"/>
                </w:rPr>
                <w:t>Corporation, and The Solaria Corporation</w:t>
              </w:r>
            </w:hyperlink>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2.2</w:t>
            </w:r>
          </w:p>
        </w:tc>
        <w:tc>
          <w:tcPr>
            <w:tcW w:w="140" w:type="dxa"/>
            <w:vAlign w:val="bottom"/>
          </w:tcPr>
          <w:p>
            <w:pPr>
              <w:spacing w:after="0"/>
              <w:rPr>
                <w:sz w:val="12"/>
                <w:szCs w:val="12"/>
                <w:color w:val="auto"/>
              </w:rPr>
            </w:pPr>
          </w:p>
        </w:tc>
        <w:tc>
          <w:tcPr>
            <w:tcW w:w="6660" w:type="dxa"/>
            <w:vAlign w:val="bottom"/>
            <w:tcBorders>
              <w:bottom w:val="single" w:sz="8" w:color="0000EE"/>
            </w:tcBorders>
            <w:gridSpan w:val="21"/>
          </w:tcPr>
          <w:p>
            <w:pPr>
              <w:spacing w:after="0" w:line="148" w:lineRule="exact"/>
              <w:rPr>
                <w:rFonts w:ascii="Times New Roman" w:cs="Times New Roman" w:eastAsia="Times New Roman" w:hAnsi="Times New Roman"/>
                <w:sz w:val="15"/>
                <w:szCs w:val="15"/>
                <w:color w:val="0000EE"/>
              </w:rPr>
            </w:pPr>
            <w:hyperlink r:id="rId367">
              <w:r>
                <w:rPr>
                  <w:rFonts w:ascii="Times New Roman" w:cs="Times New Roman" w:eastAsia="Times New Roman" w:hAnsi="Times New Roman"/>
                  <w:sz w:val="15"/>
                  <w:szCs w:val="15"/>
                  <w:color w:val="0000EE"/>
                </w:rPr>
                <w:t>Agreement and Plan of Merger, dated as of October 3, 2022, by and between Complete Solar Holding</w:t>
              </w:r>
            </w:hyperlink>
          </w:p>
        </w:tc>
        <w:tc>
          <w:tcPr>
            <w:tcW w:w="80" w:type="dxa"/>
            <w:vAlign w:val="bottom"/>
            <w:gridSpan w:val="2"/>
          </w:tcPr>
          <w:p>
            <w:pPr>
              <w:spacing w:after="0"/>
              <w:rPr>
                <w:sz w:val="12"/>
                <w:szCs w:val="12"/>
                <w:color w:val="auto"/>
              </w:rPr>
            </w:pPr>
          </w:p>
        </w:tc>
        <w:tc>
          <w:tcPr>
            <w:tcW w:w="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color w:val="auto"/>
              </w:rPr>
              <w:t>S-4</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333-269674</w:t>
            </w:r>
          </w:p>
        </w:tc>
        <w:tc>
          <w:tcPr>
            <w:tcW w:w="1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2023-02-10</w:t>
            </w:r>
          </w:p>
        </w:tc>
      </w:tr>
      <w:tr>
        <w:trPr>
          <w:trHeight w:val="162"/>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40" w:type="dxa"/>
            <w:vAlign w:val="bottom"/>
            <w:tcBorders>
              <w:bottom w:val="single" w:sz="8" w:color="0000EE"/>
            </w:tcBorders>
            <w:gridSpan w:val="20"/>
          </w:tcPr>
          <w:p>
            <w:pPr>
              <w:spacing w:after="0" w:line="162" w:lineRule="exact"/>
              <w:rPr>
                <w:rFonts w:ascii="Times New Roman" w:cs="Times New Roman" w:eastAsia="Times New Roman" w:hAnsi="Times New Roman"/>
                <w:sz w:val="15"/>
                <w:szCs w:val="15"/>
                <w:color w:val="0000EE"/>
              </w:rPr>
            </w:pPr>
            <w:hyperlink r:id="rId367">
              <w:r>
                <w:rPr>
                  <w:rFonts w:ascii="Times New Roman" w:cs="Times New Roman" w:eastAsia="Times New Roman" w:hAnsi="Times New Roman"/>
                  <w:sz w:val="15"/>
                  <w:szCs w:val="15"/>
                  <w:color w:val="0000EE"/>
                </w:rPr>
                <w:t>Corporation, Complete Solar Midco, LLC, Complete Solar Merger Sub, Inc., The Solaria Corporation, and</w:t>
              </w:r>
            </w:hyperlink>
          </w:p>
        </w:tc>
        <w:tc>
          <w:tcPr>
            <w:tcW w:w="10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740" w:type="dxa"/>
            <w:vAlign w:val="bottom"/>
            <w:gridSpan w:val="23"/>
          </w:tcPr>
          <w:p>
            <w:pPr>
              <w:spacing w:after="0" w:line="162" w:lineRule="exact"/>
              <w:rPr>
                <w:rFonts w:ascii="Times New Roman" w:cs="Times New Roman" w:eastAsia="Times New Roman" w:hAnsi="Times New Roman"/>
                <w:sz w:val="15"/>
                <w:szCs w:val="15"/>
                <w:color w:val="0000EE"/>
              </w:rPr>
            </w:pPr>
            <w:hyperlink r:id="rId367">
              <w:r>
                <w:rPr>
                  <w:rFonts w:ascii="Times New Roman" w:cs="Times New Roman" w:eastAsia="Times New Roman" w:hAnsi="Times New Roman"/>
                  <w:sz w:val="15"/>
                  <w:szCs w:val="15"/>
                  <w:color w:val="0000EE"/>
                </w:rPr>
                <w:t>Fortis Advisors LLC</w:t>
              </w:r>
            </w:hyperlink>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90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6680" w:type="dxa"/>
            <w:vAlign w:val="bottom"/>
            <w:tcBorders>
              <w:bottom w:val="single" w:sz="8" w:color="0000EE"/>
            </w:tcBorders>
            <w:gridSpan w:val="22"/>
            <w:shd w:val="clear" w:color="auto" w:fill="CCEEFF"/>
          </w:tcPr>
          <w:p>
            <w:pPr>
              <w:spacing w:after="0" w:line="162" w:lineRule="exact"/>
              <w:rPr>
                <w:rFonts w:ascii="Times New Roman" w:cs="Times New Roman" w:eastAsia="Times New Roman" w:hAnsi="Times New Roman"/>
                <w:sz w:val="15"/>
                <w:szCs w:val="15"/>
                <w:color w:val="0000EE"/>
              </w:rPr>
            </w:pPr>
            <w:hyperlink r:id="rId368">
              <w:r>
                <w:rPr>
                  <w:rFonts w:ascii="Times New Roman" w:cs="Times New Roman" w:eastAsia="Times New Roman" w:hAnsi="Times New Roman"/>
                  <w:sz w:val="15"/>
                  <w:szCs w:val="15"/>
                  <w:color w:val="0000EE"/>
                </w:rPr>
                <w:t>Asset Purchase Agreement dated September 19, 2023, by and among Complete Solaria, Inc., SolarCA, LLC,</w:t>
              </w:r>
            </w:hyperlink>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2023-09-21</w:t>
            </w:r>
          </w:p>
        </w:tc>
      </w:tr>
      <w:tr>
        <w:trPr>
          <w:trHeight w:val="162"/>
        </w:trPr>
        <w:tc>
          <w:tcPr>
            <w:tcW w:w="9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740" w:type="dxa"/>
            <w:vAlign w:val="bottom"/>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368">
              <w:r>
                <w:rPr>
                  <w:rFonts w:ascii="Times New Roman" w:cs="Times New Roman" w:eastAsia="Times New Roman" w:hAnsi="Times New Roman"/>
                  <w:sz w:val="15"/>
                  <w:szCs w:val="15"/>
                  <w:color w:val="0000EE"/>
                </w:rPr>
                <w:t>and Maxeon Solar Technologies, Ltd.</w:t>
              </w:r>
            </w:hyperlink>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3.1</w:t>
            </w:r>
          </w:p>
        </w:tc>
        <w:tc>
          <w:tcPr>
            <w:tcW w:w="140" w:type="dxa"/>
            <w:vAlign w:val="bottom"/>
          </w:tcPr>
          <w:p>
            <w:pPr>
              <w:spacing w:after="0"/>
              <w:rPr>
                <w:sz w:val="12"/>
                <w:szCs w:val="12"/>
                <w:color w:val="auto"/>
              </w:rPr>
            </w:pPr>
          </w:p>
        </w:tc>
        <w:tc>
          <w:tcPr>
            <w:tcW w:w="6740" w:type="dxa"/>
            <w:vAlign w:val="bottom"/>
            <w:gridSpan w:val="23"/>
          </w:tcPr>
          <w:p>
            <w:pPr>
              <w:spacing w:after="0" w:line="148" w:lineRule="exact"/>
              <w:rPr>
                <w:rFonts w:ascii="Times New Roman" w:cs="Times New Roman" w:eastAsia="Times New Roman" w:hAnsi="Times New Roman"/>
                <w:sz w:val="15"/>
                <w:szCs w:val="15"/>
                <w:color w:val="0000EE"/>
              </w:rPr>
            </w:pPr>
            <w:hyperlink r:id="rId369">
              <w:r>
                <w:rPr>
                  <w:rFonts w:ascii="Times New Roman" w:cs="Times New Roman" w:eastAsia="Times New Roman" w:hAnsi="Times New Roman"/>
                  <w:sz w:val="15"/>
                  <w:szCs w:val="15"/>
                  <w:color w:val="0000EE"/>
                </w:rPr>
                <w:t>Certificate of Incorporation of the Company</w:t>
              </w:r>
            </w:hyperlink>
          </w:p>
        </w:tc>
        <w:tc>
          <w:tcPr>
            <w:tcW w:w="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2023-07-21</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140" w:type="dxa"/>
            <w:vAlign w:val="bottom"/>
            <w:tcBorders>
              <w:right w:val="single" w:sz="8" w:color="CCEEFF"/>
            </w:tcBorders>
            <w:shd w:val="clear" w:color="auto" w:fill="CCEEFF"/>
          </w:tcPr>
          <w:p>
            <w:pPr>
              <w:spacing w:after="0"/>
              <w:rPr>
                <w:sz w:val="14"/>
                <w:szCs w:val="14"/>
                <w:color w:val="auto"/>
              </w:rPr>
            </w:pPr>
          </w:p>
        </w:tc>
        <w:tc>
          <w:tcPr>
            <w:tcW w:w="6740" w:type="dxa"/>
            <w:vAlign w:val="bottom"/>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370">
              <w:r>
                <w:rPr>
                  <w:rFonts w:ascii="Times New Roman" w:cs="Times New Roman" w:eastAsia="Times New Roman" w:hAnsi="Times New Roman"/>
                  <w:sz w:val="15"/>
                  <w:szCs w:val="15"/>
                  <w:color w:val="0000EE"/>
                </w:rPr>
                <w:t>Certificate of Amendment to Certificate of Incorporation of SunPower Inc.</w:t>
              </w:r>
            </w:hyperlink>
          </w:p>
        </w:tc>
        <w:tc>
          <w:tcPr>
            <w:tcW w:w="68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2025-10-22</w:t>
            </w: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3.3</w:t>
            </w:r>
          </w:p>
        </w:tc>
        <w:tc>
          <w:tcPr>
            <w:tcW w:w="140" w:type="dxa"/>
            <w:vAlign w:val="bottom"/>
          </w:tcPr>
          <w:p>
            <w:pPr>
              <w:spacing w:after="0"/>
              <w:rPr>
                <w:sz w:val="12"/>
                <w:szCs w:val="12"/>
                <w:color w:val="auto"/>
              </w:rPr>
            </w:pPr>
          </w:p>
        </w:tc>
        <w:tc>
          <w:tcPr>
            <w:tcW w:w="6740" w:type="dxa"/>
            <w:vAlign w:val="bottom"/>
            <w:gridSpan w:val="23"/>
          </w:tcPr>
          <w:p>
            <w:pPr>
              <w:spacing w:after="0" w:line="148" w:lineRule="exact"/>
              <w:rPr>
                <w:rFonts w:ascii="Times New Roman" w:cs="Times New Roman" w:eastAsia="Times New Roman" w:hAnsi="Times New Roman"/>
                <w:sz w:val="15"/>
                <w:szCs w:val="15"/>
                <w:color w:val="0000EE"/>
              </w:rPr>
            </w:pPr>
            <w:hyperlink r:id="rId371">
              <w:r>
                <w:rPr>
                  <w:rFonts w:ascii="Times New Roman" w:cs="Times New Roman" w:eastAsia="Times New Roman" w:hAnsi="Times New Roman"/>
                  <w:sz w:val="15"/>
                  <w:szCs w:val="15"/>
                  <w:color w:val="0000EE"/>
                </w:rPr>
                <w:t>Second Amended and Restated Bylaws of SunPower Inc.</w:t>
              </w:r>
            </w:hyperlink>
          </w:p>
        </w:tc>
        <w:tc>
          <w:tcPr>
            <w:tcW w:w="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2025-10-22</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4.1</w:t>
            </w:r>
          </w:p>
        </w:tc>
        <w:tc>
          <w:tcPr>
            <w:tcW w:w="140" w:type="dxa"/>
            <w:vAlign w:val="bottom"/>
            <w:tcBorders>
              <w:right w:val="single" w:sz="8" w:color="CCEEFF"/>
            </w:tcBorders>
            <w:shd w:val="clear" w:color="auto" w:fill="CCEEFF"/>
          </w:tcPr>
          <w:p>
            <w:pPr>
              <w:spacing w:after="0"/>
              <w:rPr>
                <w:sz w:val="14"/>
                <w:szCs w:val="14"/>
                <w:color w:val="auto"/>
              </w:rPr>
            </w:pPr>
          </w:p>
        </w:tc>
        <w:tc>
          <w:tcPr>
            <w:tcW w:w="6740" w:type="dxa"/>
            <w:vAlign w:val="bottom"/>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372">
              <w:r>
                <w:rPr>
                  <w:rFonts w:ascii="Times New Roman" w:cs="Times New Roman" w:eastAsia="Times New Roman" w:hAnsi="Times New Roman"/>
                  <w:sz w:val="15"/>
                  <w:szCs w:val="15"/>
                  <w:color w:val="0000EE"/>
                </w:rPr>
                <w:t>Form of Replacement Warrant</w:t>
              </w:r>
            </w:hyperlink>
          </w:p>
        </w:tc>
        <w:tc>
          <w:tcPr>
            <w:tcW w:w="68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2023-10-12</w:t>
            </w: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4.2</w:t>
            </w:r>
          </w:p>
        </w:tc>
        <w:tc>
          <w:tcPr>
            <w:tcW w:w="140" w:type="dxa"/>
            <w:vAlign w:val="bottom"/>
          </w:tcPr>
          <w:p>
            <w:pPr>
              <w:spacing w:after="0"/>
              <w:rPr>
                <w:sz w:val="12"/>
                <w:szCs w:val="12"/>
                <w:color w:val="auto"/>
              </w:rPr>
            </w:pPr>
          </w:p>
        </w:tc>
        <w:tc>
          <w:tcPr>
            <w:tcW w:w="6740" w:type="dxa"/>
            <w:vAlign w:val="bottom"/>
            <w:gridSpan w:val="23"/>
          </w:tcPr>
          <w:p>
            <w:pPr>
              <w:spacing w:after="0" w:line="148" w:lineRule="exact"/>
              <w:rPr>
                <w:rFonts w:ascii="Times New Roman" w:cs="Times New Roman" w:eastAsia="Times New Roman" w:hAnsi="Times New Roman"/>
                <w:sz w:val="15"/>
                <w:szCs w:val="15"/>
                <w:color w:val="0000EE"/>
              </w:rPr>
            </w:pPr>
            <w:hyperlink r:id="rId373">
              <w:r>
                <w:rPr>
                  <w:rFonts w:ascii="Times New Roman" w:cs="Times New Roman" w:eastAsia="Times New Roman" w:hAnsi="Times New Roman"/>
                  <w:sz w:val="15"/>
                  <w:szCs w:val="15"/>
                  <w:color w:val="0000EE"/>
                </w:rPr>
                <w:t>Form of First Amendment to Replacement Warrant</w:t>
              </w:r>
            </w:hyperlink>
          </w:p>
        </w:tc>
        <w:tc>
          <w:tcPr>
            <w:tcW w:w="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2023-10-12</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4.3</w:t>
            </w:r>
          </w:p>
        </w:tc>
        <w:tc>
          <w:tcPr>
            <w:tcW w:w="140" w:type="dxa"/>
            <w:vAlign w:val="bottom"/>
            <w:tcBorders>
              <w:right w:val="single" w:sz="8" w:color="CCEEFF"/>
            </w:tcBorders>
            <w:shd w:val="clear" w:color="auto" w:fill="CCEEFF"/>
          </w:tcPr>
          <w:p>
            <w:pPr>
              <w:spacing w:after="0"/>
              <w:rPr>
                <w:sz w:val="14"/>
                <w:szCs w:val="14"/>
                <w:color w:val="auto"/>
              </w:rPr>
            </w:pPr>
          </w:p>
        </w:tc>
        <w:tc>
          <w:tcPr>
            <w:tcW w:w="6740" w:type="dxa"/>
            <w:vAlign w:val="bottom"/>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374">
              <w:r>
                <w:rPr>
                  <w:rFonts w:ascii="Times New Roman" w:cs="Times New Roman" w:eastAsia="Times New Roman" w:hAnsi="Times New Roman"/>
                  <w:sz w:val="15"/>
                  <w:szCs w:val="15"/>
                  <w:color w:val="0000EE"/>
                </w:rPr>
                <w:t>Amended and Restated Registration Rights Agreement, dated July 18, 2023, by and among the Company and</w:t>
              </w:r>
            </w:hyperlink>
          </w:p>
        </w:tc>
        <w:tc>
          <w:tcPr>
            <w:tcW w:w="68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2023-07-24</w:t>
            </w:r>
          </w:p>
        </w:tc>
      </w:tr>
      <w:tr>
        <w:trPr>
          <w:trHeight w:val="162"/>
        </w:trPr>
        <w:tc>
          <w:tcPr>
            <w:tcW w:w="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6620" w:type="dxa"/>
            <w:vAlign w:val="bottom"/>
            <w:tcBorders>
              <w:top w:val="single" w:sz="8" w:color="0000EE"/>
            </w:tcBorders>
            <w:gridSpan w:val="19"/>
            <w:shd w:val="clear" w:color="auto" w:fill="CCEEFF"/>
          </w:tcPr>
          <w:p>
            <w:pPr>
              <w:spacing w:after="0" w:line="162" w:lineRule="exact"/>
              <w:rPr>
                <w:rFonts w:ascii="Times New Roman" w:cs="Times New Roman" w:eastAsia="Times New Roman" w:hAnsi="Times New Roman"/>
                <w:sz w:val="15"/>
                <w:szCs w:val="15"/>
                <w:color w:val="0000EE"/>
              </w:rPr>
            </w:pPr>
            <w:hyperlink r:id="rId374">
              <w:r>
                <w:rPr>
                  <w:rFonts w:ascii="Times New Roman" w:cs="Times New Roman" w:eastAsia="Times New Roman" w:hAnsi="Times New Roman"/>
                  <w:sz w:val="15"/>
                  <w:szCs w:val="15"/>
                  <w:color w:val="0000EE"/>
                </w:rPr>
                <w:t>certain other stockholders party thereto</w:t>
              </w:r>
            </w:hyperlink>
          </w:p>
        </w:tc>
        <w:tc>
          <w:tcPr>
            <w:tcW w:w="120" w:type="dxa"/>
            <w:vAlign w:val="bottom"/>
            <w:tcBorders>
              <w:top w:val="single" w:sz="8" w:color="CCEEFF"/>
            </w:tcBorders>
            <w:gridSpan w:val="4"/>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4.4</w:t>
            </w:r>
          </w:p>
        </w:tc>
        <w:tc>
          <w:tcPr>
            <w:tcW w:w="140" w:type="dxa"/>
            <w:vAlign w:val="bottom"/>
          </w:tcPr>
          <w:p>
            <w:pPr>
              <w:spacing w:after="0"/>
              <w:rPr>
                <w:sz w:val="12"/>
                <w:szCs w:val="12"/>
                <w:color w:val="auto"/>
              </w:rPr>
            </w:pPr>
          </w:p>
        </w:tc>
        <w:tc>
          <w:tcPr>
            <w:tcW w:w="6660" w:type="dxa"/>
            <w:vAlign w:val="bottom"/>
            <w:tcBorders>
              <w:bottom w:val="single" w:sz="8" w:color="0000EE"/>
            </w:tcBorders>
            <w:gridSpan w:val="21"/>
          </w:tcPr>
          <w:p>
            <w:pPr>
              <w:spacing w:after="0" w:line="148" w:lineRule="exact"/>
              <w:rPr>
                <w:rFonts w:ascii="Times New Roman" w:cs="Times New Roman" w:eastAsia="Times New Roman" w:hAnsi="Times New Roman"/>
                <w:sz w:val="15"/>
                <w:szCs w:val="15"/>
                <w:color w:val="0000EE"/>
              </w:rPr>
            </w:pPr>
            <w:hyperlink r:id="rId375">
              <w:r>
                <w:rPr>
                  <w:rFonts w:ascii="Times New Roman" w:cs="Times New Roman" w:eastAsia="Times New Roman" w:hAnsi="Times New Roman"/>
                  <w:sz w:val="15"/>
                  <w:szCs w:val="15"/>
                  <w:color w:val="0000EE"/>
                </w:rPr>
                <w:t>Warrant Agreement, dated February 25, 2021, by and between the Company and Continental Stock Transfer</w:t>
              </w:r>
            </w:hyperlink>
          </w:p>
        </w:tc>
        <w:tc>
          <w:tcPr>
            <w:tcW w:w="80" w:type="dxa"/>
            <w:vAlign w:val="bottom"/>
            <w:gridSpan w:val="2"/>
          </w:tcPr>
          <w:p>
            <w:pPr>
              <w:spacing w:after="0"/>
              <w:rPr>
                <w:sz w:val="12"/>
                <w:szCs w:val="12"/>
                <w:color w:val="auto"/>
              </w:rPr>
            </w:pPr>
          </w:p>
        </w:tc>
        <w:tc>
          <w:tcPr>
            <w:tcW w:w="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2021-03-2</w:t>
            </w:r>
          </w:p>
        </w:tc>
      </w:tr>
      <w:tr>
        <w:trPr>
          <w:trHeight w:val="162"/>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740" w:type="dxa"/>
            <w:vAlign w:val="bottom"/>
            <w:gridSpan w:val="23"/>
          </w:tcPr>
          <w:p>
            <w:pPr>
              <w:spacing w:after="0" w:line="162" w:lineRule="exact"/>
              <w:rPr>
                <w:rFonts w:ascii="Times New Roman" w:cs="Times New Roman" w:eastAsia="Times New Roman" w:hAnsi="Times New Roman"/>
                <w:sz w:val="15"/>
                <w:szCs w:val="15"/>
                <w:color w:val="0000EE"/>
              </w:rPr>
            </w:pPr>
            <w:hyperlink r:id="rId375">
              <w:r>
                <w:rPr>
                  <w:rFonts w:ascii="Times New Roman" w:cs="Times New Roman" w:eastAsia="Times New Roman" w:hAnsi="Times New Roman"/>
                  <w:sz w:val="15"/>
                  <w:szCs w:val="15"/>
                  <w:color w:val="0000EE"/>
                </w:rPr>
                <w:t>&amp; Trust Company, as warrant agent</w:t>
              </w:r>
            </w:hyperlink>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4.5</w:t>
            </w:r>
          </w:p>
        </w:tc>
        <w:tc>
          <w:tcPr>
            <w:tcW w:w="140" w:type="dxa"/>
            <w:vAlign w:val="bottom"/>
            <w:tcBorders>
              <w:right w:val="single" w:sz="8" w:color="CCEEFF"/>
            </w:tcBorders>
            <w:shd w:val="clear" w:color="auto" w:fill="CCEEFF"/>
          </w:tcPr>
          <w:p>
            <w:pPr>
              <w:spacing w:after="0"/>
              <w:rPr>
                <w:sz w:val="14"/>
                <w:szCs w:val="14"/>
                <w:color w:val="auto"/>
              </w:rPr>
            </w:pPr>
          </w:p>
        </w:tc>
        <w:tc>
          <w:tcPr>
            <w:tcW w:w="6740" w:type="dxa"/>
            <w:vAlign w:val="bottom"/>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376">
              <w:r>
                <w:rPr>
                  <w:rFonts w:ascii="Times New Roman" w:cs="Times New Roman" w:eastAsia="Times New Roman" w:hAnsi="Times New Roman"/>
                  <w:sz w:val="15"/>
                  <w:szCs w:val="15"/>
                  <w:color w:val="0000EE"/>
                </w:rPr>
                <w:t>Indenture, dated September 16, 2024, between the Company and U.S. Bank Trust Company, National</w:t>
              </w:r>
            </w:hyperlink>
          </w:p>
        </w:tc>
        <w:tc>
          <w:tcPr>
            <w:tcW w:w="68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2024-09-26</w:t>
            </w:r>
          </w:p>
        </w:tc>
      </w:tr>
      <w:tr>
        <w:trPr>
          <w:trHeight w:val="162"/>
        </w:trPr>
        <w:tc>
          <w:tcPr>
            <w:tcW w:w="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6620" w:type="dxa"/>
            <w:vAlign w:val="bottom"/>
            <w:tcBorders>
              <w:top w:val="single" w:sz="8" w:color="0000EE"/>
            </w:tcBorders>
            <w:gridSpan w:val="19"/>
            <w:shd w:val="clear" w:color="auto" w:fill="CCEEFF"/>
          </w:tcPr>
          <w:p>
            <w:pPr>
              <w:spacing w:after="0" w:line="162" w:lineRule="exact"/>
              <w:rPr>
                <w:rFonts w:ascii="Times New Roman" w:cs="Times New Roman" w:eastAsia="Times New Roman" w:hAnsi="Times New Roman"/>
                <w:sz w:val="15"/>
                <w:szCs w:val="15"/>
                <w:color w:val="0000EE"/>
              </w:rPr>
            </w:pPr>
            <w:hyperlink r:id="rId376">
              <w:r>
                <w:rPr>
                  <w:rFonts w:ascii="Times New Roman" w:cs="Times New Roman" w:eastAsia="Times New Roman" w:hAnsi="Times New Roman"/>
                  <w:sz w:val="15"/>
                  <w:szCs w:val="15"/>
                  <w:color w:val="0000EE"/>
                </w:rPr>
                <w:t>Association</w:t>
              </w:r>
            </w:hyperlink>
          </w:p>
        </w:tc>
        <w:tc>
          <w:tcPr>
            <w:tcW w:w="120" w:type="dxa"/>
            <w:vAlign w:val="bottom"/>
            <w:tcBorders>
              <w:top w:val="single" w:sz="8" w:color="CCEEFF"/>
            </w:tcBorders>
            <w:gridSpan w:val="4"/>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4.6</w:t>
            </w:r>
          </w:p>
        </w:tc>
        <w:tc>
          <w:tcPr>
            <w:tcW w:w="140" w:type="dxa"/>
            <w:vAlign w:val="bottom"/>
          </w:tcPr>
          <w:p>
            <w:pPr>
              <w:spacing w:after="0"/>
              <w:rPr>
                <w:sz w:val="12"/>
                <w:szCs w:val="12"/>
                <w:color w:val="auto"/>
              </w:rPr>
            </w:pPr>
          </w:p>
        </w:tc>
        <w:tc>
          <w:tcPr>
            <w:tcW w:w="6740" w:type="dxa"/>
            <w:vAlign w:val="bottom"/>
            <w:gridSpan w:val="23"/>
          </w:tcPr>
          <w:p>
            <w:pPr>
              <w:spacing w:after="0" w:line="148" w:lineRule="exact"/>
              <w:rPr>
                <w:rFonts w:ascii="Times New Roman" w:cs="Times New Roman" w:eastAsia="Times New Roman" w:hAnsi="Times New Roman"/>
                <w:sz w:val="15"/>
                <w:szCs w:val="15"/>
                <w:color w:val="0000EE"/>
              </w:rPr>
            </w:pPr>
            <w:hyperlink r:id="rId377">
              <w:r>
                <w:rPr>
                  <w:rFonts w:ascii="Times New Roman" w:cs="Times New Roman" w:eastAsia="Times New Roman" w:hAnsi="Times New Roman"/>
                  <w:sz w:val="15"/>
                  <w:szCs w:val="15"/>
                  <w:color w:val="0000EE"/>
                </w:rPr>
                <w:t>Form of SAFE (2024)</w:t>
              </w:r>
            </w:hyperlink>
          </w:p>
        </w:tc>
        <w:tc>
          <w:tcPr>
            <w:tcW w:w="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2024-02-16</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4.7</w:t>
            </w:r>
          </w:p>
        </w:tc>
        <w:tc>
          <w:tcPr>
            <w:tcW w:w="140" w:type="dxa"/>
            <w:vAlign w:val="bottom"/>
            <w:tcBorders>
              <w:right w:val="single" w:sz="8" w:color="CCEEFF"/>
            </w:tcBorders>
            <w:shd w:val="clear" w:color="auto" w:fill="CCEEFF"/>
          </w:tcPr>
          <w:p>
            <w:pPr>
              <w:spacing w:after="0"/>
              <w:rPr>
                <w:sz w:val="14"/>
                <w:szCs w:val="14"/>
                <w:color w:val="auto"/>
              </w:rPr>
            </w:pPr>
          </w:p>
        </w:tc>
        <w:tc>
          <w:tcPr>
            <w:tcW w:w="6740" w:type="dxa"/>
            <w:vAlign w:val="bottom"/>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378">
              <w:r>
                <w:rPr>
                  <w:rFonts w:ascii="Times New Roman" w:cs="Times New Roman" w:eastAsia="Times New Roman" w:hAnsi="Times New Roman"/>
                  <w:sz w:val="15"/>
                  <w:szCs w:val="15"/>
                  <w:color w:val="0000EE"/>
                </w:rPr>
                <w:t>Exchange Agreement, dated July 1, 2024, among the Company and the purchasers party thereto</w:t>
              </w:r>
            </w:hyperlink>
          </w:p>
        </w:tc>
        <w:tc>
          <w:tcPr>
            <w:tcW w:w="68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2024-07-08</w:t>
            </w: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4.8</w:t>
            </w:r>
          </w:p>
        </w:tc>
        <w:tc>
          <w:tcPr>
            <w:tcW w:w="140" w:type="dxa"/>
            <w:vAlign w:val="bottom"/>
          </w:tcPr>
          <w:p>
            <w:pPr>
              <w:spacing w:after="0"/>
              <w:rPr>
                <w:sz w:val="12"/>
                <w:szCs w:val="12"/>
                <w:color w:val="auto"/>
              </w:rPr>
            </w:pPr>
          </w:p>
        </w:tc>
        <w:tc>
          <w:tcPr>
            <w:tcW w:w="6740" w:type="dxa"/>
            <w:vAlign w:val="bottom"/>
            <w:gridSpan w:val="23"/>
          </w:tcPr>
          <w:p>
            <w:pPr>
              <w:spacing w:after="0" w:line="148" w:lineRule="exact"/>
              <w:rPr>
                <w:rFonts w:ascii="Times New Roman" w:cs="Times New Roman" w:eastAsia="Times New Roman" w:hAnsi="Times New Roman"/>
                <w:sz w:val="15"/>
                <w:szCs w:val="15"/>
                <w:color w:val="0000EE"/>
              </w:rPr>
            </w:pPr>
            <w:hyperlink r:id="rId379">
              <w:r>
                <w:rPr>
                  <w:rFonts w:ascii="Times New Roman" w:cs="Times New Roman" w:eastAsia="Times New Roman" w:hAnsi="Times New Roman"/>
                  <w:sz w:val="15"/>
                  <w:szCs w:val="15"/>
                  <w:color w:val="0000EE"/>
                </w:rPr>
                <w:t>Form of 12.0% Convertible Senior Note due 2029</w:t>
              </w:r>
            </w:hyperlink>
          </w:p>
        </w:tc>
        <w:tc>
          <w:tcPr>
            <w:tcW w:w="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10.2</w:t>
            </w:r>
          </w:p>
        </w:tc>
        <w:tc>
          <w:tcPr>
            <w:tcW w:w="1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2024-07-8</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4.9</w:t>
            </w:r>
          </w:p>
        </w:tc>
        <w:tc>
          <w:tcPr>
            <w:tcW w:w="140" w:type="dxa"/>
            <w:vAlign w:val="bottom"/>
            <w:tcBorders>
              <w:right w:val="single" w:sz="8" w:color="CCEEFF"/>
            </w:tcBorders>
            <w:shd w:val="clear" w:color="auto" w:fill="CCEEFF"/>
          </w:tcPr>
          <w:p>
            <w:pPr>
              <w:spacing w:after="0"/>
              <w:rPr>
                <w:sz w:val="14"/>
                <w:szCs w:val="14"/>
                <w:color w:val="auto"/>
              </w:rPr>
            </w:pPr>
          </w:p>
        </w:tc>
        <w:tc>
          <w:tcPr>
            <w:tcW w:w="6740" w:type="dxa"/>
            <w:vAlign w:val="bottom"/>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380">
              <w:r>
                <w:rPr>
                  <w:rFonts w:ascii="Times New Roman" w:cs="Times New Roman" w:eastAsia="Times New Roman" w:hAnsi="Times New Roman"/>
                  <w:sz w:val="15"/>
                  <w:szCs w:val="15"/>
                  <w:color w:val="0000EE"/>
                </w:rPr>
                <w:t>Form of Seller Note</w:t>
              </w:r>
            </w:hyperlink>
          </w:p>
        </w:tc>
        <w:tc>
          <w:tcPr>
            <w:tcW w:w="68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2025-09-22</w:t>
            </w: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tcBorders>
              <w:right w:val="single" w:sz="8" w:color="CCEEFF"/>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4.10</w:t>
            </w:r>
          </w:p>
        </w:tc>
        <w:tc>
          <w:tcPr>
            <w:tcW w:w="140" w:type="dxa"/>
            <w:vAlign w:val="bottom"/>
          </w:tcPr>
          <w:p>
            <w:pPr>
              <w:spacing w:after="0"/>
              <w:rPr>
                <w:sz w:val="12"/>
                <w:szCs w:val="12"/>
                <w:color w:val="auto"/>
              </w:rPr>
            </w:pPr>
          </w:p>
        </w:tc>
        <w:tc>
          <w:tcPr>
            <w:tcW w:w="6740" w:type="dxa"/>
            <w:vAlign w:val="bottom"/>
            <w:gridSpan w:val="23"/>
          </w:tcPr>
          <w:p>
            <w:pPr>
              <w:spacing w:after="0" w:line="148" w:lineRule="exact"/>
              <w:rPr>
                <w:rFonts w:ascii="Times New Roman" w:cs="Times New Roman" w:eastAsia="Times New Roman" w:hAnsi="Times New Roman"/>
                <w:sz w:val="15"/>
                <w:szCs w:val="15"/>
                <w:color w:val="0000EE"/>
              </w:rPr>
            </w:pPr>
            <w:hyperlink r:id="rId381">
              <w:r>
                <w:rPr>
                  <w:rFonts w:ascii="Times New Roman" w:cs="Times New Roman" w:eastAsia="Times New Roman" w:hAnsi="Times New Roman"/>
                  <w:sz w:val="15"/>
                  <w:szCs w:val="15"/>
                  <w:color w:val="0000EE"/>
                </w:rPr>
                <w:t>Form of 7.0% Convertible Senior Note due 2029</w:t>
              </w:r>
            </w:hyperlink>
          </w:p>
        </w:tc>
        <w:tc>
          <w:tcPr>
            <w:tcW w:w="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2024-09-26</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4.11</w:t>
            </w:r>
          </w:p>
        </w:tc>
        <w:tc>
          <w:tcPr>
            <w:tcW w:w="140" w:type="dxa"/>
            <w:vAlign w:val="bottom"/>
            <w:tcBorders>
              <w:right w:val="single" w:sz="8" w:color="CCEEFF"/>
            </w:tcBorders>
            <w:shd w:val="clear" w:color="auto" w:fill="CCEEFF"/>
          </w:tcPr>
          <w:p>
            <w:pPr>
              <w:spacing w:after="0"/>
              <w:rPr>
                <w:sz w:val="14"/>
                <w:szCs w:val="14"/>
                <w:color w:val="auto"/>
              </w:rPr>
            </w:pPr>
          </w:p>
        </w:tc>
        <w:tc>
          <w:tcPr>
            <w:tcW w:w="6740" w:type="dxa"/>
            <w:vAlign w:val="bottom"/>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382">
              <w:r>
                <w:rPr>
                  <w:rFonts w:ascii="Times New Roman" w:cs="Times New Roman" w:eastAsia="Times New Roman" w:hAnsi="Times New Roman"/>
                  <w:sz w:val="15"/>
                  <w:szCs w:val="15"/>
                  <w:color w:val="0000EE"/>
                </w:rPr>
                <w:t>Form of Indenture</w:t>
              </w:r>
            </w:hyperlink>
          </w:p>
        </w:tc>
        <w:tc>
          <w:tcPr>
            <w:tcW w:w="68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S-3</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333-283948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4.13</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2024-12-20</w:t>
            </w: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4.12</w:t>
            </w:r>
          </w:p>
        </w:tc>
        <w:tc>
          <w:tcPr>
            <w:tcW w:w="140" w:type="dxa"/>
            <w:vAlign w:val="bottom"/>
          </w:tcPr>
          <w:p>
            <w:pPr>
              <w:spacing w:after="0"/>
              <w:rPr>
                <w:sz w:val="12"/>
                <w:szCs w:val="12"/>
                <w:color w:val="auto"/>
              </w:rPr>
            </w:pPr>
          </w:p>
        </w:tc>
        <w:tc>
          <w:tcPr>
            <w:tcW w:w="6740" w:type="dxa"/>
            <w:vAlign w:val="bottom"/>
            <w:gridSpan w:val="23"/>
          </w:tcPr>
          <w:p>
            <w:pPr>
              <w:spacing w:after="0" w:line="148" w:lineRule="exact"/>
              <w:rPr>
                <w:rFonts w:ascii="Times New Roman" w:cs="Times New Roman" w:eastAsia="Times New Roman" w:hAnsi="Times New Roman"/>
                <w:sz w:val="15"/>
                <w:szCs w:val="15"/>
                <w:color w:val="0000EE"/>
              </w:rPr>
            </w:pPr>
            <w:hyperlink r:id="rId383">
              <w:r>
                <w:rPr>
                  <w:rFonts w:ascii="Times New Roman" w:cs="Times New Roman" w:eastAsia="Times New Roman" w:hAnsi="Times New Roman"/>
                  <w:sz w:val="15"/>
                  <w:szCs w:val="15"/>
                  <w:color w:val="0000EE"/>
                </w:rPr>
                <w:t>Convertible Promissory Note dated July 10, 2025</w:t>
              </w:r>
            </w:hyperlink>
          </w:p>
        </w:tc>
        <w:tc>
          <w:tcPr>
            <w:tcW w:w="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2025-07-16</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4.13</w:t>
            </w:r>
          </w:p>
        </w:tc>
        <w:tc>
          <w:tcPr>
            <w:tcW w:w="140" w:type="dxa"/>
            <w:vAlign w:val="bottom"/>
            <w:tcBorders>
              <w:right w:val="single" w:sz="8" w:color="CCEEFF"/>
            </w:tcBorders>
            <w:shd w:val="clear" w:color="auto" w:fill="CCEEFF"/>
          </w:tcPr>
          <w:p>
            <w:pPr>
              <w:spacing w:after="0"/>
              <w:rPr>
                <w:sz w:val="14"/>
                <w:szCs w:val="14"/>
                <w:color w:val="auto"/>
              </w:rPr>
            </w:pPr>
          </w:p>
        </w:tc>
        <w:tc>
          <w:tcPr>
            <w:tcW w:w="6740" w:type="dxa"/>
            <w:vAlign w:val="bottom"/>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384">
              <w:r>
                <w:rPr>
                  <w:rFonts w:ascii="Times New Roman" w:cs="Times New Roman" w:eastAsia="Times New Roman" w:hAnsi="Times New Roman"/>
                  <w:sz w:val="15"/>
                  <w:szCs w:val="15"/>
                  <w:color w:val="0000EE"/>
                </w:rPr>
                <w:t>Indenture, dated September 16, 2024, between the Company and U.S. Bank Trust Company, National</w:t>
              </w:r>
            </w:hyperlink>
          </w:p>
        </w:tc>
        <w:tc>
          <w:tcPr>
            <w:tcW w:w="68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2024-09-26</w:t>
            </w:r>
          </w:p>
        </w:tc>
      </w:tr>
      <w:tr>
        <w:trPr>
          <w:trHeight w:val="162"/>
        </w:trPr>
        <w:tc>
          <w:tcPr>
            <w:tcW w:w="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6620" w:type="dxa"/>
            <w:vAlign w:val="bottom"/>
            <w:tcBorders>
              <w:top w:val="single" w:sz="8" w:color="0000EE"/>
            </w:tcBorders>
            <w:gridSpan w:val="19"/>
            <w:shd w:val="clear" w:color="auto" w:fill="CCEEFF"/>
          </w:tcPr>
          <w:p>
            <w:pPr>
              <w:spacing w:after="0" w:line="162" w:lineRule="exact"/>
              <w:rPr>
                <w:rFonts w:ascii="Times New Roman" w:cs="Times New Roman" w:eastAsia="Times New Roman" w:hAnsi="Times New Roman"/>
                <w:sz w:val="15"/>
                <w:szCs w:val="15"/>
                <w:color w:val="0000EE"/>
              </w:rPr>
            </w:pPr>
            <w:hyperlink r:id="rId384">
              <w:r>
                <w:rPr>
                  <w:rFonts w:ascii="Times New Roman" w:cs="Times New Roman" w:eastAsia="Times New Roman" w:hAnsi="Times New Roman"/>
                  <w:sz w:val="15"/>
                  <w:szCs w:val="15"/>
                  <w:color w:val="0000EE"/>
                </w:rPr>
                <w:t>Association</w:t>
              </w:r>
            </w:hyperlink>
          </w:p>
        </w:tc>
        <w:tc>
          <w:tcPr>
            <w:tcW w:w="120" w:type="dxa"/>
            <w:vAlign w:val="bottom"/>
            <w:tcBorders>
              <w:top w:val="single" w:sz="8" w:color="CCEEFF"/>
            </w:tcBorders>
            <w:gridSpan w:val="4"/>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4.14</w:t>
            </w:r>
          </w:p>
        </w:tc>
        <w:tc>
          <w:tcPr>
            <w:tcW w:w="140" w:type="dxa"/>
            <w:vAlign w:val="bottom"/>
          </w:tcPr>
          <w:p>
            <w:pPr>
              <w:spacing w:after="0"/>
              <w:rPr>
                <w:sz w:val="12"/>
                <w:szCs w:val="12"/>
                <w:color w:val="auto"/>
              </w:rPr>
            </w:pPr>
          </w:p>
        </w:tc>
        <w:tc>
          <w:tcPr>
            <w:tcW w:w="6740" w:type="dxa"/>
            <w:vAlign w:val="bottom"/>
            <w:gridSpan w:val="23"/>
          </w:tcPr>
          <w:p>
            <w:pPr>
              <w:spacing w:after="0" w:line="148" w:lineRule="exact"/>
              <w:rPr>
                <w:rFonts w:ascii="Times New Roman" w:cs="Times New Roman" w:eastAsia="Times New Roman" w:hAnsi="Times New Roman"/>
                <w:sz w:val="15"/>
                <w:szCs w:val="15"/>
                <w:color w:val="0000EE"/>
              </w:rPr>
            </w:pPr>
            <w:hyperlink r:id="rId385">
              <w:r>
                <w:rPr>
                  <w:rFonts w:ascii="Times New Roman" w:cs="Times New Roman" w:eastAsia="Times New Roman" w:hAnsi="Times New Roman"/>
                  <w:sz w:val="15"/>
                  <w:szCs w:val="15"/>
                  <w:color w:val="0000EE"/>
                </w:rPr>
                <w:t>Form of Physical Note for 7.00% Convertible Senior Notes due 2029</w:t>
              </w:r>
            </w:hyperlink>
          </w:p>
        </w:tc>
        <w:tc>
          <w:tcPr>
            <w:tcW w:w="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2024-09-26</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2"/>
        </w:trPr>
        <w:tc>
          <w:tcPr>
            <w:tcW w:w="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4.15</w:t>
            </w:r>
          </w:p>
        </w:tc>
        <w:tc>
          <w:tcPr>
            <w:tcW w:w="140" w:type="dxa"/>
            <w:vAlign w:val="bottom"/>
            <w:tcBorders>
              <w:right w:val="single" w:sz="8" w:color="CCEEFF"/>
            </w:tcBorders>
            <w:shd w:val="clear" w:color="auto" w:fill="CCEEFF"/>
          </w:tcPr>
          <w:p>
            <w:pPr>
              <w:spacing w:after="0"/>
              <w:rPr>
                <w:sz w:val="14"/>
                <w:szCs w:val="14"/>
                <w:color w:val="auto"/>
              </w:rPr>
            </w:pPr>
          </w:p>
        </w:tc>
        <w:tc>
          <w:tcPr>
            <w:tcW w:w="6740" w:type="dxa"/>
            <w:vAlign w:val="bottom"/>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386">
              <w:r>
                <w:rPr>
                  <w:rFonts w:ascii="Times New Roman" w:cs="Times New Roman" w:eastAsia="Times New Roman" w:hAnsi="Times New Roman"/>
                  <w:sz w:val="15"/>
                  <w:szCs w:val="15"/>
                  <w:color w:val="0000EE"/>
                </w:rPr>
                <w:t>Description of Capital Stock</w:t>
              </w:r>
            </w:hyperlink>
          </w:p>
        </w:tc>
        <w:tc>
          <w:tcPr>
            <w:tcW w:w="680" w:type="dxa"/>
            <w:vAlign w:val="bottom"/>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5"/>
                <w:szCs w:val="15"/>
                <w:color w:val="auto"/>
                <w:w w:val="97"/>
              </w:rPr>
              <w:t>10-K</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2025-04-30</w:t>
            </w:r>
          </w:p>
        </w:tc>
      </w:tr>
      <w:tr>
        <w:trPr>
          <w:trHeight w:val="34"/>
        </w:trPr>
        <w:tc>
          <w:tcPr>
            <w:tcW w:w="9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8"/>
        </w:trPr>
        <w:tc>
          <w:tcPr>
            <w:tcW w:w="90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4.16</w:t>
            </w:r>
          </w:p>
        </w:tc>
        <w:tc>
          <w:tcPr>
            <w:tcW w:w="140" w:type="dxa"/>
            <w:vAlign w:val="bottom"/>
          </w:tcPr>
          <w:p>
            <w:pPr>
              <w:spacing w:after="0"/>
              <w:rPr>
                <w:sz w:val="12"/>
                <w:szCs w:val="12"/>
                <w:color w:val="auto"/>
              </w:rPr>
            </w:pPr>
          </w:p>
        </w:tc>
        <w:tc>
          <w:tcPr>
            <w:tcW w:w="3200" w:type="dxa"/>
            <w:vAlign w:val="bottom"/>
            <w:tcBorders>
              <w:bottom w:val="single" w:sz="8" w:color="0000EE"/>
            </w:tcBorders>
            <w:gridSpan w:val="14"/>
          </w:tcPr>
          <w:p>
            <w:pPr>
              <w:spacing w:after="0" w:line="148" w:lineRule="exact"/>
              <w:rPr>
                <w:rFonts w:ascii="Times New Roman" w:cs="Times New Roman" w:eastAsia="Times New Roman" w:hAnsi="Times New Roman"/>
                <w:sz w:val="15"/>
                <w:szCs w:val="15"/>
                <w:color w:val="0000EE"/>
                <w:w w:val="99"/>
              </w:rPr>
            </w:pPr>
            <w:hyperlink r:id="rId387">
              <w:r>
                <w:rPr>
                  <w:rFonts w:ascii="Times New Roman" w:cs="Times New Roman" w:eastAsia="Times New Roman" w:hAnsi="Times New Roman"/>
                  <w:sz w:val="15"/>
                  <w:szCs w:val="15"/>
                  <w:color w:val="0000EE"/>
                  <w:w w:val="99"/>
                </w:rPr>
                <w:t>Convertible Promissory Note dated January 29, 2026</w:t>
              </w:r>
            </w:hyperlink>
          </w:p>
        </w:tc>
        <w:tc>
          <w:tcPr>
            <w:tcW w:w="3540" w:type="dxa"/>
            <w:vAlign w:val="bottom"/>
            <w:gridSpan w:val="9"/>
          </w:tcPr>
          <w:p>
            <w:pPr>
              <w:spacing w:after="0"/>
              <w:rPr>
                <w:sz w:val="12"/>
                <w:szCs w:val="12"/>
                <w:color w:val="auto"/>
              </w:rPr>
            </w:pPr>
          </w:p>
        </w:tc>
        <w:tc>
          <w:tcPr>
            <w:tcW w:w="6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color w:val="auto"/>
                <w:w w:val="94"/>
              </w:rPr>
              <w:t>8-K</w:t>
            </w: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10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2026-01-30</w:t>
            </w:r>
          </w:p>
        </w:tc>
      </w:tr>
    </w:tbl>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187"/>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5.1*</w:t>
            </w:r>
          </w:p>
        </w:tc>
        <w:tc>
          <w:tcPr>
            <w:tcW w:w="286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0000EE"/>
              </w:rPr>
              <w:t>Opinion of Arnold &amp; Porter Kaye Scholer LLP</w:t>
            </w:r>
          </w:p>
        </w:tc>
        <w:tc>
          <w:tcPr>
            <w:tcW w:w="3940" w:type="dxa"/>
            <w:vAlign w:val="bottom"/>
            <w:tcBorders>
              <w:bottom w:val="single" w:sz="8" w:color="CCEEFF"/>
            </w:tcBorders>
            <w:gridSpan w:val="11"/>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10.1</w:t>
            </w:r>
          </w:p>
        </w:tc>
        <w:tc>
          <w:tcPr>
            <w:tcW w:w="6800" w:type="dxa"/>
            <w:vAlign w:val="bottom"/>
            <w:gridSpan w:val="16"/>
          </w:tcPr>
          <w:p>
            <w:pPr>
              <w:spacing w:after="0" w:line="148" w:lineRule="exact"/>
              <w:rPr>
                <w:rFonts w:ascii="Times New Roman" w:cs="Times New Roman" w:eastAsia="Times New Roman" w:hAnsi="Times New Roman"/>
                <w:sz w:val="15"/>
                <w:szCs w:val="15"/>
                <w:color w:val="0000EE"/>
              </w:rPr>
            </w:pPr>
            <w:hyperlink r:id="rId389">
              <w:r>
                <w:rPr>
                  <w:rFonts w:ascii="Times New Roman" w:cs="Times New Roman" w:eastAsia="Times New Roman" w:hAnsi="Times New Roman"/>
                  <w:sz w:val="15"/>
                  <w:szCs w:val="15"/>
                  <w:color w:val="0000EE"/>
                </w:rPr>
                <w:t>Form of Indemnification Agreement</w:t>
              </w:r>
            </w:hyperlink>
          </w:p>
        </w:tc>
        <w:tc>
          <w:tcPr>
            <w:tcW w:w="560" w:type="dxa"/>
            <w:vAlign w:val="bottom"/>
          </w:tcPr>
          <w:p>
            <w:pPr>
              <w:ind w:left="140"/>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tcPr>
          <w:p>
            <w:pPr>
              <w:jc w:val="right"/>
              <w:ind w:right="124"/>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10.23</w:t>
            </w:r>
          </w:p>
        </w:tc>
        <w:tc>
          <w:tcPr>
            <w:tcW w:w="1040" w:type="dxa"/>
            <w:vAlign w:val="bottom"/>
          </w:tcPr>
          <w:p>
            <w:pPr>
              <w:jc w:val="right"/>
              <w:ind w:right="84"/>
              <w:spacing w:after="0" w:line="148" w:lineRule="exact"/>
              <w:rPr>
                <w:sz w:val="20"/>
                <w:szCs w:val="20"/>
                <w:color w:val="auto"/>
              </w:rPr>
            </w:pPr>
            <w:r>
              <w:rPr>
                <w:rFonts w:ascii="Times New Roman" w:cs="Times New Roman" w:eastAsia="Times New Roman" w:hAnsi="Times New Roman"/>
                <w:sz w:val="15"/>
                <w:szCs w:val="15"/>
                <w:color w:val="auto"/>
              </w:rPr>
              <w:t>2023-07-24</w:t>
            </w:r>
          </w:p>
        </w:tc>
      </w:tr>
      <w:tr>
        <w:trPr>
          <w:trHeight w:val="20"/>
        </w:trPr>
        <w:tc>
          <w:tcPr>
            <w:tcW w:w="10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2"/>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10.2</w:t>
            </w:r>
          </w:p>
        </w:tc>
        <w:tc>
          <w:tcPr>
            <w:tcW w:w="6700" w:type="dxa"/>
            <w:vAlign w:val="bottom"/>
            <w:tcBorders>
              <w:bottom w:val="single" w:sz="8" w:color="0000EE"/>
            </w:tcBorders>
            <w:gridSpan w:val="15"/>
            <w:shd w:val="clear" w:color="auto" w:fill="CCEEFF"/>
          </w:tcPr>
          <w:p>
            <w:pPr>
              <w:spacing w:after="0" w:line="162" w:lineRule="exact"/>
              <w:rPr>
                <w:rFonts w:ascii="Times New Roman" w:cs="Times New Roman" w:eastAsia="Times New Roman" w:hAnsi="Times New Roman"/>
                <w:sz w:val="15"/>
                <w:szCs w:val="15"/>
                <w:color w:val="0000EE"/>
              </w:rPr>
            </w:pPr>
            <w:hyperlink r:id="rId390">
              <w:r>
                <w:rPr>
                  <w:rFonts w:ascii="Times New Roman" w:cs="Times New Roman" w:eastAsia="Times New Roman" w:hAnsi="Times New Roman"/>
                  <w:sz w:val="15"/>
                  <w:szCs w:val="15"/>
                  <w:color w:val="0000EE"/>
                </w:rPr>
                <w:t>Forward Purchase Agreement, dated July 13, 2023, between Meteora Special Opportunity Fund I, LP,</w:t>
              </w:r>
            </w:hyperlink>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tcBorders>
              <w:bottom w:val="single" w:sz="8" w:color="CCEEFF"/>
            </w:tcBorders>
            <w:shd w:val="clear" w:color="auto" w:fill="CCEEFF"/>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10.24</w:t>
            </w:r>
          </w:p>
        </w:tc>
        <w:tc>
          <w:tcPr>
            <w:tcW w:w="1040" w:type="dxa"/>
            <w:vAlign w:val="bottom"/>
            <w:tcBorders>
              <w:bottom w:val="single" w:sz="8" w:color="CCEEFF"/>
            </w:tcBorders>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2023-07-24</w:t>
            </w:r>
          </w:p>
        </w:tc>
      </w:tr>
      <w:tr>
        <w:trPr>
          <w:trHeight w:val="162"/>
        </w:trPr>
        <w:tc>
          <w:tcPr>
            <w:tcW w:w="1020" w:type="dxa"/>
            <w:vAlign w:val="bottom"/>
            <w:shd w:val="clear" w:color="auto" w:fill="CCEEFF"/>
          </w:tcPr>
          <w:p>
            <w:pPr>
              <w:spacing w:after="0"/>
              <w:rPr>
                <w:sz w:val="14"/>
                <w:szCs w:val="14"/>
                <w:color w:val="auto"/>
              </w:rPr>
            </w:pPr>
          </w:p>
        </w:tc>
        <w:tc>
          <w:tcPr>
            <w:tcW w:w="6800" w:type="dxa"/>
            <w:vAlign w:val="bottom"/>
            <w:gridSpan w:val="16"/>
            <w:shd w:val="clear" w:color="auto" w:fill="CCEEFF"/>
          </w:tcPr>
          <w:p>
            <w:pPr>
              <w:spacing w:after="0" w:line="162" w:lineRule="exact"/>
              <w:rPr>
                <w:rFonts w:ascii="Times New Roman" w:cs="Times New Roman" w:eastAsia="Times New Roman" w:hAnsi="Times New Roman"/>
                <w:sz w:val="15"/>
                <w:szCs w:val="15"/>
                <w:color w:val="0000EE"/>
              </w:rPr>
            </w:pPr>
            <w:hyperlink r:id="rId390">
              <w:r>
                <w:rPr>
                  <w:rFonts w:ascii="Times New Roman" w:cs="Times New Roman" w:eastAsia="Times New Roman" w:hAnsi="Times New Roman"/>
                  <w:sz w:val="15"/>
                  <w:szCs w:val="15"/>
                  <w:color w:val="0000EE"/>
                </w:rPr>
                <w:t>Meteora Capital Partners, LP and Meteora Select Trading Opportunities Master, LP; Freedom Acquisition I</w:t>
              </w:r>
            </w:hyperlink>
          </w:p>
        </w:tc>
        <w:tc>
          <w:tcPr>
            <w:tcW w:w="5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6"/>
        </w:trPr>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2000" w:type="dxa"/>
            <w:vAlign w:val="bottom"/>
            <w:tcBorders>
              <w:top w:val="single" w:sz="8" w:color="0000EE"/>
              <w:bottom w:val="single" w:sz="8" w:color="0000EE"/>
            </w:tcBorders>
            <w:shd w:val="clear" w:color="auto" w:fill="CCEEFF"/>
          </w:tcPr>
          <w:p>
            <w:pPr>
              <w:spacing w:after="0" w:line="162" w:lineRule="exact"/>
              <w:rPr>
                <w:rFonts w:ascii="Times New Roman" w:cs="Times New Roman" w:eastAsia="Times New Roman" w:hAnsi="Times New Roman"/>
                <w:sz w:val="15"/>
                <w:szCs w:val="15"/>
                <w:color w:val="0000EE"/>
                <w:w w:val="96"/>
              </w:rPr>
            </w:pPr>
            <w:hyperlink r:id="rId390">
              <w:r>
                <w:rPr>
                  <w:rFonts w:ascii="Times New Roman" w:cs="Times New Roman" w:eastAsia="Times New Roman" w:hAnsi="Times New Roman"/>
                  <w:sz w:val="15"/>
                  <w:szCs w:val="15"/>
                  <w:color w:val="0000EE"/>
                  <w:w w:val="96"/>
                </w:rPr>
                <w:t>Corp.; and Complete Solaria, Inc.</w:t>
              </w:r>
            </w:hyperlink>
          </w:p>
        </w:tc>
        <w:tc>
          <w:tcPr>
            <w:tcW w:w="4640" w:type="dxa"/>
            <w:vAlign w:val="bottom"/>
            <w:tcBorders>
              <w:top w:val="single" w:sz="8" w:color="0000EE"/>
              <w:left w:val="single" w:sz="8" w:color="CCEEFF"/>
              <w:bottom w:val="single" w:sz="8" w:color="CCEEFF"/>
              <w:right w:val="single" w:sz="8" w:color="CCEEFF"/>
            </w:tcBorders>
            <w:gridSpan w:val="13"/>
            <w:shd w:val="clear" w:color="auto" w:fill="CCEEFF"/>
          </w:tcPr>
          <w:p>
            <w:pPr>
              <w:spacing w:after="0"/>
              <w:rPr>
                <w:sz w:val="15"/>
                <w:szCs w:val="15"/>
                <w:color w:val="auto"/>
              </w:rPr>
            </w:pPr>
          </w:p>
        </w:tc>
        <w:tc>
          <w:tcPr>
            <w:tcW w:w="160" w:type="dxa"/>
            <w:vAlign w:val="bottom"/>
            <w:tcBorders>
              <w:top w:val="single" w:sz="8" w:color="CCEEFF"/>
              <w:left w:val="single" w:sz="8" w:color="CCEEFF"/>
              <w:bottom w:val="single" w:sz="8" w:color="CCEEFF"/>
            </w:tcBorders>
            <w:gridSpan w:val="2"/>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10.3</w:t>
            </w:r>
          </w:p>
        </w:tc>
        <w:tc>
          <w:tcPr>
            <w:tcW w:w="6800" w:type="dxa"/>
            <w:vAlign w:val="bottom"/>
            <w:gridSpan w:val="16"/>
          </w:tcPr>
          <w:p>
            <w:pPr>
              <w:spacing w:after="0" w:line="148" w:lineRule="exact"/>
              <w:rPr>
                <w:rFonts w:ascii="Times New Roman" w:cs="Times New Roman" w:eastAsia="Times New Roman" w:hAnsi="Times New Roman"/>
                <w:sz w:val="15"/>
                <w:szCs w:val="15"/>
                <w:color w:val="0000EE"/>
              </w:rPr>
            </w:pPr>
            <w:hyperlink r:id="rId391">
              <w:r>
                <w:rPr>
                  <w:rFonts w:ascii="Times New Roman" w:cs="Times New Roman" w:eastAsia="Times New Roman" w:hAnsi="Times New Roman"/>
                  <w:sz w:val="15"/>
                  <w:szCs w:val="15"/>
                  <w:color w:val="0000EE"/>
                </w:rPr>
                <w:t>Forward Purchase Agreement, dated July 13, 2023, between Polar Multi-Strategy Master Fund; Freedom</w:t>
              </w:r>
            </w:hyperlink>
          </w:p>
        </w:tc>
        <w:tc>
          <w:tcPr>
            <w:tcW w:w="560" w:type="dxa"/>
            <w:vAlign w:val="bottom"/>
          </w:tcPr>
          <w:p>
            <w:pPr>
              <w:ind w:left="140"/>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tcPr>
          <w:p>
            <w:pPr>
              <w:jc w:val="right"/>
              <w:ind w:right="124"/>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10.25</w:t>
            </w:r>
          </w:p>
        </w:tc>
        <w:tc>
          <w:tcPr>
            <w:tcW w:w="1040" w:type="dxa"/>
            <w:vAlign w:val="bottom"/>
          </w:tcPr>
          <w:p>
            <w:pPr>
              <w:jc w:val="right"/>
              <w:ind w:right="84"/>
              <w:spacing w:after="0" w:line="148" w:lineRule="exact"/>
              <w:rPr>
                <w:sz w:val="20"/>
                <w:szCs w:val="20"/>
                <w:color w:val="auto"/>
              </w:rPr>
            </w:pPr>
            <w:r>
              <w:rPr>
                <w:rFonts w:ascii="Times New Roman" w:cs="Times New Roman" w:eastAsia="Times New Roman" w:hAnsi="Times New Roman"/>
                <w:sz w:val="15"/>
                <w:szCs w:val="15"/>
                <w:color w:val="auto"/>
              </w:rPr>
              <w:t>2023-07-24</w:t>
            </w:r>
          </w:p>
        </w:tc>
      </w:tr>
      <w:tr>
        <w:trPr>
          <w:trHeight w:val="162"/>
        </w:trPr>
        <w:tc>
          <w:tcPr>
            <w:tcW w:w="1020" w:type="dxa"/>
            <w:vAlign w:val="bottom"/>
          </w:tcPr>
          <w:p>
            <w:pPr>
              <w:spacing w:after="0"/>
              <w:rPr>
                <w:sz w:val="14"/>
                <w:szCs w:val="14"/>
                <w:color w:val="auto"/>
              </w:rPr>
            </w:pPr>
          </w:p>
        </w:tc>
        <w:tc>
          <w:tcPr>
            <w:tcW w:w="2840" w:type="dxa"/>
            <w:vAlign w:val="bottom"/>
            <w:tcBorders>
              <w:top w:val="single" w:sz="8" w:color="0000EE"/>
              <w:bottom w:val="single" w:sz="8" w:color="0000EE"/>
            </w:tcBorders>
            <w:gridSpan w:val="4"/>
          </w:tcPr>
          <w:p>
            <w:pPr>
              <w:spacing w:after="0" w:line="162" w:lineRule="exact"/>
              <w:rPr>
                <w:rFonts w:ascii="Times New Roman" w:cs="Times New Roman" w:eastAsia="Times New Roman" w:hAnsi="Times New Roman"/>
                <w:sz w:val="15"/>
                <w:szCs w:val="15"/>
                <w:color w:val="0000EE"/>
              </w:rPr>
            </w:pPr>
            <w:hyperlink r:id="rId391">
              <w:r>
                <w:rPr>
                  <w:rFonts w:ascii="Times New Roman" w:cs="Times New Roman" w:eastAsia="Times New Roman" w:hAnsi="Times New Roman"/>
                  <w:sz w:val="15"/>
                  <w:szCs w:val="15"/>
                  <w:color w:val="0000EE"/>
                </w:rPr>
                <w:t>Acquisition I Corp. and Complete Solaria, Inc.</w:t>
              </w:r>
            </w:hyperlink>
          </w:p>
        </w:tc>
        <w:tc>
          <w:tcPr>
            <w:tcW w:w="3800" w:type="dxa"/>
            <w:vAlign w:val="bottom"/>
            <w:tcBorders>
              <w:top w:val="single" w:sz="8" w:color="0000EE"/>
            </w:tcBorders>
            <w:gridSpan w:val="10"/>
          </w:tcPr>
          <w:p>
            <w:pPr>
              <w:spacing w:after="0"/>
              <w:rPr>
                <w:sz w:val="14"/>
                <w:szCs w:val="14"/>
                <w:color w:val="auto"/>
              </w:rPr>
            </w:pPr>
          </w:p>
        </w:tc>
        <w:tc>
          <w:tcPr>
            <w:tcW w:w="16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10.4</w:t>
            </w:r>
          </w:p>
        </w:tc>
        <w:tc>
          <w:tcPr>
            <w:tcW w:w="6800" w:type="dxa"/>
            <w:vAlign w:val="bottom"/>
            <w:gridSpan w:val="16"/>
            <w:shd w:val="clear" w:color="auto" w:fill="CCEEFF"/>
          </w:tcPr>
          <w:p>
            <w:pPr>
              <w:spacing w:after="0" w:line="162" w:lineRule="exact"/>
              <w:rPr>
                <w:rFonts w:ascii="Times New Roman" w:cs="Times New Roman" w:eastAsia="Times New Roman" w:hAnsi="Times New Roman"/>
                <w:sz w:val="15"/>
                <w:szCs w:val="15"/>
                <w:color w:val="0000EE"/>
              </w:rPr>
            </w:pPr>
            <w:hyperlink r:id="rId392">
              <w:r>
                <w:rPr>
                  <w:rFonts w:ascii="Times New Roman" w:cs="Times New Roman" w:eastAsia="Times New Roman" w:hAnsi="Times New Roman"/>
                  <w:sz w:val="15"/>
                  <w:szCs w:val="15"/>
                  <w:color w:val="0000EE"/>
                </w:rPr>
                <w:t>Forward Purchase Agreement, dated July 13, 2023, between Diametric True Alpha Market Neutral Master</w:t>
              </w:r>
            </w:hyperlink>
          </w:p>
        </w:tc>
        <w:tc>
          <w:tcPr>
            <w:tcW w:w="5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shd w:val="clear" w:color="auto" w:fill="CCEEFF"/>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10.26</w:t>
            </w:r>
          </w:p>
        </w:tc>
        <w:tc>
          <w:tcPr>
            <w:tcW w:w="104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2023-07-24</w:t>
            </w:r>
          </w:p>
        </w:tc>
      </w:tr>
      <w:tr>
        <w:trPr>
          <w:trHeight w:val="20"/>
        </w:trPr>
        <w:tc>
          <w:tcPr>
            <w:tcW w:w="1020" w:type="dxa"/>
            <w:vAlign w:val="bottom"/>
            <w:shd w:val="clear" w:color="auto" w:fill="CCEEFF"/>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CCEEFF"/>
            </w:tcBorders>
            <w:gridSpan w:val="2"/>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162"/>
        </w:trPr>
        <w:tc>
          <w:tcPr>
            <w:tcW w:w="1020" w:type="dxa"/>
            <w:vAlign w:val="bottom"/>
            <w:shd w:val="clear" w:color="auto" w:fill="CCEEFF"/>
          </w:tcPr>
          <w:p>
            <w:pPr>
              <w:spacing w:after="0"/>
              <w:rPr>
                <w:sz w:val="14"/>
                <w:szCs w:val="14"/>
                <w:color w:val="auto"/>
              </w:rPr>
            </w:pPr>
          </w:p>
        </w:tc>
        <w:tc>
          <w:tcPr>
            <w:tcW w:w="6800" w:type="dxa"/>
            <w:vAlign w:val="bottom"/>
            <w:gridSpan w:val="16"/>
            <w:shd w:val="clear" w:color="auto" w:fill="CCEEFF"/>
          </w:tcPr>
          <w:p>
            <w:pPr>
              <w:spacing w:after="0" w:line="162" w:lineRule="exact"/>
              <w:rPr>
                <w:rFonts w:ascii="Times New Roman" w:cs="Times New Roman" w:eastAsia="Times New Roman" w:hAnsi="Times New Roman"/>
                <w:sz w:val="15"/>
                <w:szCs w:val="15"/>
                <w:color w:val="0000EE"/>
              </w:rPr>
            </w:pPr>
            <w:hyperlink r:id="rId392">
              <w:r>
                <w:rPr>
                  <w:rFonts w:ascii="Times New Roman" w:cs="Times New Roman" w:eastAsia="Times New Roman" w:hAnsi="Times New Roman"/>
                  <w:sz w:val="15"/>
                  <w:szCs w:val="15"/>
                  <w:color w:val="0000EE"/>
                </w:rPr>
                <w:t>Fund, LP, Diametric True Alpha Enhanced Market Neutral Master Fund, LP, and Pinebridge Partners Master</w:t>
              </w:r>
            </w:hyperlink>
          </w:p>
        </w:tc>
        <w:tc>
          <w:tcPr>
            <w:tcW w:w="5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6"/>
        </w:trPr>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4060" w:type="dxa"/>
            <w:vAlign w:val="bottom"/>
            <w:tcBorders>
              <w:top w:val="single" w:sz="8" w:color="0000EE"/>
              <w:bottom w:val="single" w:sz="8" w:color="0000EE"/>
            </w:tcBorders>
            <w:gridSpan w:val="9"/>
            <w:shd w:val="clear" w:color="auto" w:fill="CCEEFF"/>
          </w:tcPr>
          <w:p>
            <w:pPr>
              <w:spacing w:after="0" w:line="162" w:lineRule="exact"/>
              <w:rPr>
                <w:rFonts w:ascii="Times New Roman" w:cs="Times New Roman" w:eastAsia="Times New Roman" w:hAnsi="Times New Roman"/>
                <w:sz w:val="15"/>
                <w:szCs w:val="15"/>
                <w:color w:val="0000EE"/>
              </w:rPr>
            </w:pPr>
            <w:hyperlink r:id="rId392">
              <w:r>
                <w:rPr>
                  <w:rFonts w:ascii="Times New Roman" w:cs="Times New Roman" w:eastAsia="Times New Roman" w:hAnsi="Times New Roman"/>
                  <w:sz w:val="15"/>
                  <w:szCs w:val="15"/>
                  <w:color w:val="0000EE"/>
                </w:rPr>
                <w:t>Fund, LP; Freedom Acquisition I Corp. and Complete Solaria, Inc.</w:t>
              </w:r>
            </w:hyperlink>
          </w:p>
        </w:tc>
        <w:tc>
          <w:tcPr>
            <w:tcW w:w="2580" w:type="dxa"/>
            <w:vAlign w:val="bottom"/>
            <w:tcBorders>
              <w:top w:val="single" w:sz="8" w:color="0000EE"/>
              <w:bottom w:val="single" w:sz="8" w:color="CCEEFF"/>
              <w:right w:val="single" w:sz="8" w:color="CCEEFF"/>
            </w:tcBorders>
            <w:gridSpan w:val="5"/>
            <w:shd w:val="clear" w:color="auto" w:fill="CCEEFF"/>
          </w:tcPr>
          <w:p>
            <w:pPr>
              <w:spacing w:after="0"/>
              <w:rPr>
                <w:sz w:val="15"/>
                <w:szCs w:val="15"/>
                <w:color w:val="auto"/>
              </w:rPr>
            </w:pPr>
          </w:p>
        </w:tc>
        <w:tc>
          <w:tcPr>
            <w:tcW w:w="160" w:type="dxa"/>
            <w:vAlign w:val="bottom"/>
            <w:tcBorders>
              <w:top w:val="single" w:sz="8" w:color="CCEEFF"/>
              <w:left w:val="single" w:sz="8" w:color="CCEEFF"/>
              <w:bottom w:val="single" w:sz="8" w:color="CCEEFF"/>
            </w:tcBorders>
            <w:gridSpan w:val="2"/>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10.5</w:t>
            </w:r>
          </w:p>
        </w:tc>
        <w:tc>
          <w:tcPr>
            <w:tcW w:w="6640" w:type="dxa"/>
            <w:vAlign w:val="bottom"/>
            <w:tcBorders>
              <w:bottom w:val="single" w:sz="8" w:color="0000EE"/>
            </w:tcBorders>
            <w:gridSpan w:val="14"/>
          </w:tcPr>
          <w:p>
            <w:pPr>
              <w:spacing w:after="0" w:line="148" w:lineRule="exact"/>
              <w:rPr>
                <w:rFonts w:ascii="Times New Roman" w:cs="Times New Roman" w:eastAsia="Times New Roman" w:hAnsi="Times New Roman"/>
                <w:sz w:val="15"/>
                <w:szCs w:val="15"/>
                <w:color w:val="0000EE"/>
              </w:rPr>
            </w:pPr>
            <w:hyperlink r:id="rId393">
              <w:r>
                <w:rPr>
                  <w:rFonts w:ascii="Times New Roman" w:cs="Times New Roman" w:eastAsia="Times New Roman" w:hAnsi="Times New Roman"/>
                  <w:sz w:val="15"/>
                  <w:szCs w:val="15"/>
                  <w:color w:val="0000EE"/>
                </w:rPr>
                <w:t>FPA Funding Amount Pipe Subscription Agreements dated July 13, 2023, between Meteora Special</w:t>
              </w:r>
            </w:hyperlink>
          </w:p>
        </w:tc>
        <w:tc>
          <w:tcPr>
            <w:tcW w:w="160" w:type="dxa"/>
            <w:vAlign w:val="bottom"/>
            <w:gridSpan w:val="2"/>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tcPr>
          <w:p>
            <w:pPr>
              <w:jc w:val="right"/>
              <w:ind w:right="124"/>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10.27</w:t>
            </w:r>
          </w:p>
        </w:tc>
        <w:tc>
          <w:tcPr>
            <w:tcW w:w="1040" w:type="dxa"/>
            <w:vAlign w:val="bottom"/>
          </w:tcPr>
          <w:p>
            <w:pPr>
              <w:jc w:val="right"/>
              <w:ind w:right="84"/>
              <w:spacing w:after="0" w:line="148" w:lineRule="exact"/>
              <w:rPr>
                <w:sz w:val="20"/>
                <w:szCs w:val="20"/>
                <w:color w:val="auto"/>
              </w:rPr>
            </w:pPr>
            <w:r>
              <w:rPr>
                <w:rFonts w:ascii="Times New Roman" w:cs="Times New Roman" w:eastAsia="Times New Roman" w:hAnsi="Times New Roman"/>
                <w:sz w:val="15"/>
                <w:szCs w:val="15"/>
                <w:color w:val="auto"/>
              </w:rPr>
              <w:t>2023-07-24</w:t>
            </w:r>
          </w:p>
        </w:tc>
      </w:tr>
      <w:tr>
        <w:trPr>
          <w:trHeight w:val="162"/>
        </w:trPr>
        <w:tc>
          <w:tcPr>
            <w:tcW w:w="1020" w:type="dxa"/>
            <w:vAlign w:val="bottom"/>
          </w:tcPr>
          <w:p>
            <w:pPr>
              <w:spacing w:after="0"/>
              <w:rPr>
                <w:sz w:val="14"/>
                <w:szCs w:val="14"/>
                <w:color w:val="auto"/>
              </w:rPr>
            </w:pPr>
          </w:p>
        </w:tc>
        <w:tc>
          <w:tcPr>
            <w:tcW w:w="6800" w:type="dxa"/>
            <w:vAlign w:val="bottom"/>
            <w:gridSpan w:val="16"/>
          </w:tcPr>
          <w:p>
            <w:pPr>
              <w:spacing w:after="0" w:line="162" w:lineRule="exact"/>
              <w:rPr>
                <w:rFonts w:ascii="Times New Roman" w:cs="Times New Roman" w:eastAsia="Times New Roman" w:hAnsi="Times New Roman"/>
                <w:sz w:val="15"/>
                <w:szCs w:val="15"/>
                <w:color w:val="0000EE"/>
              </w:rPr>
            </w:pPr>
            <w:hyperlink r:id="rId393">
              <w:r>
                <w:rPr>
                  <w:rFonts w:ascii="Times New Roman" w:cs="Times New Roman" w:eastAsia="Times New Roman" w:hAnsi="Times New Roman"/>
                  <w:sz w:val="15"/>
                  <w:szCs w:val="15"/>
                  <w:color w:val="0000EE"/>
                </w:rPr>
                <w:t>Opportunity Fund I, LP, Meteora Capital Partners, LP and Meteora Select Trading Opportunities Master, LP;</w:t>
              </w:r>
            </w:hyperlink>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6640" w:type="dxa"/>
            <w:vAlign w:val="bottom"/>
            <w:tcBorders>
              <w:top w:val="single" w:sz="8" w:color="0000EE"/>
            </w:tcBorders>
            <w:gridSpan w:val="14"/>
          </w:tcPr>
          <w:p>
            <w:pPr>
              <w:spacing w:after="0" w:line="162" w:lineRule="exact"/>
              <w:rPr>
                <w:rFonts w:ascii="Times New Roman" w:cs="Times New Roman" w:eastAsia="Times New Roman" w:hAnsi="Times New Roman"/>
                <w:sz w:val="15"/>
                <w:szCs w:val="15"/>
                <w:color w:val="0000EE"/>
              </w:rPr>
            </w:pPr>
            <w:hyperlink r:id="rId393">
              <w:r>
                <w:rPr>
                  <w:rFonts w:ascii="Times New Roman" w:cs="Times New Roman" w:eastAsia="Times New Roman" w:hAnsi="Times New Roman"/>
                  <w:sz w:val="15"/>
                  <w:szCs w:val="15"/>
                  <w:color w:val="0000EE"/>
                </w:rPr>
                <w:t>Freedom Acquisition I Corp.; and Complete Solaria, Inc.</w:t>
              </w:r>
            </w:hyperlink>
          </w:p>
        </w:tc>
        <w:tc>
          <w:tcPr>
            <w:tcW w:w="16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2"/>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10.6</w:t>
            </w:r>
          </w:p>
        </w:tc>
        <w:tc>
          <w:tcPr>
            <w:tcW w:w="6640" w:type="dxa"/>
            <w:vAlign w:val="bottom"/>
            <w:tcBorders>
              <w:bottom w:val="single" w:sz="8" w:color="0000EE"/>
              <w:right w:val="single" w:sz="8" w:color="CCEEFF"/>
            </w:tcBorders>
            <w:gridSpan w:val="14"/>
            <w:shd w:val="clear" w:color="auto" w:fill="CCEEFF"/>
          </w:tcPr>
          <w:p>
            <w:pPr>
              <w:spacing w:after="0" w:line="162" w:lineRule="exact"/>
              <w:rPr>
                <w:rFonts w:ascii="Times New Roman" w:cs="Times New Roman" w:eastAsia="Times New Roman" w:hAnsi="Times New Roman"/>
                <w:sz w:val="15"/>
                <w:szCs w:val="15"/>
                <w:color w:val="0000EE"/>
              </w:rPr>
            </w:pPr>
            <w:hyperlink r:id="rId394">
              <w:r>
                <w:rPr>
                  <w:rFonts w:ascii="Times New Roman" w:cs="Times New Roman" w:eastAsia="Times New Roman" w:hAnsi="Times New Roman"/>
                  <w:sz w:val="15"/>
                  <w:szCs w:val="15"/>
                  <w:color w:val="0000EE"/>
                </w:rPr>
                <w:t>FPA Funding Amount Pipe Subscription Agreements dated July 13, 2023, between Polar Multi-Strategy</w:t>
              </w:r>
            </w:hyperlink>
          </w:p>
        </w:tc>
        <w:tc>
          <w:tcPr>
            <w:tcW w:w="16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tcBorders>
              <w:bottom w:val="single" w:sz="8" w:color="CCEEFF"/>
            </w:tcBorders>
            <w:shd w:val="clear" w:color="auto" w:fill="CCEEFF"/>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10.28</w:t>
            </w:r>
          </w:p>
        </w:tc>
        <w:tc>
          <w:tcPr>
            <w:tcW w:w="1040" w:type="dxa"/>
            <w:vAlign w:val="bottom"/>
            <w:tcBorders>
              <w:bottom w:val="single" w:sz="8" w:color="CCEEFF"/>
            </w:tcBorders>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2023-07-24</w:t>
            </w:r>
          </w:p>
        </w:tc>
      </w:tr>
      <w:tr>
        <w:trPr>
          <w:trHeight w:val="176"/>
        </w:trPr>
        <w:tc>
          <w:tcPr>
            <w:tcW w:w="1020" w:type="dxa"/>
            <w:vAlign w:val="bottom"/>
            <w:tcBorders>
              <w:bottom w:val="single" w:sz="8" w:color="CCEEFF"/>
            </w:tcBorders>
            <w:shd w:val="clear" w:color="auto" w:fill="CCEEFF"/>
          </w:tcPr>
          <w:p>
            <w:pPr>
              <w:spacing w:after="0"/>
              <w:rPr>
                <w:sz w:val="15"/>
                <w:szCs w:val="15"/>
                <w:color w:val="auto"/>
              </w:rPr>
            </w:pPr>
          </w:p>
        </w:tc>
        <w:tc>
          <w:tcPr>
            <w:tcW w:w="4260" w:type="dxa"/>
            <w:vAlign w:val="bottom"/>
            <w:tcBorders>
              <w:bottom w:val="single" w:sz="8" w:color="0000EE"/>
            </w:tcBorders>
            <w:gridSpan w:val="10"/>
            <w:shd w:val="clear" w:color="auto" w:fill="CCEEFF"/>
          </w:tcPr>
          <w:p>
            <w:pPr>
              <w:spacing w:after="0" w:line="162" w:lineRule="exact"/>
              <w:rPr>
                <w:rFonts w:ascii="Times New Roman" w:cs="Times New Roman" w:eastAsia="Times New Roman" w:hAnsi="Times New Roman"/>
                <w:sz w:val="15"/>
                <w:szCs w:val="15"/>
                <w:color w:val="0000EE"/>
              </w:rPr>
            </w:pPr>
            <w:hyperlink r:id="rId394">
              <w:r>
                <w:rPr>
                  <w:rFonts w:ascii="Times New Roman" w:cs="Times New Roman" w:eastAsia="Times New Roman" w:hAnsi="Times New Roman"/>
                  <w:sz w:val="15"/>
                  <w:szCs w:val="15"/>
                  <w:color w:val="0000EE"/>
                </w:rPr>
                <w:t>Master Fund; Freedom Acquisition I Corp. and Complete Solaria, Inc.</w:t>
              </w:r>
            </w:hyperlink>
          </w:p>
        </w:tc>
        <w:tc>
          <w:tcPr>
            <w:tcW w:w="2540" w:type="dxa"/>
            <w:vAlign w:val="bottom"/>
            <w:tcBorders>
              <w:bottom w:val="single" w:sz="8" w:color="CCEEFF"/>
            </w:tcBorders>
            <w:gridSpan w:val="6"/>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10.7</w:t>
            </w:r>
          </w:p>
        </w:tc>
        <w:tc>
          <w:tcPr>
            <w:tcW w:w="6800" w:type="dxa"/>
            <w:vAlign w:val="bottom"/>
            <w:gridSpan w:val="16"/>
          </w:tcPr>
          <w:p>
            <w:pPr>
              <w:spacing w:after="0" w:line="148" w:lineRule="exact"/>
              <w:rPr>
                <w:rFonts w:ascii="Times New Roman" w:cs="Times New Roman" w:eastAsia="Times New Roman" w:hAnsi="Times New Roman"/>
                <w:sz w:val="15"/>
                <w:szCs w:val="15"/>
                <w:color w:val="0000EE"/>
              </w:rPr>
            </w:pPr>
            <w:hyperlink r:id="rId395">
              <w:r>
                <w:rPr>
                  <w:rFonts w:ascii="Times New Roman" w:cs="Times New Roman" w:eastAsia="Times New Roman" w:hAnsi="Times New Roman"/>
                  <w:sz w:val="15"/>
                  <w:szCs w:val="15"/>
                  <w:color w:val="0000EE"/>
                </w:rPr>
                <w:t>FPA Funding Amount Pipe Subscription Agreements, dated July 13, 2023, between Diametric True Alpha</w:t>
              </w:r>
            </w:hyperlink>
          </w:p>
        </w:tc>
        <w:tc>
          <w:tcPr>
            <w:tcW w:w="560" w:type="dxa"/>
            <w:vAlign w:val="bottom"/>
          </w:tcPr>
          <w:p>
            <w:pPr>
              <w:ind w:left="140"/>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tcPr>
          <w:p>
            <w:pPr>
              <w:jc w:val="right"/>
              <w:ind w:right="124"/>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10.29</w:t>
            </w:r>
          </w:p>
        </w:tc>
        <w:tc>
          <w:tcPr>
            <w:tcW w:w="1040" w:type="dxa"/>
            <w:vAlign w:val="bottom"/>
          </w:tcPr>
          <w:p>
            <w:pPr>
              <w:jc w:val="right"/>
              <w:ind w:right="84"/>
              <w:spacing w:after="0" w:line="148" w:lineRule="exact"/>
              <w:rPr>
                <w:sz w:val="20"/>
                <w:szCs w:val="20"/>
                <w:color w:val="auto"/>
              </w:rPr>
            </w:pPr>
            <w:r>
              <w:rPr>
                <w:rFonts w:ascii="Times New Roman" w:cs="Times New Roman" w:eastAsia="Times New Roman" w:hAnsi="Times New Roman"/>
                <w:sz w:val="15"/>
                <w:szCs w:val="15"/>
                <w:color w:val="auto"/>
              </w:rPr>
              <w:t>2023-07-24</w:t>
            </w:r>
          </w:p>
        </w:tc>
      </w:tr>
      <w:tr>
        <w:trPr>
          <w:trHeight w:val="20"/>
        </w:trPr>
        <w:tc>
          <w:tcPr>
            <w:tcW w:w="10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2"/>
        </w:trPr>
        <w:tc>
          <w:tcPr>
            <w:tcW w:w="1020" w:type="dxa"/>
            <w:vAlign w:val="bottom"/>
          </w:tcPr>
          <w:p>
            <w:pPr>
              <w:spacing w:after="0"/>
              <w:rPr>
                <w:sz w:val="14"/>
                <w:szCs w:val="14"/>
                <w:color w:val="auto"/>
              </w:rPr>
            </w:pPr>
          </w:p>
        </w:tc>
        <w:tc>
          <w:tcPr>
            <w:tcW w:w="6800" w:type="dxa"/>
            <w:vAlign w:val="bottom"/>
            <w:gridSpan w:val="16"/>
          </w:tcPr>
          <w:p>
            <w:pPr>
              <w:spacing w:after="0" w:line="162" w:lineRule="exact"/>
              <w:rPr>
                <w:rFonts w:ascii="Times New Roman" w:cs="Times New Roman" w:eastAsia="Times New Roman" w:hAnsi="Times New Roman"/>
                <w:sz w:val="15"/>
                <w:szCs w:val="15"/>
                <w:color w:val="0000EE"/>
              </w:rPr>
            </w:pPr>
            <w:hyperlink r:id="rId395">
              <w:r>
                <w:rPr>
                  <w:rFonts w:ascii="Times New Roman" w:cs="Times New Roman" w:eastAsia="Times New Roman" w:hAnsi="Times New Roman"/>
                  <w:sz w:val="15"/>
                  <w:szCs w:val="15"/>
                  <w:color w:val="0000EE"/>
                </w:rPr>
                <w:t>Market Neutral Master Fund, LP, Diametric True Alpha Enhanced Market Neutral Master Fund, LP, and</w:t>
              </w:r>
            </w:hyperlink>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6640" w:type="dxa"/>
            <w:vAlign w:val="bottom"/>
            <w:tcBorders>
              <w:top w:val="single" w:sz="8" w:color="0000EE"/>
            </w:tcBorders>
            <w:gridSpan w:val="14"/>
          </w:tcPr>
          <w:p>
            <w:pPr>
              <w:spacing w:after="0" w:line="162" w:lineRule="exact"/>
              <w:rPr>
                <w:rFonts w:ascii="Times New Roman" w:cs="Times New Roman" w:eastAsia="Times New Roman" w:hAnsi="Times New Roman"/>
                <w:sz w:val="15"/>
                <w:szCs w:val="15"/>
                <w:color w:val="0000EE"/>
              </w:rPr>
            </w:pPr>
            <w:hyperlink r:id="rId395">
              <w:r>
                <w:rPr>
                  <w:rFonts w:ascii="Times New Roman" w:cs="Times New Roman" w:eastAsia="Times New Roman" w:hAnsi="Times New Roman"/>
                  <w:sz w:val="15"/>
                  <w:szCs w:val="15"/>
                  <w:color w:val="0000EE"/>
                </w:rPr>
                <w:t>Pinebridge Partners Master Fund, LP; Freedom Acquisition I Corp. and Complete Solaria, Inc.</w:t>
              </w:r>
            </w:hyperlink>
          </w:p>
        </w:tc>
        <w:tc>
          <w:tcPr>
            <w:tcW w:w="16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10.8</w:t>
            </w:r>
          </w:p>
        </w:tc>
        <w:tc>
          <w:tcPr>
            <w:tcW w:w="6800" w:type="dxa"/>
            <w:vAlign w:val="bottom"/>
            <w:gridSpan w:val="16"/>
            <w:shd w:val="clear" w:color="auto" w:fill="CCEEFF"/>
          </w:tcPr>
          <w:p>
            <w:pPr>
              <w:spacing w:after="0" w:line="162" w:lineRule="exact"/>
              <w:rPr>
                <w:rFonts w:ascii="Times New Roman" w:cs="Times New Roman" w:eastAsia="Times New Roman" w:hAnsi="Times New Roman"/>
                <w:sz w:val="15"/>
                <w:szCs w:val="15"/>
                <w:color w:val="0000EE"/>
              </w:rPr>
            </w:pPr>
            <w:hyperlink r:id="rId396">
              <w:r>
                <w:rPr>
                  <w:rFonts w:ascii="Times New Roman" w:cs="Times New Roman" w:eastAsia="Times New Roman" w:hAnsi="Times New Roman"/>
                  <w:sz w:val="15"/>
                  <w:szCs w:val="15"/>
                  <w:color w:val="0000EE"/>
                </w:rPr>
                <w:t>New Money Pipe Subscription Agreements dated July 13, 2023, between Meteora Special Opportunity Fund</w:t>
              </w:r>
            </w:hyperlink>
          </w:p>
        </w:tc>
        <w:tc>
          <w:tcPr>
            <w:tcW w:w="5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shd w:val="clear" w:color="auto" w:fill="CCEEFF"/>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10.30</w:t>
            </w:r>
          </w:p>
        </w:tc>
        <w:tc>
          <w:tcPr>
            <w:tcW w:w="104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2023-07-24</w:t>
            </w:r>
          </w:p>
        </w:tc>
      </w:tr>
      <w:tr>
        <w:trPr>
          <w:trHeight w:val="20"/>
        </w:trPr>
        <w:tc>
          <w:tcPr>
            <w:tcW w:w="1020" w:type="dxa"/>
            <w:vAlign w:val="bottom"/>
            <w:shd w:val="clear" w:color="auto" w:fill="CCEEFF"/>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CCEEFF"/>
            </w:tcBorders>
            <w:gridSpan w:val="2"/>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162"/>
        </w:trPr>
        <w:tc>
          <w:tcPr>
            <w:tcW w:w="1020" w:type="dxa"/>
            <w:vAlign w:val="bottom"/>
            <w:tcBorders>
              <w:bottom w:val="single" w:sz="8" w:color="CCEEFF"/>
            </w:tcBorders>
            <w:shd w:val="clear" w:color="auto" w:fill="CCEEFF"/>
          </w:tcPr>
          <w:p>
            <w:pPr>
              <w:spacing w:after="0"/>
              <w:rPr>
                <w:sz w:val="14"/>
                <w:szCs w:val="14"/>
                <w:color w:val="auto"/>
              </w:rPr>
            </w:pPr>
          </w:p>
        </w:tc>
        <w:tc>
          <w:tcPr>
            <w:tcW w:w="6700" w:type="dxa"/>
            <w:vAlign w:val="bottom"/>
            <w:tcBorders>
              <w:bottom w:val="single" w:sz="8" w:color="0000EE"/>
            </w:tcBorders>
            <w:gridSpan w:val="15"/>
            <w:shd w:val="clear" w:color="auto" w:fill="CCEEFF"/>
          </w:tcPr>
          <w:p>
            <w:pPr>
              <w:spacing w:after="0" w:line="162" w:lineRule="exact"/>
              <w:rPr>
                <w:rFonts w:ascii="Times New Roman" w:cs="Times New Roman" w:eastAsia="Times New Roman" w:hAnsi="Times New Roman"/>
                <w:sz w:val="15"/>
                <w:szCs w:val="15"/>
                <w:color w:val="0000EE"/>
              </w:rPr>
            </w:pPr>
            <w:hyperlink r:id="rId396">
              <w:r>
                <w:rPr>
                  <w:rFonts w:ascii="Times New Roman" w:cs="Times New Roman" w:eastAsia="Times New Roman" w:hAnsi="Times New Roman"/>
                  <w:sz w:val="15"/>
                  <w:szCs w:val="15"/>
                  <w:color w:val="0000EE"/>
                </w:rPr>
                <w:t>I, LP, Meteora Capital Partners, LP and Meteora Select Trading Opportunities Master, LP; Freedom</w:t>
              </w:r>
            </w:hyperlink>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76"/>
        </w:trPr>
        <w:tc>
          <w:tcPr>
            <w:tcW w:w="102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0000EE"/>
            </w:tcBorders>
            <w:gridSpan w:val="6"/>
            <w:shd w:val="clear" w:color="auto" w:fill="CCEEFF"/>
          </w:tcPr>
          <w:p>
            <w:pPr>
              <w:spacing w:after="0" w:line="162" w:lineRule="exact"/>
              <w:rPr>
                <w:rFonts w:ascii="Times New Roman" w:cs="Times New Roman" w:eastAsia="Times New Roman" w:hAnsi="Times New Roman"/>
                <w:sz w:val="15"/>
                <w:szCs w:val="15"/>
                <w:color w:val="0000EE"/>
              </w:rPr>
            </w:pPr>
            <w:hyperlink r:id="rId396">
              <w:r>
                <w:rPr>
                  <w:rFonts w:ascii="Times New Roman" w:cs="Times New Roman" w:eastAsia="Times New Roman" w:hAnsi="Times New Roman"/>
                  <w:sz w:val="15"/>
                  <w:szCs w:val="15"/>
                  <w:color w:val="0000EE"/>
                </w:rPr>
                <w:t>Acquisition I Corp.; and Complete Solaria, Inc.</w:t>
              </w:r>
            </w:hyperlink>
          </w:p>
        </w:tc>
        <w:tc>
          <w:tcPr>
            <w:tcW w:w="3920" w:type="dxa"/>
            <w:vAlign w:val="bottom"/>
            <w:tcBorders>
              <w:bottom w:val="single" w:sz="8" w:color="CCEEFF"/>
            </w:tcBorders>
            <w:gridSpan w:val="10"/>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10.9</w:t>
            </w:r>
          </w:p>
        </w:tc>
        <w:tc>
          <w:tcPr>
            <w:tcW w:w="6800" w:type="dxa"/>
            <w:vAlign w:val="bottom"/>
            <w:gridSpan w:val="16"/>
          </w:tcPr>
          <w:p>
            <w:pPr>
              <w:spacing w:after="0" w:line="148" w:lineRule="exact"/>
              <w:rPr>
                <w:rFonts w:ascii="Times New Roman" w:cs="Times New Roman" w:eastAsia="Times New Roman" w:hAnsi="Times New Roman"/>
                <w:sz w:val="15"/>
                <w:szCs w:val="15"/>
                <w:color w:val="0000EE"/>
              </w:rPr>
            </w:pPr>
            <w:hyperlink r:id="rId397">
              <w:r>
                <w:rPr>
                  <w:rFonts w:ascii="Times New Roman" w:cs="Times New Roman" w:eastAsia="Times New Roman" w:hAnsi="Times New Roman"/>
                  <w:sz w:val="15"/>
                  <w:szCs w:val="15"/>
                  <w:color w:val="0000EE"/>
                </w:rPr>
                <w:t>New Money Pipe Subscription Agreements, dated July 13, 2023, between Diametric True Alpha Market</w:t>
              </w:r>
            </w:hyperlink>
          </w:p>
        </w:tc>
        <w:tc>
          <w:tcPr>
            <w:tcW w:w="560" w:type="dxa"/>
            <w:vAlign w:val="bottom"/>
          </w:tcPr>
          <w:p>
            <w:pPr>
              <w:ind w:left="140"/>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tcPr>
          <w:p>
            <w:pPr>
              <w:jc w:val="right"/>
              <w:ind w:right="124"/>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10.31</w:t>
            </w:r>
          </w:p>
        </w:tc>
        <w:tc>
          <w:tcPr>
            <w:tcW w:w="1040" w:type="dxa"/>
            <w:vAlign w:val="bottom"/>
          </w:tcPr>
          <w:p>
            <w:pPr>
              <w:jc w:val="right"/>
              <w:ind w:right="84"/>
              <w:spacing w:after="0" w:line="148" w:lineRule="exact"/>
              <w:rPr>
                <w:sz w:val="20"/>
                <w:szCs w:val="20"/>
                <w:color w:val="auto"/>
              </w:rPr>
            </w:pPr>
            <w:r>
              <w:rPr>
                <w:rFonts w:ascii="Times New Roman" w:cs="Times New Roman" w:eastAsia="Times New Roman" w:hAnsi="Times New Roman"/>
                <w:sz w:val="15"/>
                <w:szCs w:val="15"/>
                <w:color w:val="auto"/>
              </w:rPr>
              <w:t>2023-07-24</w:t>
            </w:r>
          </w:p>
        </w:tc>
      </w:tr>
      <w:tr>
        <w:trPr>
          <w:trHeight w:val="20"/>
        </w:trPr>
        <w:tc>
          <w:tcPr>
            <w:tcW w:w="10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2"/>
        </w:trPr>
        <w:tc>
          <w:tcPr>
            <w:tcW w:w="1020" w:type="dxa"/>
            <w:vAlign w:val="bottom"/>
          </w:tcPr>
          <w:p>
            <w:pPr>
              <w:spacing w:after="0"/>
              <w:rPr>
                <w:sz w:val="14"/>
                <w:szCs w:val="14"/>
                <w:color w:val="auto"/>
              </w:rPr>
            </w:pPr>
          </w:p>
        </w:tc>
        <w:tc>
          <w:tcPr>
            <w:tcW w:w="6800" w:type="dxa"/>
            <w:vAlign w:val="bottom"/>
            <w:gridSpan w:val="16"/>
          </w:tcPr>
          <w:p>
            <w:pPr>
              <w:spacing w:after="0" w:line="162" w:lineRule="exact"/>
              <w:rPr>
                <w:rFonts w:ascii="Times New Roman" w:cs="Times New Roman" w:eastAsia="Times New Roman" w:hAnsi="Times New Roman"/>
                <w:sz w:val="15"/>
                <w:szCs w:val="15"/>
                <w:color w:val="0000EE"/>
              </w:rPr>
            </w:pPr>
            <w:hyperlink r:id="rId397">
              <w:r>
                <w:rPr>
                  <w:rFonts w:ascii="Times New Roman" w:cs="Times New Roman" w:eastAsia="Times New Roman" w:hAnsi="Times New Roman"/>
                  <w:sz w:val="15"/>
                  <w:szCs w:val="15"/>
                  <w:color w:val="0000EE"/>
                </w:rPr>
                <w:t>Neutral Master Fund, LP, Diametric True Alpha Enhanced Market Neutral Master Fund, LP, and Pinebridge</w:t>
              </w:r>
            </w:hyperlink>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6640" w:type="dxa"/>
            <w:vAlign w:val="bottom"/>
            <w:tcBorders>
              <w:top w:val="single" w:sz="8" w:color="0000EE"/>
            </w:tcBorders>
            <w:gridSpan w:val="14"/>
          </w:tcPr>
          <w:p>
            <w:pPr>
              <w:spacing w:after="0" w:line="162" w:lineRule="exact"/>
              <w:rPr>
                <w:rFonts w:ascii="Times New Roman" w:cs="Times New Roman" w:eastAsia="Times New Roman" w:hAnsi="Times New Roman"/>
                <w:sz w:val="15"/>
                <w:szCs w:val="15"/>
                <w:color w:val="0000EE"/>
              </w:rPr>
            </w:pPr>
            <w:hyperlink r:id="rId397">
              <w:r>
                <w:rPr>
                  <w:rFonts w:ascii="Times New Roman" w:cs="Times New Roman" w:eastAsia="Times New Roman" w:hAnsi="Times New Roman"/>
                  <w:sz w:val="15"/>
                  <w:szCs w:val="15"/>
                  <w:color w:val="0000EE"/>
                </w:rPr>
                <w:t>Partners Master Fund, LP; Freedom Acquisition I Corp. and Complete Solaria, Inc.</w:t>
              </w:r>
            </w:hyperlink>
          </w:p>
        </w:tc>
        <w:tc>
          <w:tcPr>
            <w:tcW w:w="16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10.10</w:t>
            </w:r>
          </w:p>
        </w:tc>
        <w:tc>
          <w:tcPr>
            <w:tcW w:w="5040" w:type="dxa"/>
            <w:vAlign w:val="bottom"/>
            <w:tcBorders>
              <w:top w:val="single" w:sz="8" w:color="0000EE"/>
            </w:tcBorders>
            <w:gridSpan w:val="11"/>
            <w:shd w:val="clear" w:color="auto" w:fill="CCEEFF"/>
          </w:tcPr>
          <w:p>
            <w:pPr>
              <w:spacing w:after="0" w:line="162" w:lineRule="exact"/>
              <w:rPr>
                <w:rFonts w:ascii="Times New Roman" w:cs="Times New Roman" w:eastAsia="Times New Roman" w:hAnsi="Times New Roman"/>
                <w:sz w:val="15"/>
                <w:szCs w:val="15"/>
                <w:color w:val="0000EE"/>
              </w:rPr>
            </w:pPr>
            <w:hyperlink r:id="rId398">
              <w:r>
                <w:rPr>
                  <w:rFonts w:ascii="Times New Roman" w:cs="Times New Roman" w:eastAsia="Times New Roman" w:hAnsi="Times New Roman"/>
                  <w:sz w:val="15"/>
                  <w:szCs w:val="15"/>
                  <w:color w:val="0000EE"/>
                </w:rPr>
                <w:t>Form of Subscription Agreement</w:t>
              </w:r>
            </w:hyperlink>
          </w:p>
        </w:tc>
        <w:tc>
          <w:tcPr>
            <w:tcW w:w="1760" w:type="dxa"/>
            <w:vAlign w:val="bottom"/>
            <w:gridSpan w:val="5"/>
            <w:shd w:val="clear" w:color="auto" w:fill="CCEEFF"/>
          </w:tcPr>
          <w:p>
            <w:pPr>
              <w:spacing w:after="0"/>
              <w:rPr>
                <w:sz w:val="14"/>
                <w:szCs w:val="14"/>
                <w:color w:val="auto"/>
              </w:rPr>
            </w:pPr>
          </w:p>
        </w:tc>
        <w:tc>
          <w:tcPr>
            <w:tcW w:w="5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shd w:val="clear" w:color="auto" w:fill="CCEEFF"/>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10.32</w:t>
            </w:r>
          </w:p>
        </w:tc>
        <w:tc>
          <w:tcPr>
            <w:tcW w:w="104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2023-07-24</w:t>
            </w:r>
          </w:p>
        </w:tc>
      </w:tr>
      <w:tr>
        <w:trPr>
          <w:trHeight w:val="34"/>
        </w:trPr>
        <w:tc>
          <w:tcPr>
            <w:tcW w:w="1020" w:type="dxa"/>
            <w:vAlign w:val="bottom"/>
            <w:shd w:val="clear" w:color="auto" w:fill="CCEEFF"/>
          </w:tcPr>
          <w:p>
            <w:pPr>
              <w:spacing w:after="0"/>
              <w:rPr>
                <w:sz w:val="2"/>
                <w:szCs w:val="2"/>
                <w:color w:val="auto"/>
              </w:rPr>
            </w:pPr>
          </w:p>
        </w:tc>
        <w:tc>
          <w:tcPr>
            <w:tcW w:w="2000" w:type="dxa"/>
            <w:vAlign w:val="bottom"/>
            <w:shd w:val="clear" w:color="auto" w:fill="0000EE"/>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10.11</w:t>
            </w:r>
          </w:p>
        </w:tc>
        <w:tc>
          <w:tcPr>
            <w:tcW w:w="6800" w:type="dxa"/>
            <w:vAlign w:val="bottom"/>
            <w:gridSpan w:val="16"/>
          </w:tcPr>
          <w:p>
            <w:pPr>
              <w:spacing w:after="0" w:line="148" w:lineRule="exact"/>
              <w:rPr>
                <w:rFonts w:ascii="Times New Roman" w:cs="Times New Roman" w:eastAsia="Times New Roman" w:hAnsi="Times New Roman"/>
                <w:sz w:val="15"/>
                <w:szCs w:val="15"/>
                <w:color w:val="0000EE"/>
              </w:rPr>
            </w:pPr>
            <w:hyperlink r:id="rId399">
              <w:r>
                <w:rPr>
                  <w:rFonts w:ascii="Times New Roman" w:cs="Times New Roman" w:eastAsia="Times New Roman" w:hAnsi="Times New Roman"/>
                  <w:sz w:val="15"/>
                  <w:szCs w:val="15"/>
                  <w:color w:val="0000EE"/>
                </w:rPr>
                <w:t>Form of Subscription Agreement</w:t>
              </w:r>
            </w:hyperlink>
          </w:p>
        </w:tc>
        <w:tc>
          <w:tcPr>
            <w:tcW w:w="560" w:type="dxa"/>
            <w:vAlign w:val="bottom"/>
          </w:tcPr>
          <w:p>
            <w:pPr>
              <w:ind w:left="140"/>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tcPr>
          <w:p>
            <w:pPr>
              <w:jc w:val="right"/>
              <w:ind w:right="124"/>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40" w:type="dxa"/>
            <w:vAlign w:val="bottom"/>
          </w:tcPr>
          <w:p>
            <w:pPr>
              <w:jc w:val="right"/>
              <w:ind w:right="84"/>
              <w:spacing w:after="0" w:line="148" w:lineRule="exact"/>
              <w:rPr>
                <w:sz w:val="20"/>
                <w:szCs w:val="20"/>
                <w:color w:val="auto"/>
              </w:rPr>
            </w:pPr>
            <w:r>
              <w:rPr>
                <w:rFonts w:ascii="Times New Roman" w:cs="Times New Roman" w:eastAsia="Times New Roman" w:hAnsi="Times New Roman"/>
                <w:sz w:val="15"/>
                <w:szCs w:val="15"/>
                <w:color w:val="auto"/>
              </w:rPr>
              <w:t>2023-07-14</w:t>
            </w:r>
          </w:p>
        </w:tc>
      </w:tr>
      <w:tr>
        <w:trPr>
          <w:trHeight w:val="20"/>
        </w:trPr>
        <w:tc>
          <w:tcPr>
            <w:tcW w:w="10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10.12</w:t>
            </w:r>
          </w:p>
        </w:tc>
        <w:tc>
          <w:tcPr>
            <w:tcW w:w="6640" w:type="dxa"/>
            <w:vAlign w:val="bottom"/>
            <w:tcBorders>
              <w:bottom w:val="single" w:sz="8" w:color="0000EE"/>
              <w:right w:val="single" w:sz="8" w:color="CCEEFF"/>
            </w:tcBorders>
            <w:gridSpan w:val="14"/>
            <w:shd w:val="clear" w:color="auto" w:fill="CCEEFF"/>
          </w:tcPr>
          <w:p>
            <w:pPr>
              <w:spacing w:after="0" w:line="162" w:lineRule="exact"/>
              <w:rPr>
                <w:rFonts w:ascii="Times New Roman" w:cs="Times New Roman" w:eastAsia="Times New Roman" w:hAnsi="Times New Roman"/>
                <w:sz w:val="15"/>
                <w:szCs w:val="15"/>
                <w:color w:val="0000EE"/>
              </w:rPr>
            </w:pPr>
            <w:hyperlink r:id="rId400">
              <w:r>
                <w:rPr>
                  <w:rFonts w:ascii="Times New Roman" w:cs="Times New Roman" w:eastAsia="Times New Roman" w:hAnsi="Times New Roman"/>
                  <w:sz w:val="15"/>
                  <w:szCs w:val="15"/>
                  <w:color w:val="0000EE"/>
                </w:rPr>
                <w:t>Promissory Note dated July 10, 2023, issued by Freedom Acquisition I Corp. to Freedom Acquisition I LLC</w:t>
              </w:r>
            </w:hyperlink>
          </w:p>
        </w:tc>
        <w:tc>
          <w:tcPr>
            <w:tcW w:w="16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tcBorders>
              <w:bottom w:val="single" w:sz="8" w:color="CCEEFF"/>
            </w:tcBorders>
            <w:shd w:val="clear" w:color="auto" w:fill="CCEEFF"/>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40" w:type="dxa"/>
            <w:vAlign w:val="bottom"/>
            <w:tcBorders>
              <w:bottom w:val="single" w:sz="8" w:color="CCEEFF"/>
            </w:tcBorders>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2023-07-11</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10.13</w:t>
            </w:r>
          </w:p>
        </w:tc>
        <w:tc>
          <w:tcPr>
            <w:tcW w:w="4000" w:type="dxa"/>
            <w:vAlign w:val="bottom"/>
            <w:tcBorders>
              <w:bottom w:val="single" w:sz="8" w:color="0000EE"/>
            </w:tcBorders>
            <w:gridSpan w:val="8"/>
          </w:tcPr>
          <w:p>
            <w:pPr>
              <w:spacing w:after="0" w:line="148" w:lineRule="exact"/>
              <w:rPr>
                <w:rFonts w:ascii="Times New Roman" w:cs="Times New Roman" w:eastAsia="Times New Roman" w:hAnsi="Times New Roman"/>
                <w:sz w:val="15"/>
                <w:szCs w:val="15"/>
                <w:color w:val="0000EE"/>
              </w:rPr>
            </w:pPr>
            <w:hyperlink r:id="rId401">
              <w:r>
                <w:rPr>
                  <w:rFonts w:ascii="Times New Roman" w:cs="Times New Roman" w:eastAsia="Times New Roman" w:hAnsi="Times New Roman"/>
                  <w:sz w:val="15"/>
                  <w:szCs w:val="15"/>
                  <w:color w:val="0000EE"/>
                </w:rPr>
                <w:t>Consent to Business Combination Agreement, dated July 9, 2023.</w:t>
              </w:r>
            </w:hyperlink>
          </w:p>
        </w:tc>
        <w:tc>
          <w:tcPr>
            <w:tcW w:w="2800" w:type="dxa"/>
            <w:vAlign w:val="bottom"/>
            <w:gridSpan w:val="8"/>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tcPr>
          <w:p>
            <w:pPr>
              <w:jc w:val="right"/>
              <w:ind w:right="124"/>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40" w:type="dxa"/>
            <w:vAlign w:val="bottom"/>
          </w:tcPr>
          <w:p>
            <w:pPr>
              <w:jc w:val="right"/>
              <w:ind w:right="84"/>
              <w:spacing w:after="0" w:line="148" w:lineRule="exact"/>
              <w:rPr>
                <w:sz w:val="20"/>
                <w:szCs w:val="20"/>
                <w:color w:val="auto"/>
              </w:rPr>
            </w:pPr>
            <w:r>
              <w:rPr>
                <w:rFonts w:ascii="Times New Roman" w:cs="Times New Roman" w:eastAsia="Times New Roman" w:hAnsi="Times New Roman"/>
                <w:sz w:val="15"/>
                <w:szCs w:val="15"/>
                <w:color w:val="auto"/>
              </w:rPr>
              <w:t>2023-07-10</w:t>
            </w: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10.14#</w:t>
            </w:r>
          </w:p>
        </w:tc>
        <w:tc>
          <w:tcPr>
            <w:tcW w:w="2440" w:type="dxa"/>
            <w:vAlign w:val="bottom"/>
            <w:tcBorders>
              <w:bottom w:val="single" w:sz="8" w:color="0000EE"/>
            </w:tcBorders>
            <w:gridSpan w:val="3"/>
            <w:shd w:val="clear" w:color="auto" w:fill="CCEEFF"/>
          </w:tcPr>
          <w:p>
            <w:pPr>
              <w:spacing w:after="0" w:line="162" w:lineRule="exact"/>
              <w:rPr>
                <w:rFonts w:ascii="Times New Roman" w:cs="Times New Roman" w:eastAsia="Times New Roman" w:hAnsi="Times New Roman"/>
                <w:sz w:val="15"/>
                <w:szCs w:val="15"/>
                <w:color w:val="0000EE"/>
              </w:rPr>
            </w:pPr>
            <w:hyperlink r:id="rId402">
              <w:r>
                <w:rPr>
                  <w:rFonts w:ascii="Times New Roman" w:cs="Times New Roman" w:eastAsia="Times New Roman" w:hAnsi="Times New Roman"/>
                  <w:sz w:val="15"/>
                  <w:szCs w:val="15"/>
                  <w:color w:val="0000EE"/>
                </w:rPr>
                <w:t>2023 Incentive Equity Plan, as amended</w:t>
              </w:r>
            </w:hyperlink>
          </w:p>
        </w:tc>
        <w:tc>
          <w:tcPr>
            <w:tcW w:w="4360" w:type="dxa"/>
            <w:vAlign w:val="bottom"/>
            <w:tcBorders>
              <w:bottom w:val="single" w:sz="8" w:color="CCEEFF"/>
            </w:tcBorders>
            <w:gridSpan w:val="13"/>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S-1</w:t>
            </w:r>
          </w:p>
        </w:tc>
        <w:tc>
          <w:tcPr>
            <w:tcW w:w="1120" w:type="dxa"/>
            <w:vAlign w:val="bottom"/>
            <w:tcBorders>
              <w:bottom w:val="single" w:sz="8" w:color="CCEEFF"/>
            </w:tcBorders>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333-292713</w:t>
            </w:r>
          </w:p>
        </w:tc>
        <w:tc>
          <w:tcPr>
            <w:tcW w:w="7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10.14</w:t>
            </w:r>
          </w:p>
        </w:tc>
        <w:tc>
          <w:tcPr>
            <w:tcW w:w="1040" w:type="dxa"/>
            <w:vAlign w:val="bottom"/>
            <w:tcBorders>
              <w:bottom w:val="single" w:sz="8" w:color="CCEEFF"/>
            </w:tcBorders>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2026-01-14</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10.15#</w:t>
            </w:r>
          </w:p>
        </w:tc>
        <w:tc>
          <w:tcPr>
            <w:tcW w:w="6060" w:type="dxa"/>
            <w:vAlign w:val="bottom"/>
            <w:tcBorders>
              <w:bottom w:val="single" w:sz="8" w:color="0000EE"/>
            </w:tcBorders>
            <w:gridSpan w:val="13"/>
          </w:tcPr>
          <w:p>
            <w:pPr>
              <w:spacing w:after="0" w:line="148" w:lineRule="exact"/>
              <w:rPr>
                <w:rFonts w:ascii="Times New Roman" w:cs="Times New Roman" w:eastAsia="Times New Roman" w:hAnsi="Times New Roman"/>
                <w:sz w:val="15"/>
                <w:szCs w:val="15"/>
                <w:color w:val="0000EE"/>
              </w:rPr>
            </w:pPr>
            <w:hyperlink r:id="rId403">
              <w:r>
                <w:rPr>
                  <w:rFonts w:ascii="Times New Roman" w:cs="Times New Roman" w:eastAsia="Times New Roman" w:hAnsi="Times New Roman"/>
                  <w:sz w:val="15"/>
                  <w:szCs w:val="15"/>
                  <w:color w:val="0000EE"/>
                </w:rPr>
                <w:t>Forms of Option Grant Notice and Option agreement and Global RSU Grant Notice and Agreement</w:t>
              </w:r>
            </w:hyperlink>
          </w:p>
        </w:tc>
        <w:tc>
          <w:tcPr>
            <w:tcW w:w="740" w:type="dxa"/>
            <w:vAlign w:val="bottom"/>
            <w:gridSpan w:val="3"/>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tcPr>
          <w:p>
            <w:pPr>
              <w:jc w:val="right"/>
              <w:ind w:right="124"/>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10.6</w:t>
            </w:r>
          </w:p>
        </w:tc>
        <w:tc>
          <w:tcPr>
            <w:tcW w:w="1040" w:type="dxa"/>
            <w:vAlign w:val="bottom"/>
          </w:tcPr>
          <w:p>
            <w:pPr>
              <w:jc w:val="right"/>
              <w:ind w:right="84"/>
              <w:spacing w:after="0" w:line="148" w:lineRule="exact"/>
              <w:rPr>
                <w:sz w:val="20"/>
                <w:szCs w:val="20"/>
                <w:color w:val="auto"/>
              </w:rPr>
            </w:pPr>
            <w:r>
              <w:rPr>
                <w:rFonts w:ascii="Times New Roman" w:cs="Times New Roman" w:eastAsia="Times New Roman" w:hAnsi="Times New Roman"/>
                <w:sz w:val="15"/>
                <w:szCs w:val="15"/>
                <w:color w:val="auto"/>
              </w:rPr>
              <w:t>2023-07-24</w:t>
            </w: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10.16#</w:t>
            </w:r>
          </w:p>
        </w:tc>
        <w:tc>
          <w:tcPr>
            <w:tcW w:w="6800" w:type="dxa"/>
            <w:vAlign w:val="bottom"/>
            <w:gridSpan w:val="16"/>
            <w:shd w:val="clear" w:color="auto" w:fill="CCEEFF"/>
          </w:tcPr>
          <w:p>
            <w:pPr>
              <w:spacing w:after="0" w:line="162" w:lineRule="exact"/>
              <w:rPr>
                <w:rFonts w:ascii="Times New Roman" w:cs="Times New Roman" w:eastAsia="Times New Roman" w:hAnsi="Times New Roman"/>
                <w:sz w:val="15"/>
                <w:szCs w:val="15"/>
                <w:color w:val="0000EE"/>
              </w:rPr>
            </w:pPr>
            <w:hyperlink r:id="rId404">
              <w:r>
                <w:rPr>
                  <w:rFonts w:ascii="Times New Roman" w:cs="Times New Roman" w:eastAsia="Times New Roman" w:hAnsi="Times New Roman"/>
                  <w:sz w:val="15"/>
                  <w:szCs w:val="15"/>
                  <w:color w:val="0000EE"/>
                </w:rPr>
                <w:t>2023 Employee Stock Purchase Plan</w:t>
              </w:r>
            </w:hyperlink>
          </w:p>
        </w:tc>
        <w:tc>
          <w:tcPr>
            <w:tcW w:w="5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120" w:type="dxa"/>
            <w:vAlign w:val="bottom"/>
            <w:shd w:val="clear" w:color="auto" w:fill="CCEEFF"/>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10.7</w:t>
            </w:r>
          </w:p>
        </w:tc>
        <w:tc>
          <w:tcPr>
            <w:tcW w:w="1040" w:type="dxa"/>
            <w:vAlign w:val="bottom"/>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2023-07-24</w:t>
            </w:r>
          </w:p>
        </w:tc>
      </w:tr>
      <w:tr>
        <w:trPr>
          <w:trHeight w:val="34"/>
        </w:trPr>
        <w:tc>
          <w:tcPr>
            <w:tcW w:w="1020" w:type="dxa"/>
            <w:vAlign w:val="bottom"/>
            <w:shd w:val="clear" w:color="auto" w:fill="CCEEFF"/>
          </w:tcPr>
          <w:p>
            <w:pPr>
              <w:spacing w:after="0"/>
              <w:rPr>
                <w:sz w:val="2"/>
                <w:szCs w:val="2"/>
                <w:color w:val="auto"/>
              </w:rPr>
            </w:pPr>
          </w:p>
        </w:tc>
        <w:tc>
          <w:tcPr>
            <w:tcW w:w="20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172"/>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10.17#</w:t>
            </w:r>
          </w:p>
        </w:tc>
        <w:tc>
          <w:tcPr>
            <w:tcW w:w="6700" w:type="dxa"/>
            <w:vAlign w:val="bottom"/>
            <w:gridSpan w:val="27"/>
            <w:shd w:val="clear" w:color="auto" w:fill="CCEEFF"/>
          </w:tcPr>
          <w:p>
            <w:pPr>
              <w:spacing w:after="0"/>
              <w:rPr>
                <w:rFonts w:ascii="Times New Roman" w:cs="Times New Roman" w:eastAsia="Times New Roman" w:hAnsi="Times New Roman"/>
                <w:sz w:val="15"/>
                <w:szCs w:val="15"/>
                <w:color w:val="0000EE"/>
              </w:rPr>
            </w:pPr>
            <w:hyperlink r:id="rId406">
              <w:r>
                <w:rPr>
                  <w:rFonts w:ascii="Times New Roman" w:cs="Times New Roman" w:eastAsia="Times New Roman" w:hAnsi="Times New Roman"/>
                  <w:sz w:val="15"/>
                  <w:szCs w:val="15"/>
                  <w:color w:val="0000EE"/>
                </w:rPr>
                <w:t>Form of Employment Agreement between Complete Solaria, Inc. and Executive Officers</w:t>
              </w:r>
            </w:hyperlink>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S-4</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333-269674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10.22</w:t>
            </w: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May 11, 2023</w:t>
            </w:r>
          </w:p>
        </w:tc>
      </w:tr>
      <w:tr>
        <w:trPr>
          <w:trHeight w:val="34"/>
        </w:trPr>
        <w:tc>
          <w:tcPr>
            <w:tcW w:w="10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20" w:type="dxa"/>
            <w:vAlign w:val="bottom"/>
            <w:tcBorders>
              <w:right w:val="single" w:sz="8" w:color="CCEEFF"/>
            </w:tcBorders>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10.18</w:t>
            </w:r>
          </w:p>
        </w:tc>
        <w:tc>
          <w:tcPr>
            <w:tcW w:w="6260" w:type="dxa"/>
            <w:vAlign w:val="bottom"/>
            <w:tcBorders>
              <w:bottom w:val="single" w:sz="8" w:color="0000EE"/>
            </w:tcBorders>
            <w:gridSpan w:val="20"/>
          </w:tcPr>
          <w:p>
            <w:pPr>
              <w:spacing w:after="0" w:line="148" w:lineRule="exact"/>
              <w:rPr>
                <w:rFonts w:ascii="Times New Roman" w:cs="Times New Roman" w:eastAsia="Times New Roman" w:hAnsi="Times New Roman"/>
                <w:sz w:val="15"/>
                <w:szCs w:val="15"/>
                <w:color w:val="0000EE"/>
              </w:rPr>
            </w:pPr>
            <w:hyperlink r:id="rId407">
              <w:r>
                <w:rPr>
                  <w:rFonts w:ascii="Times New Roman" w:cs="Times New Roman" w:eastAsia="Times New Roman" w:hAnsi="Times New Roman"/>
                  <w:sz w:val="15"/>
                  <w:szCs w:val="15"/>
                  <w:color w:val="0000EE"/>
                </w:rPr>
                <w:t>Exchange Agreement dated July 1 2024 among Complete Solaria, Inc. and the Purchasers party thereto</w:t>
              </w:r>
            </w:hyperlink>
          </w:p>
        </w:tc>
        <w:tc>
          <w:tcPr>
            <w:tcW w:w="440" w:type="dxa"/>
            <w:vAlign w:val="bottom"/>
            <w:gridSpan w:val="7"/>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2024-07-8</w:t>
            </w: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10.19</w:t>
            </w:r>
          </w:p>
        </w:tc>
        <w:tc>
          <w:tcPr>
            <w:tcW w:w="6700" w:type="dxa"/>
            <w:vAlign w:val="bottom"/>
            <w:gridSpan w:val="27"/>
            <w:shd w:val="clear" w:color="auto" w:fill="CCEEFF"/>
          </w:tcPr>
          <w:p>
            <w:pPr>
              <w:spacing w:after="0" w:line="162" w:lineRule="exact"/>
              <w:rPr>
                <w:rFonts w:ascii="Times New Roman" w:cs="Times New Roman" w:eastAsia="Times New Roman" w:hAnsi="Times New Roman"/>
                <w:sz w:val="15"/>
                <w:szCs w:val="15"/>
                <w:color w:val="0000EE"/>
              </w:rPr>
            </w:pPr>
            <w:hyperlink r:id="rId408">
              <w:r>
                <w:rPr>
                  <w:rFonts w:ascii="Times New Roman" w:cs="Times New Roman" w:eastAsia="Times New Roman" w:hAnsi="Times New Roman"/>
                  <w:sz w:val="15"/>
                  <w:szCs w:val="15"/>
                  <w:color w:val="0000EE"/>
                </w:rPr>
                <w:t>Form of Convertible Note dated July 1, 2024</w:t>
              </w:r>
            </w:hyperlink>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10.2</w:t>
            </w:r>
          </w:p>
        </w:tc>
        <w:tc>
          <w:tcPr>
            <w:tcW w:w="10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2024-07-8</w:t>
            </w:r>
          </w:p>
        </w:tc>
      </w:tr>
      <w:tr>
        <w:trPr>
          <w:trHeight w:val="34"/>
        </w:trPr>
        <w:tc>
          <w:tcPr>
            <w:tcW w:w="10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10.20</w:t>
            </w:r>
          </w:p>
        </w:tc>
        <w:tc>
          <w:tcPr>
            <w:tcW w:w="6700" w:type="dxa"/>
            <w:vAlign w:val="bottom"/>
            <w:gridSpan w:val="27"/>
          </w:tcPr>
          <w:p>
            <w:pPr>
              <w:spacing w:after="0" w:line="148" w:lineRule="exact"/>
              <w:rPr>
                <w:rFonts w:ascii="Times New Roman" w:cs="Times New Roman" w:eastAsia="Times New Roman" w:hAnsi="Times New Roman"/>
                <w:sz w:val="15"/>
                <w:szCs w:val="15"/>
                <w:color w:val="0000EE"/>
              </w:rPr>
            </w:pPr>
            <w:hyperlink r:id="rId409">
              <w:r>
                <w:rPr>
                  <w:rFonts w:ascii="Times New Roman" w:cs="Times New Roman" w:eastAsia="Times New Roman" w:hAnsi="Times New Roman"/>
                  <w:sz w:val="15"/>
                  <w:szCs w:val="15"/>
                  <w:color w:val="0000EE"/>
                </w:rPr>
                <w:t>Form of Convertible Note Purchase Agreement dated July 1, 2024</w:t>
              </w:r>
            </w:hyperlink>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10.3</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2024-07-8</w:t>
            </w: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10.21</w:t>
            </w:r>
          </w:p>
        </w:tc>
        <w:tc>
          <w:tcPr>
            <w:tcW w:w="2120" w:type="dxa"/>
            <w:vAlign w:val="bottom"/>
            <w:tcBorders>
              <w:top w:val="single" w:sz="8" w:color="0000EE"/>
              <w:bottom w:val="single" w:sz="8" w:color="0000EE"/>
            </w:tcBorders>
            <w:gridSpan w:val="5"/>
            <w:shd w:val="clear" w:color="auto" w:fill="CCEEFF"/>
          </w:tcPr>
          <w:p>
            <w:pPr>
              <w:spacing w:after="0" w:line="162" w:lineRule="exact"/>
              <w:rPr>
                <w:rFonts w:ascii="Times New Roman" w:cs="Times New Roman" w:eastAsia="Times New Roman" w:hAnsi="Times New Roman"/>
                <w:sz w:val="15"/>
                <w:szCs w:val="15"/>
                <w:color w:val="0000EE"/>
                <w:w w:val="99"/>
              </w:rPr>
            </w:pPr>
            <w:hyperlink r:id="rId410">
              <w:r>
                <w:rPr>
                  <w:rFonts w:ascii="Times New Roman" w:cs="Times New Roman" w:eastAsia="Times New Roman" w:hAnsi="Times New Roman"/>
                  <w:sz w:val="15"/>
                  <w:szCs w:val="15"/>
                  <w:color w:val="0000EE"/>
                  <w:w w:val="99"/>
                </w:rPr>
                <w:t>Form of Note Purchase Agreement</w:t>
              </w:r>
            </w:hyperlink>
          </w:p>
        </w:tc>
        <w:tc>
          <w:tcPr>
            <w:tcW w:w="1900" w:type="dxa"/>
            <w:vAlign w:val="bottom"/>
            <w:tcBorders>
              <w:top w:val="single" w:sz="8" w:color="0000EE"/>
              <w:bottom w:val="single" w:sz="8" w:color="CCEEFF"/>
            </w:tcBorders>
            <w:gridSpan w:val="7"/>
            <w:shd w:val="clear" w:color="auto" w:fill="CCEEFF"/>
          </w:tcPr>
          <w:p>
            <w:pPr>
              <w:spacing w:after="0"/>
              <w:rPr>
                <w:sz w:val="15"/>
                <w:szCs w:val="15"/>
                <w:color w:val="auto"/>
              </w:rPr>
            </w:pPr>
          </w:p>
        </w:tc>
        <w:tc>
          <w:tcPr>
            <w:tcW w:w="2680" w:type="dxa"/>
            <w:vAlign w:val="bottom"/>
            <w:tcBorders>
              <w:bottom w:val="single" w:sz="8" w:color="CCEEFF"/>
            </w:tcBorders>
            <w:gridSpan w:val="15"/>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2024-09-26</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10.22</w:t>
            </w:r>
          </w:p>
        </w:tc>
        <w:tc>
          <w:tcPr>
            <w:tcW w:w="4020" w:type="dxa"/>
            <w:vAlign w:val="bottom"/>
            <w:tcBorders>
              <w:bottom w:val="single" w:sz="8" w:color="0000EE"/>
            </w:tcBorders>
            <w:gridSpan w:val="12"/>
          </w:tcPr>
          <w:p>
            <w:pPr>
              <w:spacing w:after="0" w:line="148" w:lineRule="exact"/>
              <w:rPr>
                <w:rFonts w:ascii="Times New Roman" w:cs="Times New Roman" w:eastAsia="Times New Roman" w:hAnsi="Times New Roman"/>
                <w:sz w:val="15"/>
                <w:szCs w:val="15"/>
                <w:color w:val="0000EE"/>
              </w:rPr>
            </w:pPr>
            <w:hyperlink r:id="rId411">
              <w:r>
                <w:rPr>
                  <w:rFonts w:ascii="Times New Roman" w:cs="Times New Roman" w:eastAsia="Times New Roman" w:hAnsi="Times New Roman"/>
                  <w:sz w:val="15"/>
                  <w:szCs w:val="15"/>
                  <w:color w:val="0000EE"/>
                </w:rPr>
                <w:t>Form of Polar Third Amendment to Forward Purchase Agreement</w:t>
              </w:r>
            </w:hyperlink>
          </w:p>
        </w:tc>
        <w:tc>
          <w:tcPr>
            <w:tcW w:w="2680" w:type="dxa"/>
            <w:vAlign w:val="bottom"/>
            <w:gridSpan w:val="15"/>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8-K/A</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2024-07-23</w:t>
            </w: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10.23</w:t>
            </w:r>
          </w:p>
        </w:tc>
        <w:tc>
          <w:tcPr>
            <w:tcW w:w="6300" w:type="dxa"/>
            <w:vAlign w:val="bottom"/>
            <w:tcBorders>
              <w:bottom w:val="single" w:sz="8" w:color="0000EE"/>
            </w:tcBorders>
            <w:gridSpan w:val="21"/>
            <w:shd w:val="clear" w:color="auto" w:fill="CCEEFF"/>
          </w:tcPr>
          <w:p>
            <w:pPr>
              <w:spacing w:after="0" w:line="162" w:lineRule="exact"/>
              <w:rPr>
                <w:rFonts w:ascii="Times New Roman" w:cs="Times New Roman" w:eastAsia="Times New Roman" w:hAnsi="Times New Roman"/>
                <w:sz w:val="15"/>
                <w:szCs w:val="15"/>
                <w:color w:val="0000EE"/>
              </w:rPr>
            </w:pPr>
            <w:hyperlink r:id="rId412">
              <w:r>
                <w:rPr>
                  <w:rFonts w:ascii="Times New Roman" w:cs="Times New Roman" w:eastAsia="Times New Roman" w:hAnsi="Times New Roman"/>
                  <w:sz w:val="15"/>
                  <w:szCs w:val="15"/>
                  <w:color w:val="0000EE"/>
                </w:rPr>
                <w:t>Common Stock Purchase Agreement dated July 16, 2024 by and between the Company and White Lion</w:t>
              </w:r>
            </w:hyperlink>
          </w:p>
        </w:tc>
        <w:tc>
          <w:tcPr>
            <w:tcW w:w="400" w:type="dxa"/>
            <w:vAlign w:val="bottom"/>
            <w:tcBorders>
              <w:bottom w:val="single" w:sz="8" w:color="CCEEFF"/>
            </w:tcBorders>
            <w:gridSpan w:val="6"/>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2024-07-17</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10.24</w:t>
            </w:r>
          </w:p>
        </w:tc>
        <w:tc>
          <w:tcPr>
            <w:tcW w:w="6640" w:type="dxa"/>
            <w:vAlign w:val="bottom"/>
            <w:tcBorders>
              <w:bottom w:val="single" w:sz="8" w:color="0000EE"/>
            </w:tcBorders>
            <w:gridSpan w:val="26"/>
          </w:tcPr>
          <w:p>
            <w:pPr>
              <w:spacing w:after="0" w:line="148" w:lineRule="exact"/>
              <w:rPr>
                <w:rFonts w:ascii="Times New Roman" w:cs="Times New Roman" w:eastAsia="Times New Roman" w:hAnsi="Times New Roman"/>
                <w:sz w:val="15"/>
                <w:szCs w:val="15"/>
                <w:color w:val="0000EE"/>
              </w:rPr>
            </w:pPr>
            <w:hyperlink r:id="rId413">
              <w:r>
                <w:rPr>
                  <w:rFonts w:ascii="Times New Roman" w:cs="Times New Roman" w:eastAsia="Times New Roman" w:hAnsi="Times New Roman"/>
                  <w:sz w:val="15"/>
                  <w:szCs w:val="15"/>
                  <w:color w:val="0000EE"/>
                </w:rPr>
                <w:t>Amendment No. 1 to Common Stock Purchase Agreement effective July 24, 2024 between the Company and</w:t>
              </w:r>
            </w:hyperlink>
          </w:p>
        </w:tc>
        <w:tc>
          <w:tcPr>
            <w:tcW w:w="6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2024-07-26</w:t>
            </w:r>
          </w:p>
        </w:tc>
      </w:tr>
      <w:tr>
        <w:trPr>
          <w:trHeight w:val="162"/>
        </w:trPr>
        <w:tc>
          <w:tcPr>
            <w:tcW w:w="1020" w:type="dxa"/>
            <w:vAlign w:val="bottom"/>
          </w:tcPr>
          <w:p>
            <w:pPr>
              <w:spacing w:after="0"/>
              <w:rPr>
                <w:sz w:val="14"/>
                <w:szCs w:val="14"/>
                <w:color w:val="auto"/>
              </w:rPr>
            </w:pPr>
          </w:p>
        </w:tc>
        <w:tc>
          <w:tcPr>
            <w:tcW w:w="700" w:type="dxa"/>
            <w:vAlign w:val="bottom"/>
            <w:tcBorders>
              <w:bottom w:val="single" w:sz="8" w:color="0000EE"/>
            </w:tcBorders>
            <w:gridSpan w:val="2"/>
          </w:tcPr>
          <w:p>
            <w:pPr>
              <w:spacing w:after="0" w:line="162" w:lineRule="exact"/>
              <w:rPr>
                <w:rFonts w:ascii="Times New Roman" w:cs="Times New Roman" w:eastAsia="Times New Roman" w:hAnsi="Times New Roman"/>
                <w:sz w:val="15"/>
                <w:szCs w:val="15"/>
                <w:color w:val="0000EE"/>
                <w:w w:val="98"/>
              </w:rPr>
            </w:pPr>
            <w:hyperlink r:id="rId413">
              <w:r>
                <w:rPr>
                  <w:rFonts w:ascii="Times New Roman" w:cs="Times New Roman" w:eastAsia="Times New Roman" w:hAnsi="Times New Roman"/>
                  <w:sz w:val="15"/>
                  <w:szCs w:val="15"/>
                  <w:color w:val="0000EE"/>
                  <w:w w:val="98"/>
                </w:rPr>
                <w:t>White Lion</w:t>
              </w:r>
            </w:hyperlink>
          </w:p>
        </w:tc>
        <w:tc>
          <w:tcPr>
            <w:tcW w:w="6000" w:type="dxa"/>
            <w:vAlign w:val="bottom"/>
            <w:gridSpan w:val="25"/>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10.25</w:t>
            </w:r>
          </w:p>
        </w:tc>
        <w:tc>
          <w:tcPr>
            <w:tcW w:w="6700" w:type="dxa"/>
            <w:vAlign w:val="bottom"/>
            <w:gridSpan w:val="27"/>
            <w:shd w:val="clear" w:color="auto" w:fill="CCEEFF"/>
          </w:tcPr>
          <w:p>
            <w:pPr>
              <w:spacing w:after="0" w:line="162" w:lineRule="exact"/>
              <w:rPr>
                <w:rFonts w:ascii="Times New Roman" w:cs="Times New Roman" w:eastAsia="Times New Roman" w:hAnsi="Times New Roman"/>
                <w:sz w:val="15"/>
                <w:szCs w:val="15"/>
                <w:color w:val="0000EE"/>
              </w:rPr>
            </w:pPr>
            <w:hyperlink r:id="rId414">
              <w:r>
                <w:rPr>
                  <w:rFonts w:ascii="Times New Roman" w:cs="Times New Roman" w:eastAsia="Times New Roman" w:hAnsi="Times New Roman"/>
                  <w:sz w:val="15"/>
                  <w:szCs w:val="15"/>
                  <w:color w:val="0000EE"/>
                </w:rPr>
                <w:t>Amendment No. 2 to Common Stock Purchase Agreement effective August 14, 2024 between the Company</w:t>
              </w:r>
            </w:hyperlink>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2024-08-20</w:t>
            </w:r>
          </w:p>
        </w:tc>
      </w:tr>
      <w:tr>
        <w:trPr>
          <w:trHeight w:val="162"/>
        </w:trPr>
        <w:tc>
          <w:tcPr>
            <w:tcW w:w="1020" w:type="dxa"/>
            <w:vAlign w:val="bottom"/>
            <w:tcBorders>
              <w:top w:val="single" w:sz="8" w:color="CCEEFF"/>
            </w:tcBorders>
            <w:shd w:val="clear" w:color="auto" w:fill="CCEEFF"/>
          </w:tcPr>
          <w:p>
            <w:pPr>
              <w:spacing w:after="0"/>
              <w:rPr>
                <w:sz w:val="14"/>
                <w:szCs w:val="14"/>
                <w:color w:val="auto"/>
              </w:rPr>
            </w:pPr>
          </w:p>
        </w:tc>
        <w:tc>
          <w:tcPr>
            <w:tcW w:w="6560" w:type="dxa"/>
            <w:vAlign w:val="bottom"/>
            <w:tcBorders>
              <w:top w:val="single" w:sz="8" w:color="0000EE"/>
            </w:tcBorders>
            <w:gridSpan w:val="23"/>
            <w:shd w:val="clear" w:color="auto" w:fill="CCEEFF"/>
          </w:tcPr>
          <w:p>
            <w:pPr>
              <w:spacing w:after="0" w:line="162" w:lineRule="exact"/>
              <w:rPr>
                <w:rFonts w:ascii="Times New Roman" w:cs="Times New Roman" w:eastAsia="Times New Roman" w:hAnsi="Times New Roman"/>
                <w:sz w:val="15"/>
                <w:szCs w:val="15"/>
                <w:color w:val="0000EE"/>
              </w:rPr>
            </w:pPr>
            <w:hyperlink r:id="rId414">
              <w:r>
                <w:rPr>
                  <w:rFonts w:ascii="Times New Roman" w:cs="Times New Roman" w:eastAsia="Times New Roman" w:hAnsi="Times New Roman"/>
                  <w:sz w:val="15"/>
                  <w:szCs w:val="15"/>
                  <w:color w:val="0000EE"/>
                </w:rPr>
                <w:t>and White Lion</w:t>
              </w:r>
            </w:hyperlink>
          </w:p>
        </w:tc>
        <w:tc>
          <w:tcPr>
            <w:tcW w:w="140" w:type="dxa"/>
            <w:vAlign w:val="bottom"/>
            <w:tcBorders>
              <w:top w:val="single" w:sz="8" w:color="CCEEFF"/>
            </w:tcBorders>
            <w:gridSpan w:val="4"/>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34"/>
        </w:trPr>
        <w:tc>
          <w:tcPr>
            <w:tcW w:w="10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4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10.26</w:t>
            </w:r>
          </w:p>
        </w:tc>
        <w:tc>
          <w:tcPr>
            <w:tcW w:w="5940" w:type="dxa"/>
            <w:vAlign w:val="bottom"/>
            <w:tcBorders>
              <w:bottom w:val="single" w:sz="8" w:color="0000EE"/>
            </w:tcBorders>
            <w:gridSpan w:val="18"/>
          </w:tcPr>
          <w:p>
            <w:pPr>
              <w:spacing w:after="0" w:line="148" w:lineRule="exact"/>
              <w:rPr>
                <w:rFonts w:ascii="Times New Roman" w:cs="Times New Roman" w:eastAsia="Times New Roman" w:hAnsi="Times New Roman"/>
                <w:sz w:val="15"/>
                <w:szCs w:val="15"/>
                <w:color w:val="0000EE"/>
              </w:rPr>
            </w:pPr>
            <w:hyperlink r:id="rId415">
              <w:r>
                <w:rPr>
                  <w:rFonts w:ascii="Times New Roman" w:cs="Times New Roman" w:eastAsia="Times New Roman" w:hAnsi="Times New Roman"/>
                  <w:sz w:val="15"/>
                  <w:szCs w:val="15"/>
                  <w:color w:val="0000EE"/>
                </w:rPr>
                <w:t>Registration Rights Agreement dated July 16, 2024 by and between the Company and White Lion</w:t>
              </w:r>
            </w:hyperlink>
          </w:p>
        </w:tc>
        <w:tc>
          <w:tcPr>
            <w:tcW w:w="760" w:type="dxa"/>
            <w:vAlign w:val="bottom"/>
            <w:gridSpan w:val="9"/>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10.2</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2024-07-17</w:t>
            </w: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10.27</w:t>
            </w:r>
          </w:p>
        </w:tc>
        <w:tc>
          <w:tcPr>
            <w:tcW w:w="6700" w:type="dxa"/>
            <w:vAlign w:val="bottom"/>
            <w:gridSpan w:val="27"/>
            <w:shd w:val="clear" w:color="auto" w:fill="CCEEFF"/>
          </w:tcPr>
          <w:p>
            <w:pPr>
              <w:spacing w:after="0" w:line="162" w:lineRule="exact"/>
              <w:rPr>
                <w:rFonts w:ascii="Times New Roman" w:cs="Times New Roman" w:eastAsia="Times New Roman" w:hAnsi="Times New Roman"/>
                <w:sz w:val="15"/>
                <w:szCs w:val="15"/>
                <w:color w:val="0000EE"/>
              </w:rPr>
            </w:pPr>
            <w:hyperlink r:id="rId416">
              <w:r>
                <w:rPr>
                  <w:rFonts w:ascii="Times New Roman" w:cs="Times New Roman" w:eastAsia="Times New Roman" w:hAnsi="Times New Roman"/>
                  <w:sz w:val="15"/>
                  <w:szCs w:val="15"/>
                  <w:color w:val="0000EE"/>
                </w:rPr>
                <w:t>OTC Equity Prepaid Forward Transaction Third Amendment dated as of July 17, 2024 by and between Polar</w:t>
              </w:r>
            </w:hyperlink>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POS AM</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333-273820</w:t>
            </w:r>
          </w:p>
        </w:tc>
        <w:tc>
          <w:tcPr>
            <w:tcW w:w="6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10.47</w:t>
            </w:r>
          </w:p>
        </w:tc>
        <w:tc>
          <w:tcPr>
            <w:tcW w:w="10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2024-07-18</w:t>
            </w:r>
          </w:p>
        </w:tc>
      </w:tr>
      <w:tr>
        <w:trPr>
          <w:trHeight w:val="162"/>
        </w:trPr>
        <w:tc>
          <w:tcPr>
            <w:tcW w:w="1020" w:type="dxa"/>
            <w:vAlign w:val="bottom"/>
            <w:tcBorders>
              <w:top w:val="single" w:sz="8" w:color="CCEEFF"/>
            </w:tcBorders>
            <w:shd w:val="clear" w:color="auto" w:fill="CCEEFF"/>
          </w:tcPr>
          <w:p>
            <w:pPr>
              <w:spacing w:after="0"/>
              <w:rPr>
                <w:sz w:val="14"/>
                <w:szCs w:val="14"/>
                <w:color w:val="auto"/>
              </w:rPr>
            </w:pPr>
          </w:p>
        </w:tc>
        <w:tc>
          <w:tcPr>
            <w:tcW w:w="6600" w:type="dxa"/>
            <w:vAlign w:val="bottom"/>
            <w:tcBorders>
              <w:top w:val="single" w:sz="8" w:color="0000EE"/>
            </w:tcBorders>
            <w:gridSpan w:val="24"/>
            <w:shd w:val="clear" w:color="auto" w:fill="CCEEFF"/>
          </w:tcPr>
          <w:p>
            <w:pPr>
              <w:spacing w:after="0" w:line="162" w:lineRule="exact"/>
              <w:rPr>
                <w:rFonts w:ascii="Times New Roman" w:cs="Times New Roman" w:eastAsia="Times New Roman" w:hAnsi="Times New Roman"/>
                <w:sz w:val="15"/>
                <w:szCs w:val="15"/>
                <w:color w:val="0000EE"/>
              </w:rPr>
            </w:pPr>
            <w:hyperlink r:id="rId416">
              <w:r>
                <w:rPr>
                  <w:rFonts w:ascii="Times New Roman" w:cs="Times New Roman" w:eastAsia="Times New Roman" w:hAnsi="Times New Roman"/>
                  <w:sz w:val="15"/>
                  <w:szCs w:val="15"/>
                  <w:color w:val="0000EE"/>
                </w:rPr>
                <w:t>Multi-Strategy Master Fund and the Company</w:t>
              </w:r>
            </w:hyperlink>
          </w:p>
        </w:tc>
        <w:tc>
          <w:tcPr>
            <w:tcW w:w="100" w:type="dxa"/>
            <w:vAlign w:val="bottom"/>
            <w:tcBorders>
              <w:top w:val="single" w:sz="8" w:color="CCEEFF"/>
            </w:tcBorders>
            <w:gridSpan w:val="3"/>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r>
      <w:tr>
        <w:trPr>
          <w:trHeight w:val="34"/>
        </w:trPr>
        <w:tc>
          <w:tcPr>
            <w:tcW w:w="10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10.28</w:t>
            </w:r>
          </w:p>
        </w:tc>
        <w:tc>
          <w:tcPr>
            <w:tcW w:w="6700" w:type="dxa"/>
            <w:vAlign w:val="bottom"/>
            <w:gridSpan w:val="27"/>
          </w:tcPr>
          <w:p>
            <w:pPr>
              <w:spacing w:after="0" w:line="148" w:lineRule="exact"/>
              <w:rPr>
                <w:rFonts w:ascii="Times New Roman" w:cs="Times New Roman" w:eastAsia="Times New Roman" w:hAnsi="Times New Roman"/>
                <w:sz w:val="15"/>
                <w:szCs w:val="15"/>
                <w:color w:val="0000EE"/>
              </w:rPr>
            </w:pPr>
            <w:hyperlink r:id="rId417">
              <w:r>
                <w:rPr>
                  <w:rFonts w:ascii="Times New Roman" w:cs="Times New Roman" w:eastAsia="Times New Roman" w:hAnsi="Times New Roman"/>
                  <w:sz w:val="15"/>
                  <w:szCs w:val="15"/>
                  <w:color w:val="0000EE"/>
                </w:rPr>
                <w:t>Asset Purchase Agreement dated as of August 5, 2024 by and among the Company, SunPower Corporation</w:t>
              </w:r>
            </w:hyperlink>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2024-08-06</w:t>
            </w:r>
          </w:p>
        </w:tc>
      </w:tr>
      <w:tr>
        <w:trPr>
          <w:trHeight w:val="162"/>
        </w:trPr>
        <w:tc>
          <w:tcPr>
            <w:tcW w:w="1020" w:type="dxa"/>
            <w:vAlign w:val="bottom"/>
          </w:tcPr>
          <w:p>
            <w:pPr>
              <w:spacing w:after="0"/>
              <w:rPr>
                <w:sz w:val="14"/>
                <w:szCs w:val="14"/>
                <w:color w:val="auto"/>
              </w:rPr>
            </w:pPr>
          </w:p>
        </w:tc>
        <w:tc>
          <w:tcPr>
            <w:tcW w:w="6500" w:type="dxa"/>
            <w:vAlign w:val="bottom"/>
            <w:tcBorders>
              <w:top w:val="single" w:sz="8" w:color="0000EE"/>
            </w:tcBorders>
            <w:gridSpan w:val="22"/>
          </w:tcPr>
          <w:p>
            <w:pPr>
              <w:spacing w:after="0" w:line="162" w:lineRule="exact"/>
              <w:rPr>
                <w:rFonts w:ascii="Times New Roman" w:cs="Times New Roman" w:eastAsia="Times New Roman" w:hAnsi="Times New Roman"/>
                <w:sz w:val="15"/>
                <w:szCs w:val="15"/>
                <w:color w:val="0000EE"/>
              </w:rPr>
            </w:pPr>
            <w:hyperlink r:id="rId417">
              <w:r>
                <w:rPr>
                  <w:rFonts w:ascii="Times New Roman" w:cs="Times New Roman" w:eastAsia="Times New Roman" w:hAnsi="Times New Roman"/>
                  <w:sz w:val="15"/>
                  <w:szCs w:val="15"/>
                  <w:color w:val="0000EE"/>
                </w:rPr>
                <w:t>and the other parties thereto</w:t>
              </w:r>
            </w:hyperlink>
          </w:p>
        </w:tc>
        <w:tc>
          <w:tcPr>
            <w:tcW w:w="200" w:type="dxa"/>
            <w:vAlign w:val="bottom"/>
            <w:gridSpan w:val="5"/>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10.29#</w:t>
            </w:r>
          </w:p>
        </w:tc>
        <w:tc>
          <w:tcPr>
            <w:tcW w:w="6700" w:type="dxa"/>
            <w:vAlign w:val="bottom"/>
            <w:gridSpan w:val="27"/>
            <w:shd w:val="clear" w:color="auto" w:fill="CCEEFF"/>
          </w:tcPr>
          <w:p>
            <w:pPr>
              <w:spacing w:after="0" w:line="162" w:lineRule="exact"/>
              <w:rPr>
                <w:rFonts w:ascii="Times New Roman" w:cs="Times New Roman" w:eastAsia="Times New Roman" w:hAnsi="Times New Roman"/>
                <w:sz w:val="15"/>
                <w:szCs w:val="15"/>
                <w:color w:val="0000EE"/>
              </w:rPr>
            </w:pPr>
            <w:hyperlink r:id="rId418">
              <w:r>
                <w:rPr>
                  <w:rFonts w:ascii="Times New Roman" w:cs="Times New Roman" w:eastAsia="Times New Roman" w:hAnsi="Times New Roman"/>
                  <w:sz w:val="15"/>
                  <w:szCs w:val="15"/>
                  <w:color w:val="0000EE"/>
                </w:rPr>
                <w:t>Employment Agreement dated October 10, 2024 between the Company and Daniel Foley</w:t>
              </w:r>
            </w:hyperlink>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2024-10-16</w:t>
            </w:r>
          </w:p>
        </w:tc>
      </w:tr>
      <w:tr>
        <w:trPr>
          <w:trHeight w:val="34"/>
        </w:trPr>
        <w:tc>
          <w:tcPr>
            <w:tcW w:w="10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2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10.30</w:t>
            </w:r>
          </w:p>
        </w:tc>
        <w:tc>
          <w:tcPr>
            <w:tcW w:w="6700" w:type="dxa"/>
            <w:vAlign w:val="bottom"/>
            <w:gridSpan w:val="27"/>
          </w:tcPr>
          <w:p>
            <w:pPr>
              <w:spacing w:after="0" w:line="148" w:lineRule="exact"/>
              <w:rPr>
                <w:rFonts w:ascii="Times New Roman" w:cs="Times New Roman" w:eastAsia="Times New Roman" w:hAnsi="Times New Roman"/>
                <w:sz w:val="15"/>
                <w:szCs w:val="15"/>
                <w:color w:val="0000EE"/>
              </w:rPr>
            </w:pPr>
            <w:hyperlink r:id="rId419">
              <w:r>
                <w:rPr>
                  <w:rFonts w:ascii="Times New Roman" w:cs="Times New Roman" w:eastAsia="Times New Roman" w:hAnsi="Times New Roman"/>
                  <w:sz w:val="15"/>
                  <w:szCs w:val="15"/>
                  <w:color w:val="0000EE"/>
                </w:rPr>
                <w:t>Transition Services Agreement dated September 30, 2024 among Complete Solaria, Inc. and the other parties</w:t>
              </w:r>
            </w:hyperlink>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2024-10-01</w:t>
            </w:r>
          </w:p>
        </w:tc>
      </w:tr>
      <w:tr>
        <w:trPr>
          <w:trHeight w:val="162"/>
        </w:trPr>
        <w:tc>
          <w:tcPr>
            <w:tcW w:w="102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2" w:lineRule="exact"/>
              <w:rPr>
                <w:rFonts w:ascii="Times New Roman" w:cs="Times New Roman" w:eastAsia="Times New Roman" w:hAnsi="Times New Roman"/>
                <w:sz w:val="15"/>
                <w:szCs w:val="15"/>
                <w:color w:val="0000EE"/>
                <w:w w:val="95"/>
              </w:rPr>
            </w:pPr>
            <w:hyperlink r:id="rId419">
              <w:r>
                <w:rPr>
                  <w:rFonts w:ascii="Times New Roman" w:cs="Times New Roman" w:eastAsia="Times New Roman" w:hAnsi="Times New Roman"/>
                  <w:sz w:val="15"/>
                  <w:szCs w:val="15"/>
                  <w:color w:val="0000EE"/>
                  <w:w w:val="95"/>
                </w:rPr>
                <w:t>thereto</w:t>
              </w:r>
            </w:hyperlink>
          </w:p>
        </w:tc>
        <w:tc>
          <w:tcPr>
            <w:tcW w:w="6200" w:type="dxa"/>
            <w:vAlign w:val="bottom"/>
            <w:tcBorders>
              <w:top w:val="single" w:sz="8" w:color="0000EE"/>
            </w:tcBorders>
            <w:gridSpan w:val="24"/>
          </w:tcPr>
          <w:p>
            <w:pPr>
              <w:spacing w:after="0"/>
              <w:rPr>
                <w:sz w:val="14"/>
                <w:szCs w:val="14"/>
                <w:color w:val="auto"/>
              </w:rPr>
            </w:pPr>
          </w:p>
        </w:tc>
        <w:tc>
          <w:tcPr>
            <w:tcW w:w="8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10.31</w:t>
            </w:r>
          </w:p>
        </w:tc>
        <w:tc>
          <w:tcPr>
            <w:tcW w:w="6700" w:type="dxa"/>
            <w:vAlign w:val="bottom"/>
            <w:gridSpan w:val="27"/>
            <w:shd w:val="clear" w:color="auto" w:fill="CCEEFF"/>
          </w:tcPr>
          <w:p>
            <w:pPr>
              <w:spacing w:after="0" w:line="162" w:lineRule="exact"/>
              <w:rPr>
                <w:rFonts w:ascii="Times New Roman" w:cs="Times New Roman" w:eastAsia="Times New Roman" w:hAnsi="Times New Roman"/>
                <w:sz w:val="15"/>
                <w:szCs w:val="15"/>
                <w:color w:val="0000EE"/>
              </w:rPr>
            </w:pPr>
            <w:hyperlink r:id="rId420">
              <w:r>
                <w:rPr>
                  <w:rFonts w:ascii="Times New Roman" w:cs="Times New Roman" w:eastAsia="Times New Roman" w:hAnsi="Times New Roman"/>
                  <w:sz w:val="15"/>
                  <w:szCs w:val="15"/>
                  <w:color w:val="0000EE"/>
                </w:rPr>
                <w:t>Form of Amendment to SAFE (2024)</w:t>
              </w:r>
            </w:hyperlink>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2024-04-22</w:t>
            </w:r>
          </w:p>
        </w:tc>
      </w:tr>
      <w:tr>
        <w:trPr>
          <w:trHeight w:val="34"/>
        </w:trPr>
        <w:tc>
          <w:tcPr>
            <w:tcW w:w="10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10.32#</w:t>
            </w:r>
          </w:p>
        </w:tc>
        <w:tc>
          <w:tcPr>
            <w:tcW w:w="6700" w:type="dxa"/>
            <w:vAlign w:val="bottom"/>
            <w:gridSpan w:val="27"/>
          </w:tcPr>
          <w:p>
            <w:pPr>
              <w:spacing w:after="0" w:line="148" w:lineRule="exact"/>
              <w:rPr>
                <w:rFonts w:ascii="Times New Roman" w:cs="Times New Roman" w:eastAsia="Times New Roman" w:hAnsi="Times New Roman"/>
                <w:sz w:val="15"/>
                <w:szCs w:val="15"/>
                <w:color w:val="0000EE"/>
              </w:rPr>
            </w:pPr>
            <w:hyperlink r:id="rId421">
              <w:r>
                <w:rPr>
                  <w:rFonts w:ascii="Times New Roman" w:cs="Times New Roman" w:eastAsia="Times New Roman" w:hAnsi="Times New Roman"/>
                  <w:sz w:val="15"/>
                  <w:szCs w:val="15"/>
                  <w:color w:val="0000EE"/>
                </w:rPr>
                <w:t>Executive Employment Agreement dated April 24, 2024 between the Company and Brian Wubbels</w:t>
              </w:r>
            </w:hyperlink>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10-Q</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10.2</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2024-08-14</w:t>
            </w: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10.33</w:t>
            </w:r>
          </w:p>
        </w:tc>
        <w:tc>
          <w:tcPr>
            <w:tcW w:w="4220" w:type="dxa"/>
            <w:vAlign w:val="bottom"/>
            <w:tcBorders>
              <w:top w:val="single" w:sz="8" w:color="0000EE"/>
              <w:bottom w:val="single" w:sz="8" w:color="0000EE"/>
            </w:tcBorders>
            <w:gridSpan w:val="15"/>
            <w:shd w:val="clear" w:color="auto" w:fill="CCEEFF"/>
          </w:tcPr>
          <w:p>
            <w:pPr>
              <w:spacing w:after="0" w:line="162" w:lineRule="exact"/>
              <w:rPr>
                <w:rFonts w:ascii="Times New Roman" w:cs="Times New Roman" w:eastAsia="Times New Roman" w:hAnsi="Times New Roman"/>
                <w:sz w:val="15"/>
                <w:szCs w:val="15"/>
                <w:color w:val="0000EE"/>
              </w:rPr>
            </w:pPr>
            <w:hyperlink r:id="rId422">
              <w:r>
                <w:rPr>
                  <w:rFonts w:ascii="Times New Roman" w:cs="Times New Roman" w:eastAsia="Times New Roman" w:hAnsi="Times New Roman"/>
                  <w:sz w:val="15"/>
                  <w:szCs w:val="15"/>
                  <w:color w:val="0000EE"/>
                </w:rPr>
                <w:t>Form of Sandia Second Amendment to Forward Purchase Agreement</w:t>
              </w:r>
            </w:hyperlink>
          </w:p>
        </w:tc>
        <w:tc>
          <w:tcPr>
            <w:tcW w:w="1800" w:type="dxa"/>
            <w:vAlign w:val="bottom"/>
            <w:tcBorders>
              <w:top w:val="single" w:sz="8" w:color="0000EE"/>
              <w:bottom w:val="single" w:sz="8" w:color="CCEEFF"/>
            </w:tcBorders>
            <w:gridSpan w:val="4"/>
            <w:shd w:val="clear" w:color="auto" w:fill="CCEEFF"/>
          </w:tcPr>
          <w:p>
            <w:pPr>
              <w:spacing w:after="0"/>
              <w:rPr>
                <w:sz w:val="15"/>
                <w:szCs w:val="15"/>
                <w:color w:val="auto"/>
              </w:rPr>
            </w:pPr>
          </w:p>
        </w:tc>
        <w:tc>
          <w:tcPr>
            <w:tcW w:w="680" w:type="dxa"/>
            <w:vAlign w:val="bottom"/>
            <w:tcBorders>
              <w:bottom w:val="single" w:sz="8" w:color="CCEEFF"/>
            </w:tcBorders>
            <w:gridSpan w:val="8"/>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2024-05-14</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10.34</w:t>
            </w:r>
          </w:p>
        </w:tc>
        <w:tc>
          <w:tcPr>
            <w:tcW w:w="6700" w:type="dxa"/>
            <w:vAlign w:val="bottom"/>
            <w:gridSpan w:val="27"/>
          </w:tcPr>
          <w:p>
            <w:pPr>
              <w:spacing w:after="0" w:line="148" w:lineRule="exact"/>
              <w:rPr>
                <w:rFonts w:ascii="Times New Roman" w:cs="Times New Roman" w:eastAsia="Times New Roman" w:hAnsi="Times New Roman"/>
                <w:sz w:val="15"/>
                <w:szCs w:val="15"/>
                <w:color w:val="0000EE"/>
              </w:rPr>
            </w:pPr>
            <w:hyperlink r:id="rId423">
              <w:r>
                <w:rPr>
                  <w:rFonts w:ascii="Times New Roman" w:cs="Times New Roman" w:eastAsia="Times New Roman" w:hAnsi="Times New Roman"/>
                  <w:sz w:val="15"/>
                  <w:szCs w:val="15"/>
                  <w:color w:val="0000EE"/>
                </w:rPr>
                <w:t>Form of Polar Second Amendment to Forward Purchase Agreement</w:t>
              </w:r>
            </w:hyperlink>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10.2</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2024-05-14</w:t>
            </w: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10.35</w:t>
            </w:r>
          </w:p>
        </w:tc>
        <w:tc>
          <w:tcPr>
            <w:tcW w:w="1680" w:type="dxa"/>
            <w:vAlign w:val="bottom"/>
            <w:tcBorders>
              <w:top w:val="single" w:sz="8" w:color="0000EE"/>
              <w:bottom w:val="single" w:sz="8" w:color="0000EE"/>
              <w:right w:val="single" w:sz="8" w:color="CCEEFF"/>
            </w:tcBorders>
            <w:gridSpan w:val="4"/>
            <w:shd w:val="clear" w:color="auto" w:fill="CCEEFF"/>
          </w:tcPr>
          <w:p>
            <w:pPr>
              <w:spacing w:after="0" w:line="162" w:lineRule="exact"/>
              <w:rPr>
                <w:rFonts w:ascii="Times New Roman" w:cs="Times New Roman" w:eastAsia="Times New Roman" w:hAnsi="Times New Roman"/>
                <w:sz w:val="15"/>
                <w:szCs w:val="15"/>
                <w:color w:val="0000EE"/>
                <w:w w:val="99"/>
              </w:rPr>
            </w:pPr>
            <w:hyperlink r:id="rId424">
              <w:r>
                <w:rPr>
                  <w:rFonts w:ascii="Times New Roman" w:cs="Times New Roman" w:eastAsia="Times New Roman" w:hAnsi="Times New Roman"/>
                  <w:sz w:val="15"/>
                  <w:szCs w:val="15"/>
                  <w:color w:val="0000EE"/>
                  <w:w w:val="99"/>
                </w:rPr>
                <w:t>Form of SAFE (May 2024)</w:t>
              </w:r>
            </w:hyperlink>
          </w:p>
        </w:tc>
        <w:tc>
          <w:tcPr>
            <w:tcW w:w="2440" w:type="dxa"/>
            <w:vAlign w:val="bottom"/>
            <w:tcBorders>
              <w:top w:val="single" w:sz="8" w:color="0000EE"/>
              <w:bottom w:val="single" w:sz="8" w:color="CCEEFF"/>
            </w:tcBorders>
            <w:gridSpan w:val="10"/>
            <w:shd w:val="clear" w:color="auto" w:fill="CCEEFF"/>
          </w:tcPr>
          <w:p>
            <w:pPr>
              <w:spacing w:after="0"/>
              <w:rPr>
                <w:sz w:val="15"/>
                <w:szCs w:val="15"/>
                <w:color w:val="auto"/>
              </w:rPr>
            </w:pPr>
          </w:p>
        </w:tc>
        <w:tc>
          <w:tcPr>
            <w:tcW w:w="2580" w:type="dxa"/>
            <w:vAlign w:val="bottom"/>
            <w:tcBorders>
              <w:bottom w:val="single" w:sz="8" w:color="CCEEFF"/>
            </w:tcBorders>
            <w:gridSpan w:val="13"/>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2024-05-17</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10.36#</w:t>
            </w:r>
          </w:p>
        </w:tc>
        <w:tc>
          <w:tcPr>
            <w:tcW w:w="4120" w:type="dxa"/>
            <w:vAlign w:val="bottom"/>
            <w:tcBorders>
              <w:bottom w:val="single" w:sz="8" w:color="0000EE"/>
            </w:tcBorders>
            <w:gridSpan w:val="14"/>
          </w:tcPr>
          <w:p>
            <w:pPr>
              <w:spacing w:after="0" w:line="148" w:lineRule="exact"/>
              <w:rPr>
                <w:rFonts w:ascii="Times New Roman" w:cs="Times New Roman" w:eastAsia="Times New Roman" w:hAnsi="Times New Roman"/>
                <w:sz w:val="15"/>
                <w:szCs w:val="15"/>
                <w:color w:val="0000EE"/>
              </w:rPr>
            </w:pPr>
            <w:hyperlink r:id="rId425">
              <w:r>
                <w:rPr>
                  <w:rFonts w:ascii="Times New Roman" w:cs="Times New Roman" w:eastAsia="Times New Roman" w:hAnsi="Times New Roman"/>
                  <w:sz w:val="15"/>
                  <w:szCs w:val="15"/>
                  <w:color w:val="0000EE"/>
                </w:rPr>
                <w:t>Separation Agreement with Chris Lundell dated as of May 18, 2024</w:t>
              </w:r>
            </w:hyperlink>
          </w:p>
        </w:tc>
        <w:tc>
          <w:tcPr>
            <w:tcW w:w="2580" w:type="dxa"/>
            <w:vAlign w:val="bottom"/>
            <w:gridSpan w:val="13"/>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10-Q</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10.7</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2024-08-14</w:t>
            </w:r>
          </w:p>
        </w:tc>
      </w:tr>
      <w:tr>
        <w:trPr>
          <w:trHeight w:val="176"/>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10.37</w:t>
            </w:r>
          </w:p>
        </w:tc>
        <w:tc>
          <w:tcPr>
            <w:tcW w:w="6700" w:type="dxa"/>
            <w:vAlign w:val="bottom"/>
            <w:gridSpan w:val="27"/>
            <w:shd w:val="clear" w:color="auto" w:fill="CCEEFF"/>
          </w:tcPr>
          <w:p>
            <w:pPr>
              <w:spacing w:after="0" w:line="162" w:lineRule="exact"/>
              <w:rPr>
                <w:rFonts w:ascii="Times New Roman" w:cs="Times New Roman" w:eastAsia="Times New Roman" w:hAnsi="Times New Roman"/>
                <w:sz w:val="15"/>
                <w:szCs w:val="15"/>
                <w:color w:val="0000EE"/>
              </w:rPr>
            </w:pPr>
            <w:hyperlink r:id="rId426">
              <w:r>
                <w:rPr>
                  <w:rFonts w:ascii="Times New Roman" w:cs="Times New Roman" w:eastAsia="Times New Roman" w:hAnsi="Times New Roman"/>
                  <w:sz w:val="15"/>
                  <w:szCs w:val="15"/>
                  <w:color w:val="0000EE"/>
                </w:rPr>
                <w:t>Form of Sandia Third Amendment to Forward Purchase Agreement</w:t>
              </w:r>
            </w:hyperlink>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2024-06-20</w:t>
            </w:r>
          </w:p>
        </w:tc>
      </w:tr>
      <w:tr>
        <w:trPr>
          <w:trHeight w:val="148"/>
        </w:trPr>
        <w:tc>
          <w:tcPr>
            <w:tcW w:w="1020" w:type="dxa"/>
            <w:vAlign w:val="bottom"/>
            <w:tcBorders>
              <w:top w:val="single" w:sz="8" w:color="CCEEFF"/>
            </w:tcBorders>
          </w:tcPr>
          <w:p>
            <w:pPr>
              <w:spacing w:after="0" w:line="148" w:lineRule="exact"/>
              <w:rPr>
                <w:sz w:val="20"/>
                <w:szCs w:val="20"/>
                <w:color w:val="auto"/>
              </w:rPr>
            </w:pPr>
            <w:r>
              <w:rPr>
                <w:rFonts w:ascii="Times New Roman" w:cs="Times New Roman" w:eastAsia="Times New Roman" w:hAnsi="Times New Roman"/>
                <w:sz w:val="15"/>
                <w:szCs w:val="15"/>
                <w:color w:val="auto"/>
              </w:rPr>
              <w:t>10.38</w:t>
            </w:r>
          </w:p>
        </w:tc>
        <w:tc>
          <w:tcPr>
            <w:tcW w:w="2400" w:type="dxa"/>
            <w:vAlign w:val="bottom"/>
            <w:tcBorders>
              <w:top w:val="single" w:sz="8" w:color="0000EE"/>
              <w:bottom w:val="single" w:sz="8" w:color="0000EE"/>
            </w:tcBorders>
            <w:gridSpan w:val="7"/>
          </w:tcPr>
          <w:p>
            <w:pPr>
              <w:spacing w:after="0" w:line="148" w:lineRule="exact"/>
              <w:rPr>
                <w:rFonts w:ascii="Times New Roman" w:cs="Times New Roman" w:eastAsia="Times New Roman" w:hAnsi="Times New Roman"/>
                <w:sz w:val="15"/>
                <w:szCs w:val="15"/>
                <w:color w:val="0000EE"/>
              </w:rPr>
            </w:pPr>
            <w:hyperlink r:id="rId427">
              <w:r>
                <w:rPr>
                  <w:rFonts w:ascii="Times New Roman" w:cs="Times New Roman" w:eastAsia="Times New Roman" w:hAnsi="Times New Roman"/>
                  <w:sz w:val="15"/>
                  <w:szCs w:val="15"/>
                  <w:color w:val="0000EE"/>
                </w:rPr>
                <w:t>Form of Siemens v. Solaria Final Order</w:t>
              </w:r>
            </w:hyperlink>
          </w:p>
        </w:tc>
        <w:tc>
          <w:tcPr>
            <w:tcW w:w="1700" w:type="dxa"/>
            <w:vAlign w:val="bottom"/>
            <w:tcBorders>
              <w:top w:val="single" w:sz="8" w:color="0000EE"/>
            </w:tcBorders>
            <w:gridSpan w:val="6"/>
          </w:tcPr>
          <w:p>
            <w:pPr>
              <w:spacing w:after="0"/>
              <w:rPr>
                <w:sz w:val="12"/>
                <w:szCs w:val="12"/>
                <w:color w:val="auto"/>
              </w:rPr>
            </w:pPr>
          </w:p>
        </w:tc>
        <w:tc>
          <w:tcPr>
            <w:tcW w:w="2600" w:type="dxa"/>
            <w:vAlign w:val="bottom"/>
            <w:tcBorders>
              <w:top w:val="single" w:sz="8" w:color="CCEEFF"/>
            </w:tcBorders>
            <w:gridSpan w:val="14"/>
          </w:tcPr>
          <w:p>
            <w:pPr>
              <w:spacing w:after="0"/>
              <w:rPr>
                <w:sz w:val="12"/>
                <w:szCs w:val="12"/>
                <w:color w:val="auto"/>
              </w:rPr>
            </w:pPr>
          </w:p>
        </w:tc>
        <w:tc>
          <w:tcPr>
            <w:tcW w:w="76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2024-06-21</w:t>
            </w: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10.39</w:t>
            </w:r>
          </w:p>
        </w:tc>
        <w:tc>
          <w:tcPr>
            <w:tcW w:w="2440" w:type="dxa"/>
            <w:vAlign w:val="bottom"/>
            <w:tcBorders>
              <w:bottom w:val="single" w:sz="8" w:color="0000EE"/>
            </w:tcBorders>
            <w:gridSpan w:val="8"/>
            <w:shd w:val="clear" w:color="auto" w:fill="CCEEFF"/>
          </w:tcPr>
          <w:p>
            <w:pPr>
              <w:spacing w:after="0" w:line="162" w:lineRule="exact"/>
              <w:rPr>
                <w:rFonts w:ascii="Times New Roman" w:cs="Times New Roman" w:eastAsia="Times New Roman" w:hAnsi="Times New Roman"/>
                <w:sz w:val="15"/>
                <w:szCs w:val="15"/>
                <w:color w:val="0000EE"/>
                <w:w w:val="99"/>
              </w:rPr>
            </w:pPr>
            <w:hyperlink r:id="rId428">
              <w:r>
                <w:rPr>
                  <w:rFonts w:ascii="Times New Roman" w:cs="Times New Roman" w:eastAsia="Times New Roman" w:hAnsi="Times New Roman"/>
                  <w:sz w:val="15"/>
                  <w:szCs w:val="15"/>
                  <w:color w:val="0000EE"/>
                  <w:w w:val="99"/>
                </w:rPr>
                <w:t>Form of Common Stock Warrant (2024)</w:t>
              </w:r>
            </w:hyperlink>
          </w:p>
        </w:tc>
        <w:tc>
          <w:tcPr>
            <w:tcW w:w="4260" w:type="dxa"/>
            <w:vAlign w:val="bottom"/>
            <w:tcBorders>
              <w:bottom w:val="single" w:sz="8" w:color="CCEEFF"/>
            </w:tcBorders>
            <w:gridSpan w:val="19"/>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2024-06-24</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10.40</w:t>
            </w:r>
          </w:p>
        </w:tc>
        <w:tc>
          <w:tcPr>
            <w:tcW w:w="2120" w:type="dxa"/>
            <w:vAlign w:val="bottom"/>
            <w:tcBorders>
              <w:bottom w:val="single" w:sz="8" w:color="0000EE"/>
            </w:tcBorders>
            <w:gridSpan w:val="5"/>
          </w:tcPr>
          <w:p>
            <w:pPr>
              <w:spacing w:after="0" w:line="148" w:lineRule="exact"/>
              <w:rPr>
                <w:rFonts w:ascii="Times New Roman" w:cs="Times New Roman" w:eastAsia="Times New Roman" w:hAnsi="Times New Roman"/>
                <w:sz w:val="15"/>
                <w:szCs w:val="15"/>
                <w:color w:val="0000EE"/>
                <w:w w:val="99"/>
              </w:rPr>
            </w:pPr>
            <w:hyperlink r:id="rId429">
              <w:r>
                <w:rPr>
                  <w:rFonts w:ascii="Times New Roman" w:cs="Times New Roman" w:eastAsia="Times New Roman" w:hAnsi="Times New Roman"/>
                  <w:sz w:val="15"/>
                  <w:szCs w:val="15"/>
                  <w:color w:val="0000EE"/>
                  <w:w w:val="99"/>
                </w:rPr>
                <w:t>Form of Statement of Work (2024)</w:t>
              </w:r>
            </w:hyperlink>
          </w:p>
        </w:tc>
        <w:tc>
          <w:tcPr>
            <w:tcW w:w="4580" w:type="dxa"/>
            <w:vAlign w:val="bottom"/>
            <w:gridSpan w:val="22"/>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10.2</w:t>
            </w: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2024-06-24</w:t>
            </w:r>
          </w:p>
        </w:tc>
      </w:tr>
      <w:tr>
        <w:trPr>
          <w:trHeight w:val="176"/>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10.41#</w:t>
            </w:r>
          </w:p>
        </w:tc>
        <w:tc>
          <w:tcPr>
            <w:tcW w:w="6700" w:type="dxa"/>
            <w:vAlign w:val="bottom"/>
            <w:gridSpan w:val="27"/>
            <w:shd w:val="clear" w:color="auto" w:fill="CCEEFF"/>
          </w:tcPr>
          <w:p>
            <w:pPr>
              <w:spacing w:after="0" w:line="162" w:lineRule="exact"/>
              <w:rPr>
                <w:rFonts w:ascii="Times New Roman" w:cs="Times New Roman" w:eastAsia="Times New Roman" w:hAnsi="Times New Roman"/>
                <w:sz w:val="15"/>
                <w:szCs w:val="15"/>
                <w:color w:val="0000EE"/>
              </w:rPr>
            </w:pPr>
            <w:hyperlink r:id="rId430">
              <w:r>
                <w:rPr>
                  <w:rFonts w:ascii="Times New Roman" w:cs="Times New Roman" w:eastAsia="Times New Roman" w:hAnsi="Times New Roman"/>
                  <w:sz w:val="15"/>
                  <w:szCs w:val="15"/>
                  <w:color w:val="0000EE"/>
                </w:rPr>
                <w:t>Amended and Restated Omnibus Incentive Plan</w:t>
              </w:r>
            </w:hyperlink>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10.8</w:t>
            </w:r>
          </w:p>
        </w:tc>
        <w:tc>
          <w:tcPr>
            <w:tcW w:w="10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2023-07-24</w:t>
            </w:r>
          </w:p>
        </w:tc>
      </w:tr>
      <w:tr>
        <w:trPr>
          <w:trHeight w:val="148"/>
        </w:trPr>
        <w:tc>
          <w:tcPr>
            <w:tcW w:w="1020" w:type="dxa"/>
            <w:vAlign w:val="bottom"/>
            <w:tcBorders>
              <w:top w:val="single" w:sz="8" w:color="CCEEFF"/>
            </w:tcBorders>
          </w:tcPr>
          <w:p>
            <w:pPr>
              <w:spacing w:after="0" w:line="148" w:lineRule="exact"/>
              <w:rPr>
                <w:sz w:val="20"/>
                <w:szCs w:val="20"/>
                <w:color w:val="auto"/>
              </w:rPr>
            </w:pPr>
            <w:r>
              <w:rPr>
                <w:rFonts w:ascii="Times New Roman" w:cs="Times New Roman" w:eastAsia="Times New Roman" w:hAnsi="Times New Roman"/>
                <w:sz w:val="15"/>
                <w:szCs w:val="15"/>
                <w:color w:val="auto"/>
              </w:rPr>
              <w:t>10.42#</w:t>
            </w:r>
          </w:p>
        </w:tc>
        <w:tc>
          <w:tcPr>
            <w:tcW w:w="2440" w:type="dxa"/>
            <w:vAlign w:val="bottom"/>
            <w:tcBorders>
              <w:top w:val="single" w:sz="8" w:color="0000EE"/>
              <w:bottom w:val="single" w:sz="8" w:color="0000EE"/>
            </w:tcBorders>
            <w:gridSpan w:val="8"/>
          </w:tcPr>
          <w:p>
            <w:pPr>
              <w:spacing w:after="0" w:line="148" w:lineRule="exact"/>
              <w:rPr>
                <w:rFonts w:ascii="Times New Roman" w:cs="Times New Roman" w:eastAsia="Times New Roman" w:hAnsi="Times New Roman"/>
                <w:sz w:val="15"/>
                <w:szCs w:val="15"/>
                <w:color w:val="0000EE"/>
              </w:rPr>
            </w:pPr>
            <w:hyperlink r:id="rId431">
              <w:r>
                <w:rPr>
                  <w:rFonts w:ascii="Times New Roman" w:cs="Times New Roman" w:eastAsia="Times New Roman" w:hAnsi="Times New Roman"/>
                  <w:sz w:val="15"/>
                  <w:szCs w:val="15"/>
                  <w:color w:val="0000EE"/>
                </w:rPr>
                <w:t>Amended and Restated 2021 Stock Plan</w:t>
              </w:r>
            </w:hyperlink>
          </w:p>
        </w:tc>
        <w:tc>
          <w:tcPr>
            <w:tcW w:w="460" w:type="dxa"/>
            <w:vAlign w:val="bottom"/>
            <w:tcBorders>
              <w:top w:val="single" w:sz="8" w:color="0000EE"/>
            </w:tcBorders>
            <w:gridSpan w:val="3"/>
          </w:tcPr>
          <w:p>
            <w:pPr>
              <w:spacing w:after="0"/>
              <w:rPr>
                <w:sz w:val="12"/>
                <w:szCs w:val="12"/>
                <w:color w:val="auto"/>
              </w:rPr>
            </w:pPr>
          </w:p>
        </w:tc>
        <w:tc>
          <w:tcPr>
            <w:tcW w:w="3800" w:type="dxa"/>
            <w:vAlign w:val="bottom"/>
            <w:tcBorders>
              <w:top w:val="single" w:sz="8" w:color="CCEEFF"/>
            </w:tcBorders>
            <w:gridSpan w:val="16"/>
          </w:tcPr>
          <w:p>
            <w:pPr>
              <w:spacing w:after="0"/>
              <w:rPr>
                <w:sz w:val="12"/>
                <w:szCs w:val="12"/>
                <w:color w:val="auto"/>
              </w:rPr>
            </w:pPr>
          </w:p>
        </w:tc>
        <w:tc>
          <w:tcPr>
            <w:tcW w:w="76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10.9</w:t>
            </w:r>
          </w:p>
        </w:tc>
        <w:tc>
          <w:tcPr>
            <w:tcW w:w="108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2023-07-24</w:t>
            </w: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10.43#</w:t>
            </w:r>
          </w:p>
        </w:tc>
        <w:tc>
          <w:tcPr>
            <w:tcW w:w="6700" w:type="dxa"/>
            <w:vAlign w:val="bottom"/>
            <w:gridSpan w:val="27"/>
            <w:shd w:val="clear" w:color="auto" w:fill="CCEEFF"/>
          </w:tcPr>
          <w:p>
            <w:pPr>
              <w:spacing w:after="0" w:line="162" w:lineRule="exact"/>
              <w:rPr>
                <w:rFonts w:ascii="Times New Roman" w:cs="Times New Roman" w:eastAsia="Times New Roman" w:hAnsi="Times New Roman"/>
                <w:sz w:val="15"/>
                <w:szCs w:val="15"/>
                <w:color w:val="0000EE"/>
              </w:rPr>
            </w:pPr>
            <w:hyperlink r:id="rId432">
              <w:r>
                <w:rPr>
                  <w:rFonts w:ascii="Times New Roman" w:cs="Times New Roman" w:eastAsia="Times New Roman" w:hAnsi="Times New Roman"/>
                  <w:sz w:val="15"/>
                  <w:szCs w:val="15"/>
                  <w:color w:val="0000EE"/>
                </w:rPr>
                <w:t>Forms of Option Agreement and Option Exercise under 2021 Stock Plan</w:t>
              </w:r>
            </w:hyperlink>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6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10.10</w:t>
            </w:r>
          </w:p>
        </w:tc>
        <w:tc>
          <w:tcPr>
            <w:tcW w:w="10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2023-07-24</w:t>
            </w:r>
          </w:p>
        </w:tc>
      </w:tr>
      <w:tr>
        <w:trPr>
          <w:trHeight w:val="34"/>
        </w:trPr>
        <w:tc>
          <w:tcPr>
            <w:tcW w:w="10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4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2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337" w:name="page338"/>
    <w:bookmarkEnd w:id="337"/>
    <w:tbl>
      <w:tblPr>
        <w:tblLayout w:type="fixed"/>
        <w:tblInd w:w="9" w:type="dxa"/>
        <w:tblCellMar>
          <w:top w:w="0" w:type="dxa"/>
          <w:left w:w="0" w:type="dxa"/>
          <w:bottom w:w="0" w:type="dxa"/>
          <w:right w:w="0" w:type="dxa"/>
        </w:tblCellMar>
      </w:tblPr>
      <w:tr>
        <w:trPr>
          <w:trHeight w:val="172"/>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10.44#</w:t>
            </w:r>
          </w:p>
        </w:tc>
        <w:tc>
          <w:tcPr>
            <w:tcW w:w="6720" w:type="dxa"/>
            <w:vAlign w:val="bottom"/>
            <w:tcBorders>
              <w:right w:val="single" w:sz="8" w:color="CCEEFF"/>
            </w:tcBorders>
            <w:gridSpan w:val="29"/>
            <w:shd w:val="clear" w:color="auto" w:fill="CCEEFF"/>
          </w:tcPr>
          <w:p>
            <w:pPr>
              <w:spacing w:after="0"/>
              <w:rPr>
                <w:rFonts w:ascii="Times New Roman" w:cs="Times New Roman" w:eastAsia="Times New Roman" w:hAnsi="Times New Roman"/>
                <w:sz w:val="15"/>
                <w:szCs w:val="15"/>
                <w:color w:val="0000EE"/>
              </w:rPr>
            </w:pPr>
            <w:hyperlink r:id="rId434">
              <w:r>
                <w:rPr>
                  <w:rFonts w:ascii="Times New Roman" w:cs="Times New Roman" w:eastAsia="Times New Roman" w:hAnsi="Times New Roman"/>
                  <w:sz w:val="15"/>
                  <w:szCs w:val="15"/>
                  <w:color w:val="0000EE"/>
                </w:rPr>
                <w:t>Solaria Corporation 2016 Stock Plan</w:t>
              </w:r>
            </w:hyperlink>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8-K</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001-40117</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10.11</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2023-07-24</w:t>
            </w:r>
          </w:p>
        </w:tc>
      </w:tr>
      <w:tr>
        <w:trPr>
          <w:trHeight w:val="34"/>
        </w:trPr>
        <w:tc>
          <w:tcPr>
            <w:tcW w:w="1020" w:type="dxa"/>
            <w:vAlign w:val="bottom"/>
            <w:shd w:val="clear" w:color="auto" w:fill="CCEEFF"/>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10.45#</w:t>
            </w:r>
          </w:p>
        </w:tc>
        <w:tc>
          <w:tcPr>
            <w:tcW w:w="4560" w:type="dxa"/>
            <w:vAlign w:val="bottom"/>
            <w:tcBorders>
              <w:bottom w:val="single" w:sz="8" w:color="0000EE"/>
            </w:tcBorders>
            <w:gridSpan w:val="23"/>
          </w:tcPr>
          <w:p>
            <w:pPr>
              <w:spacing w:after="0" w:line="148" w:lineRule="exact"/>
              <w:rPr>
                <w:rFonts w:ascii="Times New Roman" w:cs="Times New Roman" w:eastAsia="Times New Roman" w:hAnsi="Times New Roman"/>
                <w:sz w:val="15"/>
                <w:szCs w:val="15"/>
                <w:color w:val="0000EE"/>
              </w:rPr>
            </w:pPr>
            <w:hyperlink r:id="rId435">
              <w:r>
                <w:rPr>
                  <w:rFonts w:ascii="Times New Roman" w:cs="Times New Roman" w:eastAsia="Times New Roman" w:hAnsi="Times New Roman"/>
                  <w:sz w:val="15"/>
                  <w:szCs w:val="15"/>
                  <w:color w:val="0000EE"/>
                </w:rPr>
                <w:t>Forms of Option Agreement and Notice of Exercise under 2016 Stock Plan</w:t>
              </w:r>
            </w:hyperlink>
          </w:p>
        </w:tc>
        <w:tc>
          <w:tcPr>
            <w:tcW w:w="2160" w:type="dxa"/>
            <w:vAlign w:val="bottom"/>
            <w:gridSpan w:val="6"/>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10.12</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2023-07-24</w:t>
            </w: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10.46#</w:t>
            </w:r>
          </w:p>
        </w:tc>
        <w:tc>
          <w:tcPr>
            <w:tcW w:w="2080" w:type="dxa"/>
            <w:vAlign w:val="bottom"/>
            <w:tcBorders>
              <w:bottom w:val="single" w:sz="8" w:color="0000EE"/>
            </w:tcBorders>
            <w:gridSpan w:val="9"/>
            <w:shd w:val="clear" w:color="auto" w:fill="CCEEFF"/>
          </w:tcPr>
          <w:p>
            <w:pPr>
              <w:spacing w:after="0" w:line="162" w:lineRule="exact"/>
              <w:rPr>
                <w:rFonts w:ascii="Times New Roman" w:cs="Times New Roman" w:eastAsia="Times New Roman" w:hAnsi="Times New Roman"/>
                <w:sz w:val="15"/>
                <w:szCs w:val="15"/>
                <w:color w:val="0000EE"/>
                <w:w w:val="99"/>
              </w:rPr>
            </w:pPr>
            <w:hyperlink r:id="rId436">
              <w:r>
                <w:rPr>
                  <w:rFonts w:ascii="Times New Roman" w:cs="Times New Roman" w:eastAsia="Times New Roman" w:hAnsi="Times New Roman"/>
                  <w:sz w:val="15"/>
                  <w:szCs w:val="15"/>
                  <w:color w:val="0000EE"/>
                  <w:w w:val="99"/>
                </w:rPr>
                <w:t>Complete Solaria 2011 Stock Plan</w:t>
              </w:r>
            </w:hyperlink>
          </w:p>
        </w:tc>
        <w:tc>
          <w:tcPr>
            <w:tcW w:w="4640" w:type="dxa"/>
            <w:vAlign w:val="bottom"/>
            <w:tcBorders>
              <w:bottom w:val="single" w:sz="8" w:color="CCEEFF"/>
              <w:right w:val="single" w:sz="8" w:color="CCEEFF"/>
            </w:tcBorders>
            <w:gridSpan w:val="20"/>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10.13</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2023-07-24</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10.47#</w:t>
            </w:r>
          </w:p>
        </w:tc>
        <w:tc>
          <w:tcPr>
            <w:tcW w:w="6720" w:type="dxa"/>
            <w:vAlign w:val="bottom"/>
            <w:gridSpan w:val="29"/>
          </w:tcPr>
          <w:p>
            <w:pPr>
              <w:spacing w:after="0" w:line="148" w:lineRule="exact"/>
              <w:rPr>
                <w:rFonts w:ascii="Times New Roman" w:cs="Times New Roman" w:eastAsia="Times New Roman" w:hAnsi="Times New Roman"/>
                <w:sz w:val="15"/>
                <w:szCs w:val="15"/>
                <w:color w:val="0000EE"/>
              </w:rPr>
            </w:pPr>
            <w:hyperlink r:id="rId437">
              <w:r>
                <w:rPr>
                  <w:rFonts w:ascii="Times New Roman" w:cs="Times New Roman" w:eastAsia="Times New Roman" w:hAnsi="Times New Roman"/>
                  <w:sz w:val="15"/>
                  <w:szCs w:val="15"/>
                  <w:color w:val="0000EE"/>
                </w:rPr>
                <w:t>Forms of Option Agreement and Option Exercise under 2011 Stock Plan</w:t>
              </w:r>
            </w:hyperlink>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10.14</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2023-07-24</w:t>
            </w: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10.48#</w:t>
            </w:r>
          </w:p>
        </w:tc>
        <w:tc>
          <w:tcPr>
            <w:tcW w:w="4400" w:type="dxa"/>
            <w:vAlign w:val="bottom"/>
            <w:tcBorders>
              <w:top w:val="single" w:sz="8" w:color="0000EE"/>
              <w:right w:val="single" w:sz="8" w:color="CCEEFF"/>
            </w:tcBorders>
            <w:gridSpan w:val="22"/>
            <w:shd w:val="clear" w:color="auto" w:fill="CCEEFF"/>
          </w:tcPr>
          <w:p>
            <w:pPr>
              <w:spacing w:after="0" w:line="162" w:lineRule="exact"/>
              <w:rPr>
                <w:rFonts w:ascii="Times New Roman" w:cs="Times New Roman" w:eastAsia="Times New Roman" w:hAnsi="Times New Roman"/>
                <w:sz w:val="15"/>
                <w:szCs w:val="15"/>
                <w:color w:val="0000EE"/>
              </w:rPr>
            </w:pPr>
            <w:hyperlink r:id="rId438">
              <w:r>
                <w:rPr>
                  <w:rFonts w:ascii="Times New Roman" w:cs="Times New Roman" w:eastAsia="Times New Roman" w:hAnsi="Times New Roman"/>
                  <w:sz w:val="15"/>
                  <w:szCs w:val="15"/>
                  <w:color w:val="0000EE"/>
                </w:rPr>
                <w:t>Solaria Corporation 2006 Stock Plan</w:t>
              </w:r>
            </w:hyperlink>
          </w:p>
        </w:tc>
        <w:tc>
          <w:tcPr>
            <w:tcW w:w="2320" w:type="dxa"/>
            <w:vAlign w:val="bottom"/>
            <w:tcBorders>
              <w:right w:val="single" w:sz="8" w:color="CCEEFF"/>
            </w:tcBorders>
            <w:gridSpan w:val="7"/>
            <w:shd w:val="clear" w:color="auto" w:fill="CCEEFF"/>
          </w:tcPr>
          <w:p>
            <w:pPr>
              <w:spacing w:after="0"/>
              <w:rPr>
                <w:sz w:val="14"/>
                <w:szCs w:val="14"/>
                <w:color w:val="auto"/>
              </w:rPr>
            </w:pPr>
          </w:p>
        </w:tc>
        <w:tc>
          <w:tcPr>
            <w:tcW w:w="7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10.15</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2023-07-24</w:t>
            </w:r>
          </w:p>
        </w:tc>
      </w:tr>
      <w:tr>
        <w:trPr>
          <w:trHeight w:val="34"/>
        </w:trPr>
        <w:tc>
          <w:tcPr>
            <w:tcW w:w="1020" w:type="dxa"/>
            <w:vAlign w:val="bottom"/>
            <w:shd w:val="clear" w:color="auto" w:fill="CCEEFF"/>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10.49#</w:t>
            </w:r>
          </w:p>
        </w:tc>
        <w:tc>
          <w:tcPr>
            <w:tcW w:w="6720" w:type="dxa"/>
            <w:vAlign w:val="bottom"/>
            <w:gridSpan w:val="29"/>
          </w:tcPr>
          <w:p>
            <w:pPr>
              <w:spacing w:after="0" w:line="148" w:lineRule="exact"/>
              <w:rPr>
                <w:rFonts w:ascii="Times New Roman" w:cs="Times New Roman" w:eastAsia="Times New Roman" w:hAnsi="Times New Roman"/>
                <w:sz w:val="15"/>
                <w:szCs w:val="15"/>
                <w:color w:val="0000EE"/>
              </w:rPr>
            </w:pPr>
            <w:hyperlink r:id="rId439">
              <w:r>
                <w:rPr>
                  <w:rFonts w:ascii="Times New Roman" w:cs="Times New Roman" w:eastAsia="Times New Roman" w:hAnsi="Times New Roman"/>
                  <w:sz w:val="15"/>
                  <w:szCs w:val="15"/>
                  <w:color w:val="0000EE"/>
                </w:rPr>
                <w:t>Forms of Option Agreement, Restricted Stock Agreement and Early Exercise under 2006 Stock Plan</w:t>
              </w:r>
            </w:hyperlink>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10.16</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2023-07-24</w:t>
            </w: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10.50</w:t>
            </w:r>
          </w:p>
        </w:tc>
        <w:tc>
          <w:tcPr>
            <w:tcW w:w="2780" w:type="dxa"/>
            <w:vAlign w:val="bottom"/>
            <w:tcBorders>
              <w:top w:val="single" w:sz="8" w:color="0000EE"/>
              <w:bottom w:val="single" w:sz="8" w:color="0000EE"/>
            </w:tcBorders>
            <w:gridSpan w:val="15"/>
            <w:shd w:val="clear" w:color="auto" w:fill="CCEEFF"/>
          </w:tcPr>
          <w:p>
            <w:pPr>
              <w:spacing w:after="0" w:line="162" w:lineRule="exact"/>
              <w:rPr>
                <w:rFonts w:ascii="Times New Roman" w:cs="Times New Roman" w:eastAsia="Times New Roman" w:hAnsi="Times New Roman"/>
                <w:sz w:val="15"/>
                <w:szCs w:val="15"/>
                <w:color w:val="0000EE"/>
              </w:rPr>
            </w:pPr>
            <w:hyperlink r:id="rId440">
              <w:r>
                <w:rPr>
                  <w:rFonts w:ascii="Times New Roman" w:cs="Times New Roman" w:eastAsia="Times New Roman" w:hAnsi="Times New Roman"/>
                  <w:sz w:val="15"/>
                  <w:szCs w:val="15"/>
                  <w:color w:val="0000EE"/>
                </w:rPr>
                <w:t>Form of Common Stock Purchase Agreement</w:t>
              </w:r>
            </w:hyperlink>
          </w:p>
        </w:tc>
        <w:tc>
          <w:tcPr>
            <w:tcW w:w="3320" w:type="dxa"/>
            <w:vAlign w:val="bottom"/>
            <w:tcBorders>
              <w:top w:val="single" w:sz="8" w:color="0000EE"/>
              <w:bottom w:val="single" w:sz="8" w:color="CCEEFF"/>
            </w:tcBorders>
            <w:gridSpan w:val="11"/>
            <w:shd w:val="clear" w:color="auto" w:fill="CCEEFF"/>
          </w:tcPr>
          <w:p>
            <w:pPr>
              <w:spacing w:after="0"/>
              <w:rPr>
                <w:sz w:val="15"/>
                <w:szCs w:val="15"/>
                <w:color w:val="auto"/>
              </w:rPr>
            </w:pPr>
          </w:p>
        </w:tc>
        <w:tc>
          <w:tcPr>
            <w:tcW w:w="620" w:type="dxa"/>
            <w:vAlign w:val="bottom"/>
            <w:tcBorders>
              <w:bottom w:val="single" w:sz="8" w:color="CCEEFF"/>
              <w:right w:val="single" w:sz="8" w:color="CCEEFF"/>
            </w:tcBorders>
            <w:gridSpan w:val="3"/>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POS AM</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333-273820</w:t>
            </w:r>
          </w:p>
        </w:tc>
        <w:tc>
          <w:tcPr>
            <w:tcW w:w="7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10.41</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2024-07-19</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10.51#</w:t>
            </w:r>
          </w:p>
        </w:tc>
        <w:tc>
          <w:tcPr>
            <w:tcW w:w="6720" w:type="dxa"/>
            <w:vAlign w:val="bottom"/>
            <w:gridSpan w:val="29"/>
          </w:tcPr>
          <w:p>
            <w:pPr>
              <w:spacing w:after="0" w:line="148" w:lineRule="exact"/>
              <w:rPr>
                <w:rFonts w:ascii="Times New Roman" w:cs="Times New Roman" w:eastAsia="Times New Roman" w:hAnsi="Times New Roman"/>
                <w:sz w:val="15"/>
                <w:szCs w:val="15"/>
                <w:color w:val="0000EE"/>
              </w:rPr>
            </w:pPr>
            <w:hyperlink r:id="rId441">
              <w:r>
                <w:rPr>
                  <w:rFonts w:ascii="Times New Roman" w:cs="Times New Roman" w:eastAsia="Times New Roman" w:hAnsi="Times New Roman"/>
                  <w:sz w:val="15"/>
                  <w:szCs w:val="15"/>
                  <w:color w:val="0000EE"/>
                </w:rPr>
                <w:t>Form of Employment Extension Agreement</w:t>
              </w:r>
            </w:hyperlink>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2024-07-5</w:t>
            </w:r>
          </w:p>
        </w:tc>
      </w:tr>
      <w:tr>
        <w:trPr>
          <w:trHeight w:val="20"/>
        </w:trPr>
        <w:tc>
          <w:tcPr>
            <w:tcW w:w="10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1"/>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10.52</w:t>
            </w:r>
          </w:p>
        </w:tc>
        <w:tc>
          <w:tcPr>
            <w:tcW w:w="1740" w:type="dxa"/>
            <w:vAlign w:val="bottom"/>
            <w:tcBorders>
              <w:bottom w:val="single" w:sz="8" w:color="CCEEFF"/>
              <w:right w:val="single" w:sz="8" w:color="CCEEFF"/>
            </w:tcBorders>
            <w:gridSpan w:val="7"/>
            <w:shd w:val="clear" w:color="auto" w:fill="CCEEFF"/>
          </w:tcPr>
          <w:p>
            <w:pPr>
              <w:spacing w:after="0"/>
              <w:rPr>
                <w:rFonts w:ascii="Times New Roman" w:cs="Times New Roman" w:eastAsia="Times New Roman" w:hAnsi="Times New Roman"/>
                <w:sz w:val="15"/>
                <w:szCs w:val="15"/>
                <w:color w:val="0000EE"/>
              </w:rPr>
            </w:pPr>
            <w:hyperlink r:id="rId442">
              <w:r>
                <w:rPr>
                  <w:rFonts w:ascii="Times New Roman" w:cs="Times New Roman" w:eastAsia="Times New Roman" w:hAnsi="Times New Roman"/>
                  <w:sz w:val="15"/>
                  <w:szCs w:val="15"/>
                  <w:color w:val="0000EE"/>
                </w:rPr>
                <w:t>Controlled Equity Offering</w:t>
              </w:r>
            </w:hyperlink>
          </w:p>
        </w:tc>
        <w:tc>
          <w:tcPr>
            <w:tcW w:w="160" w:type="dxa"/>
            <w:vAlign w:val="bottom"/>
            <w:tcBorders>
              <w:bottom w:val="single" w:sz="8" w:color="0000EE"/>
            </w:tcBorders>
            <w:shd w:val="clear" w:color="auto" w:fill="CCEEFF"/>
          </w:tcPr>
          <w:p>
            <w:pPr>
              <w:spacing w:after="0" w:line="119" w:lineRule="exact"/>
              <w:rPr>
                <w:rFonts w:ascii="Times New Roman" w:cs="Times New Roman" w:eastAsia="Times New Roman" w:hAnsi="Times New Roman"/>
                <w:sz w:val="13"/>
                <w:szCs w:val="13"/>
                <w:color w:val="0000EE"/>
                <w:w w:val="74"/>
              </w:rPr>
            </w:pPr>
            <w:hyperlink r:id="rId442">
              <w:r>
                <w:rPr>
                  <w:rFonts w:ascii="Times New Roman" w:cs="Times New Roman" w:eastAsia="Times New Roman" w:hAnsi="Times New Roman"/>
                  <w:sz w:val="13"/>
                  <w:szCs w:val="13"/>
                  <w:color w:val="0000EE"/>
                  <w:w w:val="74"/>
                </w:rPr>
                <w:t>SM</w:t>
              </w:r>
            </w:hyperlink>
          </w:p>
        </w:tc>
        <w:tc>
          <w:tcPr>
            <w:tcW w:w="4820" w:type="dxa"/>
            <w:vAlign w:val="bottom"/>
            <w:tcBorders>
              <w:bottom w:val="single" w:sz="8" w:color="CCEEFF"/>
              <w:right w:val="single" w:sz="8" w:color="CCEEFF"/>
            </w:tcBorders>
            <w:gridSpan w:val="21"/>
            <w:shd w:val="clear" w:color="auto" w:fill="CCEEFF"/>
          </w:tcPr>
          <w:p>
            <w:pPr>
              <w:ind w:left="80"/>
              <w:spacing w:after="0"/>
              <w:rPr>
                <w:rFonts w:ascii="Times New Roman" w:cs="Times New Roman" w:eastAsia="Times New Roman" w:hAnsi="Times New Roman"/>
                <w:sz w:val="15"/>
                <w:szCs w:val="15"/>
                <w:color w:val="0000EE"/>
              </w:rPr>
            </w:pPr>
            <w:hyperlink r:id="rId442">
              <w:r>
                <w:rPr>
                  <w:rFonts w:ascii="Times New Roman" w:cs="Times New Roman" w:eastAsia="Times New Roman" w:hAnsi="Times New Roman"/>
                  <w:sz w:val="15"/>
                  <w:szCs w:val="15"/>
                  <w:color w:val="0000EE"/>
                </w:rPr>
                <w:t>Sales Agreement, dated December 19, 2024, by and between Complete</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S-3</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333-283948</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2024-12-20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0000EE"/>
          </w:tcPr>
          <w:p>
            <w:pPr>
              <w:spacing w:after="0" w:line="20" w:lineRule="exact"/>
              <w:rPr>
                <w:sz w:val="1"/>
                <w:szCs w:val="1"/>
                <w:color w:val="auto"/>
              </w:rPr>
            </w:pPr>
          </w:p>
        </w:tc>
        <w:tc>
          <w:tcPr>
            <w:tcW w:w="440" w:type="dxa"/>
            <w:vAlign w:val="bottom"/>
            <w:tcBorders>
              <w:top w:val="single" w:sz="8" w:color="CCEEFF"/>
            </w:tcBorders>
            <w:shd w:val="clear" w:color="auto" w:fill="0000EE"/>
          </w:tcPr>
          <w:p>
            <w:pPr>
              <w:spacing w:after="0" w:line="20" w:lineRule="exact"/>
              <w:rPr>
                <w:sz w:val="1"/>
                <w:szCs w:val="1"/>
                <w:color w:val="auto"/>
              </w:rPr>
            </w:pPr>
          </w:p>
        </w:tc>
        <w:tc>
          <w:tcPr>
            <w:tcW w:w="200" w:type="dxa"/>
            <w:vAlign w:val="bottom"/>
            <w:tcBorders>
              <w:top w:val="single" w:sz="8" w:color="CCEEFF"/>
            </w:tcBorders>
            <w:shd w:val="clear" w:color="auto" w:fill="0000EE"/>
          </w:tcPr>
          <w:p>
            <w:pPr>
              <w:spacing w:after="0" w:line="20" w:lineRule="exact"/>
              <w:rPr>
                <w:sz w:val="1"/>
                <w:szCs w:val="1"/>
                <w:color w:val="auto"/>
              </w:rPr>
            </w:pPr>
          </w:p>
        </w:tc>
        <w:tc>
          <w:tcPr>
            <w:tcW w:w="40" w:type="dxa"/>
            <w:vAlign w:val="bottom"/>
            <w:tcBorders>
              <w:top w:val="single" w:sz="8" w:color="CCEEFF"/>
            </w:tcBorders>
            <w:shd w:val="clear" w:color="auto" w:fill="0000EE"/>
          </w:tcPr>
          <w:p>
            <w:pPr>
              <w:spacing w:after="0" w:line="20" w:lineRule="exact"/>
              <w:rPr>
                <w:sz w:val="1"/>
                <w:szCs w:val="1"/>
                <w:color w:val="auto"/>
              </w:rPr>
            </w:pPr>
          </w:p>
        </w:tc>
        <w:tc>
          <w:tcPr>
            <w:tcW w:w="20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260" w:type="dxa"/>
            <w:vAlign w:val="bottom"/>
            <w:tcBorders>
              <w:top w:val="single" w:sz="8" w:color="CCEEFF"/>
            </w:tcBorders>
            <w:shd w:val="clear" w:color="auto" w:fill="0000EE"/>
          </w:tcPr>
          <w:p>
            <w:pPr>
              <w:spacing w:after="0" w:line="20" w:lineRule="exact"/>
              <w:rPr>
                <w:sz w:val="1"/>
                <w:szCs w:val="1"/>
                <w:color w:val="auto"/>
              </w:rPr>
            </w:pPr>
          </w:p>
        </w:tc>
        <w:tc>
          <w:tcPr>
            <w:tcW w:w="6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EE"/>
            </w:tcBorders>
            <w:gridSpan w:val="2"/>
            <w:shd w:val="clear" w:color="auto" w:fill="0000EE"/>
          </w:tcPr>
          <w:p>
            <w:pPr>
              <w:spacing w:after="0" w:line="20" w:lineRule="exact"/>
              <w:rPr>
                <w:sz w:val="1"/>
                <w:szCs w:val="1"/>
                <w:color w:val="auto"/>
              </w:rPr>
            </w:pPr>
          </w:p>
        </w:tc>
        <w:tc>
          <w:tcPr>
            <w:tcW w:w="180" w:type="dxa"/>
            <w:vAlign w:val="bottom"/>
            <w:tcBorders>
              <w:top w:val="single" w:sz="8" w:color="CCEEFF"/>
            </w:tcBorders>
            <w:shd w:val="clear" w:color="auto" w:fill="0000EE"/>
          </w:tcPr>
          <w:p>
            <w:pPr>
              <w:spacing w:after="0" w:line="20" w:lineRule="exact"/>
              <w:rPr>
                <w:sz w:val="1"/>
                <w:szCs w:val="1"/>
                <w:color w:val="auto"/>
              </w:rPr>
            </w:pPr>
          </w:p>
        </w:tc>
        <w:tc>
          <w:tcPr>
            <w:tcW w:w="100" w:type="dxa"/>
            <w:vAlign w:val="bottom"/>
            <w:tcBorders>
              <w:top w:val="single" w:sz="8" w:color="CCEEFF"/>
            </w:tcBorders>
            <w:shd w:val="clear" w:color="auto" w:fill="0000EE"/>
          </w:tcPr>
          <w:p>
            <w:pPr>
              <w:spacing w:after="0" w:line="20" w:lineRule="exact"/>
              <w:rPr>
                <w:sz w:val="1"/>
                <w:szCs w:val="1"/>
                <w:color w:val="auto"/>
              </w:rPr>
            </w:pPr>
          </w:p>
        </w:tc>
        <w:tc>
          <w:tcPr>
            <w:tcW w:w="220" w:type="dxa"/>
            <w:vAlign w:val="bottom"/>
            <w:tcBorders>
              <w:top w:val="single" w:sz="8" w:color="CCEEFF"/>
            </w:tcBorders>
            <w:gridSpan w:val="2"/>
            <w:shd w:val="clear" w:color="auto" w:fill="0000EE"/>
          </w:tcPr>
          <w:p>
            <w:pPr>
              <w:spacing w:after="0" w:line="20" w:lineRule="exact"/>
              <w:rPr>
                <w:sz w:val="1"/>
                <w:szCs w:val="1"/>
                <w:color w:val="auto"/>
              </w:rPr>
            </w:pPr>
          </w:p>
        </w:tc>
        <w:tc>
          <w:tcPr>
            <w:tcW w:w="280" w:type="dxa"/>
            <w:vAlign w:val="bottom"/>
            <w:tcBorders>
              <w:top w:val="single" w:sz="8" w:color="CCEEFF"/>
            </w:tcBorders>
            <w:gridSpan w:val="2"/>
            <w:shd w:val="clear" w:color="auto" w:fill="0000EE"/>
          </w:tcPr>
          <w:p>
            <w:pPr>
              <w:spacing w:after="0" w:line="20" w:lineRule="exact"/>
              <w:rPr>
                <w:sz w:val="1"/>
                <w:szCs w:val="1"/>
                <w:color w:val="auto"/>
              </w:rPr>
            </w:pPr>
          </w:p>
        </w:tc>
        <w:tc>
          <w:tcPr>
            <w:tcW w:w="140" w:type="dxa"/>
            <w:vAlign w:val="bottom"/>
            <w:tcBorders>
              <w:top w:val="single" w:sz="8" w:color="CCEEFF"/>
            </w:tcBorders>
            <w:shd w:val="clear" w:color="auto" w:fill="0000EE"/>
          </w:tcPr>
          <w:p>
            <w:pPr>
              <w:spacing w:after="0" w:line="20" w:lineRule="exact"/>
              <w:rPr>
                <w:sz w:val="1"/>
                <w:szCs w:val="1"/>
                <w:color w:val="auto"/>
              </w:rPr>
            </w:pPr>
          </w:p>
        </w:tc>
        <w:tc>
          <w:tcPr>
            <w:tcW w:w="620" w:type="dxa"/>
            <w:vAlign w:val="bottom"/>
            <w:tcBorders>
              <w:top w:val="single" w:sz="8" w:color="CCEEFF"/>
            </w:tcBorders>
            <w:shd w:val="clear" w:color="auto" w:fill="0000EE"/>
          </w:tcPr>
          <w:p>
            <w:pPr>
              <w:spacing w:after="0" w:line="20" w:lineRule="exact"/>
              <w:rPr>
                <w:sz w:val="1"/>
                <w:szCs w:val="1"/>
                <w:color w:val="auto"/>
              </w:rPr>
            </w:pPr>
          </w:p>
        </w:tc>
        <w:tc>
          <w:tcPr>
            <w:tcW w:w="60" w:type="dxa"/>
            <w:vAlign w:val="bottom"/>
            <w:tcBorders>
              <w:top w:val="single" w:sz="8" w:color="CCEEFF"/>
            </w:tcBorders>
            <w:shd w:val="clear" w:color="auto" w:fill="0000EE"/>
          </w:tcPr>
          <w:p>
            <w:pPr>
              <w:spacing w:after="0" w:line="20" w:lineRule="exact"/>
              <w:rPr>
                <w:sz w:val="1"/>
                <w:szCs w:val="1"/>
                <w:color w:val="auto"/>
              </w:rPr>
            </w:pPr>
          </w:p>
        </w:tc>
        <w:tc>
          <w:tcPr>
            <w:tcW w:w="100" w:type="dxa"/>
            <w:vAlign w:val="bottom"/>
            <w:tcBorders>
              <w:top w:val="single" w:sz="8" w:color="CCEEFF"/>
            </w:tcBorders>
            <w:shd w:val="clear" w:color="auto" w:fill="0000EE"/>
          </w:tcPr>
          <w:p>
            <w:pPr>
              <w:spacing w:after="0" w:line="20" w:lineRule="exact"/>
              <w:rPr>
                <w:sz w:val="1"/>
                <w:szCs w:val="1"/>
                <w:color w:val="auto"/>
              </w:rPr>
            </w:pPr>
          </w:p>
        </w:tc>
        <w:tc>
          <w:tcPr>
            <w:tcW w:w="100" w:type="dxa"/>
            <w:vAlign w:val="bottom"/>
            <w:tcBorders>
              <w:top w:val="single" w:sz="8" w:color="CCEEFF"/>
            </w:tcBorders>
            <w:shd w:val="clear" w:color="auto" w:fill="0000EE"/>
          </w:tcPr>
          <w:p>
            <w:pPr>
              <w:spacing w:after="0" w:line="20" w:lineRule="exact"/>
              <w:rPr>
                <w:sz w:val="1"/>
                <w:szCs w:val="1"/>
                <w:color w:val="auto"/>
              </w:rPr>
            </w:pPr>
          </w:p>
        </w:tc>
        <w:tc>
          <w:tcPr>
            <w:tcW w:w="38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620" w:type="dxa"/>
            <w:vAlign w:val="bottom"/>
            <w:tcBorders>
              <w:top w:val="single" w:sz="8" w:color="CCEEFF"/>
            </w:tcBorders>
            <w:gridSpan w:val="2"/>
            <w:shd w:val="clear" w:color="auto" w:fill="0000EE"/>
          </w:tcPr>
          <w:p>
            <w:pPr>
              <w:spacing w:after="0" w:line="20" w:lineRule="exact"/>
              <w:rPr>
                <w:sz w:val="1"/>
                <w:szCs w:val="1"/>
                <w:color w:val="auto"/>
              </w:rPr>
            </w:pPr>
          </w:p>
        </w:tc>
        <w:tc>
          <w:tcPr>
            <w:tcW w:w="140" w:type="dxa"/>
            <w:vAlign w:val="bottom"/>
            <w:tcBorders>
              <w:top w:val="single" w:sz="8" w:color="CCEEFF"/>
            </w:tcBorders>
            <w:shd w:val="clear" w:color="auto" w:fill="0000EE"/>
          </w:tcPr>
          <w:p>
            <w:pPr>
              <w:spacing w:after="0" w:line="20" w:lineRule="exact"/>
              <w:rPr>
                <w:sz w:val="1"/>
                <w:szCs w:val="1"/>
                <w:color w:val="auto"/>
              </w:rPr>
            </w:pPr>
          </w:p>
        </w:tc>
        <w:tc>
          <w:tcPr>
            <w:tcW w:w="1260" w:type="dxa"/>
            <w:vAlign w:val="bottom"/>
            <w:tcBorders>
              <w:top w:val="single" w:sz="8" w:color="CCEEFF"/>
            </w:tcBorders>
            <w:gridSpan w:val="2"/>
            <w:shd w:val="clear" w:color="auto" w:fill="0000EE"/>
          </w:tcPr>
          <w:p>
            <w:pPr>
              <w:spacing w:after="0" w:line="20" w:lineRule="exact"/>
              <w:rPr>
                <w:sz w:val="1"/>
                <w:szCs w:val="1"/>
                <w:color w:val="auto"/>
              </w:rPr>
            </w:pPr>
          </w:p>
        </w:tc>
        <w:tc>
          <w:tcPr>
            <w:tcW w:w="220" w:type="dxa"/>
            <w:vAlign w:val="bottom"/>
            <w:tcBorders>
              <w:top w:val="single" w:sz="8" w:color="CCEEFF"/>
            </w:tcBorders>
            <w:shd w:val="clear" w:color="auto" w:fill="0000EE"/>
          </w:tcPr>
          <w:p>
            <w:pPr>
              <w:spacing w:after="0" w:line="20" w:lineRule="exact"/>
              <w:rPr>
                <w:sz w:val="1"/>
                <w:szCs w:val="1"/>
                <w:color w:val="auto"/>
              </w:rPr>
            </w:pPr>
          </w:p>
        </w:tc>
        <w:tc>
          <w:tcPr>
            <w:tcW w:w="8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020" w:type="dxa"/>
            <w:vAlign w:val="bottom"/>
            <w:shd w:val="clear" w:color="auto" w:fill="CCEEFF"/>
          </w:tcPr>
          <w:p>
            <w:pPr>
              <w:spacing w:after="0"/>
              <w:rPr>
                <w:sz w:val="14"/>
                <w:szCs w:val="14"/>
                <w:color w:val="auto"/>
              </w:rPr>
            </w:pPr>
          </w:p>
        </w:tc>
        <w:tc>
          <w:tcPr>
            <w:tcW w:w="6720" w:type="dxa"/>
            <w:vAlign w:val="bottom"/>
            <w:tcBorders>
              <w:right w:val="single" w:sz="8" w:color="CCEEFF"/>
            </w:tcBorders>
            <w:gridSpan w:val="29"/>
            <w:shd w:val="clear" w:color="auto" w:fill="CCEEFF"/>
          </w:tcPr>
          <w:p>
            <w:pPr>
              <w:spacing w:after="0" w:line="162" w:lineRule="exact"/>
              <w:rPr>
                <w:rFonts w:ascii="Times New Roman" w:cs="Times New Roman" w:eastAsia="Times New Roman" w:hAnsi="Times New Roman"/>
                <w:sz w:val="15"/>
                <w:szCs w:val="15"/>
                <w:color w:val="0000EE"/>
              </w:rPr>
            </w:pPr>
            <w:hyperlink r:id="rId442">
              <w:r>
                <w:rPr>
                  <w:rFonts w:ascii="Times New Roman" w:cs="Times New Roman" w:eastAsia="Times New Roman" w:hAnsi="Times New Roman"/>
                  <w:sz w:val="15"/>
                  <w:szCs w:val="15"/>
                  <w:color w:val="0000EE"/>
                </w:rPr>
                <w:t>Solaria, Inc. and Cantor Fitzgerald &amp; Co.</w:t>
              </w:r>
            </w:hyperlink>
          </w:p>
        </w:tc>
        <w:tc>
          <w:tcPr>
            <w:tcW w:w="7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34"/>
        </w:trPr>
        <w:tc>
          <w:tcPr>
            <w:tcW w:w="1020" w:type="dxa"/>
            <w:vAlign w:val="bottom"/>
            <w:shd w:val="clear" w:color="auto" w:fill="CCEEFF"/>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10.53</w:t>
            </w:r>
          </w:p>
        </w:tc>
        <w:tc>
          <w:tcPr>
            <w:tcW w:w="3000" w:type="dxa"/>
            <w:vAlign w:val="bottom"/>
            <w:tcBorders>
              <w:bottom w:val="single" w:sz="8" w:color="0000EE"/>
            </w:tcBorders>
            <w:gridSpan w:val="16"/>
          </w:tcPr>
          <w:p>
            <w:pPr>
              <w:spacing w:after="0" w:line="148" w:lineRule="exact"/>
              <w:rPr>
                <w:rFonts w:ascii="Times New Roman" w:cs="Times New Roman" w:eastAsia="Times New Roman" w:hAnsi="Times New Roman"/>
                <w:sz w:val="15"/>
                <w:szCs w:val="15"/>
                <w:color w:val="0000EE"/>
              </w:rPr>
            </w:pPr>
            <w:hyperlink r:id="rId383">
              <w:r>
                <w:rPr>
                  <w:rFonts w:ascii="Times New Roman" w:cs="Times New Roman" w:eastAsia="Times New Roman" w:hAnsi="Times New Roman"/>
                  <w:sz w:val="15"/>
                  <w:szCs w:val="15"/>
                  <w:color w:val="0000EE"/>
                </w:rPr>
                <w:t>Convertible Promissory Note dated July 10, 2025</w:t>
              </w:r>
            </w:hyperlink>
          </w:p>
        </w:tc>
        <w:tc>
          <w:tcPr>
            <w:tcW w:w="3720" w:type="dxa"/>
            <w:vAlign w:val="bottom"/>
            <w:gridSpan w:val="13"/>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4.1</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2025-07-16</w:t>
            </w: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10.54</w:t>
            </w:r>
          </w:p>
        </w:tc>
        <w:tc>
          <w:tcPr>
            <w:tcW w:w="4020" w:type="dxa"/>
            <w:vAlign w:val="bottom"/>
            <w:tcBorders>
              <w:bottom w:val="single" w:sz="8" w:color="0000EE"/>
            </w:tcBorders>
            <w:gridSpan w:val="21"/>
            <w:shd w:val="clear" w:color="auto" w:fill="CCEEFF"/>
          </w:tcPr>
          <w:p>
            <w:pPr>
              <w:spacing w:after="0" w:line="162" w:lineRule="exact"/>
              <w:rPr>
                <w:rFonts w:ascii="Times New Roman" w:cs="Times New Roman" w:eastAsia="Times New Roman" w:hAnsi="Times New Roman"/>
                <w:sz w:val="15"/>
                <w:szCs w:val="15"/>
                <w:color w:val="0000EE"/>
              </w:rPr>
            </w:pPr>
            <w:hyperlink r:id="rId443">
              <w:r>
                <w:rPr>
                  <w:rFonts w:ascii="Times New Roman" w:cs="Times New Roman" w:eastAsia="Times New Roman" w:hAnsi="Times New Roman"/>
                  <w:sz w:val="15"/>
                  <w:szCs w:val="15"/>
                  <w:color w:val="0000EE"/>
                </w:rPr>
                <w:t>Form of Amendment to OTC Equity Prepaid Forward Transaction</w:t>
              </w:r>
            </w:hyperlink>
          </w:p>
        </w:tc>
        <w:tc>
          <w:tcPr>
            <w:tcW w:w="2700" w:type="dxa"/>
            <w:vAlign w:val="bottom"/>
            <w:tcBorders>
              <w:bottom w:val="single" w:sz="8" w:color="CCEEFF"/>
              <w:right w:val="single" w:sz="8" w:color="CCEEFF"/>
            </w:tcBorders>
            <w:gridSpan w:val="8"/>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2025-07-21</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10.55</w:t>
            </w:r>
          </w:p>
        </w:tc>
        <w:tc>
          <w:tcPr>
            <w:tcW w:w="6720" w:type="dxa"/>
            <w:vAlign w:val="bottom"/>
            <w:gridSpan w:val="29"/>
          </w:tcPr>
          <w:p>
            <w:pPr>
              <w:spacing w:after="0" w:line="148" w:lineRule="exact"/>
              <w:rPr>
                <w:rFonts w:ascii="Times New Roman" w:cs="Times New Roman" w:eastAsia="Times New Roman" w:hAnsi="Times New Roman"/>
                <w:sz w:val="15"/>
                <w:szCs w:val="15"/>
                <w:color w:val="0000EE"/>
              </w:rPr>
            </w:pPr>
            <w:hyperlink r:id="rId444">
              <w:r>
                <w:rPr>
                  <w:rFonts w:ascii="Times New Roman" w:cs="Times New Roman" w:eastAsia="Times New Roman" w:hAnsi="Times New Roman"/>
                  <w:sz w:val="15"/>
                  <w:szCs w:val="15"/>
                  <w:color w:val="0000EE"/>
                </w:rPr>
                <w:t>Fourth Amendment to OTC Equity Prepaid Forward Transaction</w:t>
              </w:r>
            </w:hyperlink>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10.2</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2025-07-21</w:t>
            </w: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10.56</w:t>
            </w:r>
          </w:p>
        </w:tc>
        <w:tc>
          <w:tcPr>
            <w:tcW w:w="3820" w:type="dxa"/>
            <w:vAlign w:val="bottom"/>
            <w:tcBorders>
              <w:top w:val="single" w:sz="8" w:color="0000EE"/>
              <w:bottom w:val="single" w:sz="8" w:color="0000EE"/>
            </w:tcBorders>
            <w:gridSpan w:val="19"/>
            <w:shd w:val="clear" w:color="auto" w:fill="CCEEFF"/>
          </w:tcPr>
          <w:p>
            <w:pPr>
              <w:spacing w:after="0" w:line="162" w:lineRule="exact"/>
              <w:rPr>
                <w:rFonts w:ascii="Times New Roman" w:cs="Times New Roman" w:eastAsia="Times New Roman" w:hAnsi="Times New Roman"/>
                <w:sz w:val="15"/>
                <w:szCs w:val="15"/>
                <w:color w:val="0000EE"/>
              </w:rPr>
            </w:pPr>
            <w:hyperlink r:id="rId445">
              <w:r>
                <w:rPr>
                  <w:rFonts w:ascii="Times New Roman" w:cs="Times New Roman" w:eastAsia="Times New Roman" w:hAnsi="Times New Roman"/>
                  <w:sz w:val="15"/>
                  <w:szCs w:val="15"/>
                  <w:color w:val="0000EE"/>
                </w:rPr>
                <w:t>Fifth Amendment to OTC Equity Prepaid Forward Transaction</w:t>
              </w:r>
            </w:hyperlink>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2800" w:type="dxa"/>
            <w:vAlign w:val="bottom"/>
            <w:tcBorders>
              <w:bottom w:val="single" w:sz="8" w:color="CCEEFF"/>
              <w:right w:val="single" w:sz="8" w:color="CCEEFF"/>
            </w:tcBorders>
            <w:gridSpan w:val="9"/>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2025-08-04</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10.57</w:t>
            </w:r>
          </w:p>
        </w:tc>
        <w:tc>
          <w:tcPr>
            <w:tcW w:w="6720" w:type="dxa"/>
            <w:vAlign w:val="bottom"/>
            <w:gridSpan w:val="29"/>
          </w:tcPr>
          <w:p>
            <w:pPr>
              <w:spacing w:after="0" w:line="148" w:lineRule="exact"/>
              <w:rPr>
                <w:rFonts w:ascii="Times New Roman" w:cs="Times New Roman" w:eastAsia="Times New Roman" w:hAnsi="Times New Roman"/>
                <w:sz w:val="15"/>
                <w:szCs w:val="15"/>
                <w:color w:val="0000EE"/>
              </w:rPr>
            </w:pPr>
            <w:hyperlink r:id="rId446">
              <w:r>
                <w:rPr>
                  <w:rFonts w:ascii="Times New Roman" w:cs="Times New Roman" w:eastAsia="Times New Roman" w:hAnsi="Times New Roman"/>
                  <w:sz w:val="15"/>
                  <w:szCs w:val="15"/>
                  <w:color w:val="0000EE"/>
                </w:rPr>
                <w:t>Membership Interest Purchase agreement, dated September 21, 2025, by and among the Company, Complete</w:t>
              </w:r>
            </w:hyperlink>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2025-09-22</w:t>
            </w:r>
          </w:p>
        </w:tc>
      </w:tr>
      <w:tr>
        <w:trPr>
          <w:trHeight w:val="162"/>
        </w:trPr>
        <w:tc>
          <w:tcPr>
            <w:tcW w:w="1020" w:type="dxa"/>
            <w:vAlign w:val="bottom"/>
          </w:tcPr>
          <w:p>
            <w:pPr>
              <w:spacing w:after="0"/>
              <w:rPr>
                <w:sz w:val="14"/>
                <w:szCs w:val="14"/>
                <w:color w:val="auto"/>
              </w:rPr>
            </w:pPr>
          </w:p>
        </w:tc>
        <w:tc>
          <w:tcPr>
            <w:tcW w:w="6640" w:type="dxa"/>
            <w:vAlign w:val="bottom"/>
            <w:tcBorders>
              <w:top w:val="single" w:sz="8" w:color="0000EE"/>
            </w:tcBorders>
            <w:gridSpan w:val="28"/>
          </w:tcPr>
          <w:p>
            <w:pPr>
              <w:spacing w:after="0" w:line="162" w:lineRule="exact"/>
              <w:rPr>
                <w:rFonts w:ascii="Times New Roman" w:cs="Times New Roman" w:eastAsia="Times New Roman" w:hAnsi="Times New Roman"/>
                <w:sz w:val="15"/>
                <w:szCs w:val="15"/>
                <w:color w:val="0000EE"/>
              </w:rPr>
            </w:pPr>
            <w:hyperlink r:id="rId446">
              <w:r>
                <w:rPr>
                  <w:rFonts w:ascii="Times New Roman" w:cs="Times New Roman" w:eastAsia="Times New Roman" w:hAnsi="Times New Roman"/>
                  <w:sz w:val="15"/>
                  <w:szCs w:val="15"/>
                  <w:color w:val="0000EE"/>
                </w:rPr>
                <w:t>Solar, Inc., Sunder Energy LLC and Chicken Parm Pizza LLC</w:t>
              </w:r>
            </w:hyperlink>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10.58</w:t>
            </w:r>
          </w:p>
        </w:tc>
        <w:tc>
          <w:tcPr>
            <w:tcW w:w="1220" w:type="dxa"/>
            <w:vAlign w:val="bottom"/>
            <w:tcBorders>
              <w:top w:val="single" w:sz="8" w:color="0000EE"/>
              <w:bottom w:val="single" w:sz="8" w:color="0000EE"/>
            </w:tcBorders>
            <w:gridSpan w:val="4"/>
            <w:shd w:val="clear" w:color="auto" w:fill="CCEEFF"/>
          </w:tcPr>
          <w:p>
            <w:pPr>
              <w:spacing w:after="0" w:line="162" w:lineRule="exact"/>
              <w:rPr>
                <w:rFonts w:ascii="Times New Roman" w:cs="Times New Roman" w:eastAsia="Times New Roman" w:hAnsi="Times New Roman"/>
                <w:sz w:val="15"/>
                <w:szCs w:val="15"/>
                <w:color w:val="0000EE"/>
                <w:w w:val="99"/>
              </w:rPr>
            </w:pPr>
            <w:hyperlink r:id="rId380">
              <w:r>
                <w:rPr>
                  <w:rFonts w:ascii="Times New Roman" w:cs="Times New Roman" w:eastAsia="Times New Roman" w:hAnsi="Times New Roman"/>
                  <w:sz w:val="15"/>
                  <w:szCs w:val="15"/>
                  <w:color w:val="0000EE"/>
                  <w:w w:val="99"/>
                </w:rPr>
                <w:t>Form of Seller Note</w:t>
              </w:r>
            </w:hyperlink>
          </w:p>
        </w:tc>
        <w:tc>
          <w:tcPr>
            <w:tcW w:w="2540" w:type="dxa"/>
            <w:vAlign w:val="bottom"/>
            <w:tcBorders>
              <w:top w:val="single" w:sz="8" w:color="0000EE"/>
              <w:bottom w:val="single" w:sz="8" w:color="CCEEFF"/>
            </w:tcBorders>
            <w:gridSpan w:val="14"/>
            <w:shd w:val="clear" w:color="auto" w:fill="CCEEFF"/>
          </w:tcPr>
          <w:p>
            <w:pPr>
              <w:spacing w:after="0"/>
              <w:rPr>
                <w:sz w:val="15"/>
                <w:szCs w:val="15"/>
                <w:color w:val="auto"/>
              </w:rPr>
            </w:pPr>
          </w:p>
        </w:tc>
        <w:tc>
          <w:tcPr>
            <w:tcW w:w="2960" w:type="dxa"/>
            <w:vAlign w:val="bottom"/>
            <w:tcBorders>
              <w:bottom w:val="single" w:sz="8" w:color="CCEEFF"/>
              <w:right w:val="single" w:sz="8" w:color="CCEEFF"/>
            </w:tcBorders>
            <w:gridSpan w:val="11"/>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10.2</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2025-09-22</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10.59</w:t>
            </w:r>
          </w:p>
        </w:tc>
        <w:tc>
          <w:tcPr>
            <w:tcW w:w="6720" w:type="dxa"/>
            <w:vAlign w:val="bottom"/>
            <w:gridSpan w:val="29"/>
          </w:tcPr>
          <w:p>
            <w:pPr>
              <w:spacing w:after="0" w:line="148" w:lineRule="exact"/>
              <w:rPr>
                <w:rFonts w:ascii="Times New Roman" w:cs="Times New Roman" w:eastAsia="Times New Roman" w:hAnsi="Times New Roman"/>
                <w:sz w:val="15"/>
                <w:szCs w:val="15"/>
                <w:color w:val="0000EE"/>
              </w:rPr>
            </w:pPr>
            <w:hyperlink r:id="rId447">
              <w:r>
                <w:rPr>
                  <w:rFonts w:ascii="Times New Roman" w:cs="Times New Roman" w:eastAsia="Times New Roman" w:hAnsi="Times New Roman"/>
                  <w:sz w:val="15"/>
                  <w:szCs w:val="15"/>
                  <w:color w:val="0000EE"/>
                </w:rPr>
                <w:t>Form of September 2025 Note Purchase Agreement</w:t>
              </w:r>
            </w:hyperlink>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10.3</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2025-09-22</w:t>
            </w:r>
          </w:p>
        </w:tc>
      </w:tr>
      <w:tr>
        <w:trPr>
          <w:trHeight w:val="20"/>
        </w:trPr>
        <w:tc>
          <w:tcPr>
            <w:tcW w:w="10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2"/>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10.60</w:t>
            </w:r>
          </w:p>
        </w:tc>
        <w:tc>
          <w:tcPr>
            <w:tcW w:w="6720" w:type="dxa"/>
            <w:vAlign w:val="bottom"/>
            <w:tcBorders>
              <w:bottom w:val="single" w:sz="8" w:color="0000EE"/>
              <w:right w:val="single" w:sz="8" w:color="CCEEFF"/>
            </w:tcBorders>
            <w:gridSpan w:val="29"/>
            <w:shd w:val="clear" w:color="auto" w:fill="CCEEFF"/>
          </w:tcPr>
          <w:p>
            <w:pPr>
              <w:spacing w:after="0" w:line="162" w:lineRule="exact"/>
              <w:rPr>
                <w:rFonts w:ascii="Times New Roman" w:cs="Times New Roman" w:eastAsia="Times New Roman" w:hAnsi="Times New Roman"/>
                <w:sz w:val="15"/>
                <w:szCs w:val="15"/>
                <w:color w:val="0000EE"/>
              </w:rPr>
            </w:pPr>
            <w:hyperlink r:id="rId448">
              <w:r>
                <w:rPr>
                  <w:rFonts w:ascii="Times New Roman" w:cs="Times New Roman" w:eastAsia="Times New Roman" w:hAnsi="Times New Roman"/>
                  <w:sz w:val="15"/>
                  <w:szCs w:val="15"/>
                  <w:color w:val="0000EE"/>
                </w:rPr>
                <w:t>Membership Interest Purchase Agreement, dated November 21, 2025, by and among SunPower Inc., Ambia</w:t>
              </w:r>
            </w:hyperlink>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2025-11-24</w:t>
            </w:r>
          </w:p>
        </w:tc>
      </w:tr>
      <w:tr>
        <w:trPr>
          <w:trHeight w:val="176"/>
        </w:trPr>
        <w:tc>
          <w:tcPr>
            <w:tcW w:w="102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0000EE"/>
            </w:tcBorders>
            <w:gridSpan w:val="11"/>
            <w:shd w:val="clear" w:color="auto" w:fill="CCEEFF"/>
          </w:tcPr>
          <w:p>
            <w:pPr>
              <w:spacing w:after="0" w:line="162" w:lineRule="exact"/>
              <w:rPr>
                <w:rFonts w:ascii="Times New Roman" w:cs="Times New Roman" w:eastAsia="Times New Roman" w:hAnsi="Times New Roman"/>
                <w:sz w:val="15"/>
                <w:szCs w:val="15"/>
                <w:color w:val="0000EE"/>
                <w:w w:val="99"/>
              </w:rPr>
            </w:pPr>
            <w:hyperlink r:id="rId448">
              <w:r>
                <w:rPr>
                  <w:rFonts w:ascii="Times New Roman" w:cs="Times New Roman" w:eastAsia="Times New Roman" w:hAnsi="Times New Roman"/>
                  <w:sz w:val="15"/>
                  <w:szCs w:val="15"/>
                  <w:color w:val="0000EE"/>
                  <w:w w:val="99"/>
                </w:rPr>
                <w:t>Energy, LLC and Ambia Holdings, Inc.</w:t>
              </w:r>
            </w:hyperlink>
          </w:p>
        </w:tc>
        <w:tc>
          <w:tcPr>
            <w:tcW w:w="4320" w:type="dxa"/>
            <w:vAlign w:val="bottom"/>
            <w:tcBorders>
              <w:bottom w:val="single" w:sz="8" w:color="CCEEFF"/>
              <w:right w:val="single" w:sz="8" w:color="CCEEFF"/>
            </w:tcBorders>
            <w:gridSpan w:val="18"/>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10.61</w:t>
            </w:r>
          </w:p>
        </w:tc>
        <w:tc>
          <w:tcPr>
            <w:tcW w:w="6720" w:type="dxa"/>
            <w:vAlign w:val="bottom"/>
            <w:gridSpan w:val="29"/>
          </w:tcPr>
          <w:p>
            <w:pPr>
              <w:spacing w:after="0" w:line="148" w:lineRule="exact"/>
              <w:rPr>
                <w:rFonts w:ascii="Times New Roman" w:cs="Times New Roman" w:eastAsia="Times New Roman" w:hAnsi="Times New Roman"/>
                <w:sz w:val="15"/>
                <w:szCs w:val="15"/>
                <w:color w:val="0000EE"/>
              </w:rPr>
            </w:pPr>
            <w:hyperlink r:id="rId449">
              <w:r>
                <w:rPr>
                  <w:rFonts w:ascii="Times New Roman" w:cs="Times New Roman" w:eastAsia="Times New Roman" w:hAnsi="Times New Roman"/>
                  <w:sz w:val="15"/>
                  <w:szCs w:val="15"/>
                  <w:color w:val="0000EE"/>
                </w:rPr>
                <w:t>Amendment No. 3 to Common Stock Purchase Agreement, dated January 11, 2026, by and between</w:t>
              </w:r>
            </w:hyperlink>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Pr>
          <w:p>
            <w:pPr>
              <w:jc w:val="right"/>
              <w:ind w:right="164"/>
              <w:spacing w:after="0" w:line="148" w:lineRule="exact"/>
              <w:rPr>
                <w:sz w:val="20"/>
                <w:szCs w:val="20"/>
                <w:color w:val="auto"/>
              </w:rPr>
            </w:pPr>
            <w:r>
              <w:rPr>
                <w:rFonts w:ascii="Times New Roman" w:cs="Times New Roman" w:eastAsia="Times New Roman" w:hAnsi="Times New Roman"/>
                <w:sz w:val="15"/>
                <w:szCs w:val="15"/>
                <w:color w:val="auto"/>
              </w:rPr>
              <w:t>10.1</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2026-01-12</w:t>
            </w:r>
          </w:p>
        </w:tc>
      </w:tr>
      <w:tr>
        <w:trPr>
          <w:trHeight w:val="162"/>
        </w:trPr>
        <w:tc>
          <w:tcPr>
            <w:tcW w:w="1020" w:type="dxa"/>
            <w:vAlign w:val="bottom"/>
          </w:tcPr>
          <w:p>
            <w:pPr>
              <w:spacing w:after="0"/>
              <w:rPr>
                <w:sz w:val="14"/>
                <w:szCs w:val="14"/>
                <w:color w:val="auto"/>
              </w:rPr>
            </w:pPr>
          </w:p>
        </w:tc>
        <w:tc>
          <w:tcPr>
            <w:tcW w:w="2720" w:type="dxa"/>
            <w:vAlign w:val="bottom"/>
            <w:tcBorders>
              <w:top w:val="single" w:sz="8" w:color="0000EE"/>
              <w:bottom w:val="single" w:sz="8" w:color="0000EE"/>
            </w:tcBorders>
            <w:gridSpan w:val="14"/>
          </w:tcPr>
          <w:p>
            <w:pPr>
              <w:spacing w:after="0" w:line="162" w:lineRule="exact"/>
              <w:rPr>
                <w:rFonts w:ascii="Times New Roman" w:cs="Times New Roman" w:eastAsia="Times New Roman" w:hAnsi="Times New Roman"/>
                <w:sz w:val="15"/>
                <w:szCs w:val="15"/>
                <w:color w:val="0000EE"/>
              </w:rPr>
            </w:pPr>
            <w:hyperlink r:id="rId449">
              <w:r>
                <w:rPr>
                  <w:rFonts w:ascii="Times New Roman" w:cs="Times New Roman" w:eastAsia="Times New Roman" w:hAnsi="Times New Roman"/>
                  <w:sz w:val="15"/>
                  <w:szCs w:val="15"/>
                  <w:color w:val="0000EE"/>
                </w:rPr>
                <w:t>SunPower Inc. and White Lion Capital, LLC</w:t>
              </w:r>
            </w:hyperlink>
          </w:p>
        </w:tc>
        <w:tc>
          <w:tcPr>
            <w:tcW w:w="3920" w:type="dxa"/>
            <w:vAlign w:val="bottom"/>
            <w:tcBorders>
              <w:top w:val="single" w:sz="8" w:color="0000EE"/>
            </w:tcBorders>
            <w:gridSpan w:val="14"/>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10.62</w:t>
            </w:r>
          </w:p>
        </w:tc>
        <w:tc>
          <w:tcPr>
            <w:tcW w:w="6720" w:type="dxa"/>
            <w:vAlign w:val="bottom"/>
            <w:tcBorders>
              <w:bottom w:val="single" w:sz="8" w:color="0000EE"/>
              <w:right w:val="single" w:sz="8" w:color="CCEEFF"/>
            </w:tcBorders>
            <w:gridSpan w:val="29"/>
            <w:shd w:val="clear" w:color="auto" w:fill="CCEEFF"/>
          </w:tcPr>
          <w:p>
            <w:pPr>
              <w:spacing w:after="0" w:line="162" w:lineRule="exact"/>
              <w:rPr>
                <w:rFonts w:ascii="Times New Roman" w:cs="Times New Roman" w:eastAsia="Times New Roman" w:hAnsi="Times New Roman"/>
                <w:sz w:val="15"/>
                <w:szCs w:val="15"/>
                <w:color w:val="0000EE"/>
              </w:rPr>
            </w:pPr>
            <w:hyperlink r:id="rId450">
              <w:r>
                <w:rPr>
                  <w:rFonts w:ascii="Times New Roman" w:cs="Times New Roman" w:eastAsia="Times New Roman" w:hAnsi="Times New Roman"/>
                  <w:sz w:val="15"/>
                  <w:szCs w:val="15"/>
                  <w:color w:val="0000EE"/>
                </w:rPr>
                <w:t>Standby Equity Purchase Agreement, dated as of January 27, 2026, by and between SunPower Inc. and YA II</w:t>
              </w:r>
            </w:hyperlink>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10.1</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2026-01-30</w:t>
            </w:r>
          </w:p>
        </w:tc>
      </w:tr>
      <w:tr>
        <w:trPr>
          <w:trHeight w:val="162"/>
        </w:trPr>
        <w:tc>
          <w:tcPr>
            <w:tcW w:w="1020" w:type="dxa"/>
            <w:vAlign w:val="bottom"/>
            <w:shd w:val="clear" w:color="auto" w:fill="CCEEFF"/>
          </w:tcPr>
          <w:p>
            <w:pPr>
              <w:spacing w:after="0"/>
              <w:rPr>
                <w:sz w:val="14"/>
                <w:szCs w:val="14"/>
                <w:color w:val="auto"/>
              </w:rPr>
            </w:pPr>
          </w:p>
        </w:tc>
        <w:tc>
          <w:tcPr>
            <w:tcW w:w="6720" w:type="dxa"/>
            <w:vAlign w:val="bottom"/>
            <w:tcBorders>
              <w:right w:val="single" w:sz="8" w:color="CCEEFF"/>
            </w:tcBorders>
            <w:gridSpan w:val="29"/>
            <w:shd w:val="clear" w:color="auto" w:fill="CCEEFF"/>
          </w:tcPr>
          <w:p>
            <w:pPr>
              <w:spacing w:after="0" w:line="162" w:lineRule="exact"/>
              <w:rPr>
                <w:rFonts w:ascii="Times New Roman" w:cs="Times New Roman" w:eastAsia="Times New Roman" w:hAnsi="Times New Roman"/>
                <w:sz w:val="15"/>
                <w:szCs w:val="15"/>
                <w:color w:val="0000EE"/>
              </w:rPr>
            </w:pPr>
            <w:hyperlink r:id="rId450">
              <w:r>
                <w:rPr>
                  <w:rFonts w:ascii="Times New Roman" w:cs="Times New Roman" w:eastAsia="Times New Roman" w:hAnsi="Times New Roman"/>
                  <w:sz w:val="15"/>
                  <w:szCs w:val="15"/>
                  <w:color w:val="0000EE"/>
                </w:rPr>
                <w:t>PN, LTD</w:t>
              </w:r>
            </w:hyperlink>
          </w:p>
        </w:tc>
        <w:tc>
          <w:tcPr>
            <w:tcW w:w="7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34"/>
        </w:trPr>
        <w:tc>
          <w:tcPr>
            <w:tcW w:w="1020" w:type="dxa"/>
            <w:vAlign w:val="bottom"/>
            <w:shd w:val="clear" w:color="auto" w:fill="CCEEFF"/>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10.63</w:t>
            </w:r>
          </w:p>
        </w:tc>
        <w:tc>
          <w:tcPr>
            <w:tcW w:w="6720" w:type="dxa"/>
            <w:vAlign w:val="bottom"/>
            <w:gridSpan w:val="29"/>
          </w:tcPr>
          <w:p>
            <w:pPr>
              <w:spacing w:after="0" w:line="148" w:lineRule="exact"/>
              <w:rPr>
                <w:rFonts w:ascii="Times New Roman" w:cs="Times New Roman" w:eastAsia="Times New Roman" w:hAnsi="Times New Roman"/>
                <w:sz w:val="15"/>
                <w:szCs w:val="15"/>
                <w:color w:val="0000EE"/>
              </w:rPr>
            </w:pPr>
            <w:hyperlink r:id="rId451">
              <w:r>
                <w:rPr>
                  <w:rFonts w:ascii="Times New Roman" w:cs="Times New Roman" w:eastAsia="Times New Roman" w:hAnsi="Times New Roman"/>
                  <w:sz w:val="15"/>
                  <w:szCs w:val="15"/>
                  <w:color w:val="0000EE"/>
                </w:rPr>
                <w:t>Convertible Promissory Note, dated as of January 27, 2026, issued to YA II PN, LTD</w:t>
              </w:r>
            </w:hyperlink>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10.2</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2026-01-30</w:t>
            </w:r>
          </w:p>
        </w:tc>
      </w:tr>
      <w:tr>
        <w:trPr>
          <w:trHeight w:val="20"/>
        </w:trPr>
        <w:tc>
          <w:tcPr>
            <w:tcW w:w="10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10.64</w:t>
            </w:r>
          </w:p>
        </w:tc>
        <w:tc>
          <w:tcPr>
            <w:tcW w:w="6720" w:type="dxa"/>
            <w:vAlign w:val="bottom"/>
            <w:tcBorders>
              <w:right w:val="single" w:sz="8" w:color="CCEEFF"/>
            </w:tcBorders>
            <w:gridSpan w:val="29"/>
            <w:shd w:val="clear" w:color="auto" w:fill="CCEEFF"/>
          </w:tcPr>
          <w:p>
            <w:pPr>
              <w:spacing w:after="0" w:line="162" w:lineRule="exact"/>
              <w:rPr>
                <w:rFonts w:ascii="Times New Roman" w:cs="Times New Roman" w:eastAsia="Times New Roman" w:hAnsi="Times New Roman"/>
                <w:sz w:val="15"/>
                <w:szCs w:val="15"/>
                <w:color w:val="0000EE"/>
              </w:rPr>
            </w:pPr>
            <w:hyperlink r:id="rId452">
              <w:r>
                <w:rPr>
                  <w:rFonts w:ascii="Times New Roman" w:cs="Times New Roman" w:eastAsia="Times New Roman" w:hAnsi="Times New Roman"/>
                  <w:sz w:val="15"/>
                  <w:szCs w:val="15"/>
                  <w:color w:val="0000EE"/>
                </w:rPr>
                <w:t>Registration Rights Agreement, dated as of January 27, 2026, between SunPower Inc. and YA II PN, LTD</w:t>
              </w:r>
            </w:hyperlink>
          </w:p>
        </w:tc>
        <w:tc>
          <w:tcPr>
            <w:tcW w:w="7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10.3</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2026-01-30</w:t>
            </w:r>
          </w:p>
        </w:tc>
      </w:tr>
      <w:tr>
        <w:trPr>
          <w:trHeight w:val="34"/>
        </w:trPr>
        <w:tc>
          <w:tcPr>
            <w:tcW w:w="1020" w:type="dxa"/>
            <w:vAlign w:val="bottom"/>
            <w:shd w:val="clear" w:color="auto" w:fill="CCEEFF"/>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10.65</w:t>
            </w:r>
          </w:p>
        </w:tc>
        <w:tc>
          <w:tcPr>
            <w:tcW w:w="6720" w:type="dxa"/>
            <w:vAlign w:val="bottom"/>
            <w:gridSpan w:val="29"/>
          </w:tcPr>
          <w:p>
            <w:pPr>
              <w:spacing w:after="0" w:line="148" w:lineRule="exact"/>
              <w:rPr>
                <w:rFonts w:ascii="Times New Roman" w:cs="Times New Roman" w:eastAsia="Times New Roman" w:hAnsi="Times New Roman"/>
                <w:sz w:val="15"/>
                <w:szCs w:val="15"/>
                <w:color w:val="0000EE"/>
              </w:rPr>
            </w:pPr>
            <w:hyperlink r:id="rId453">
              <w:r>
                <w:rPr>
                  <w:rFonts w:ascii="Times New Roman" w:cs="Times New Roman" w:eastAsia="Times New Roman" w:hAnsi="Times New Roman"/>
                  <w:sz w:val="15"/>
                  <w:szCs w:val="15"/>
                  <w:color w:val="0000EE"/>
                </w:rPr>
                <w:t>Stock Purchase Agreement, dated as of January 30, 2026, among SunPower Inc., Cobalt Power Systems, Inc.</w:t>
              </w:r>
            </w:hyperlink>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10.1</w:t>
            </w:r>
          </w:p>
        </w:tc>
        <w:tc>
          <w:tcPr>
            <w:tcW w:w="104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2026-02-02</w:t>
            </w:r>
          </w:p>
        </w:tc>
      </w:tr>
      <w:tr>
        <w:trPr>
          <w:trHeight w:val="162"/>
        </w:trPr>
        <w:tc>
          <w:tcPr>
            <w:tcW w:w="1020" w:type="dxa"/>
            <w:vAlign w:val="bottom"/>
          </w:tcPr>
          <w:p>
            <w:pPr>
              <w:spacing w:after="0"/>
              <w:rPr>
                <w:sz w:val="14"/>
                <w:szCs w:val="14"/>
                <w:color w:val="auto"/>
              </w:rPr>
            </w:pPr>
          </w:p>
        </w:tc>
        <w:tc>
          <w:tcPr>
            <w:tcW w:w="2500" w:type="dxa"/>
            <w:vAlign w:val="bottom"/>
            <w:tcBorders>
              <w:top w:val="single" w:sz="8" w:color="0000EE"/>
              <w:bottom w:val="single" w:sz="8" w:color="0000EE"/>
            </w:tcBorders>
            <w:gridSpan w:val="12"/>
          </w:tcPr>
          <w:p>
            <w:pPr>
              <w:spacing w:after="0" w:line="162" w:lineRule="exact"/>
              <w:rPr>
                <w:rFonts w:ascii="Times New Roman" w:cs="Times New Roman" w:eastAsia="Times New Roman" w:hAnsi="Times New Roman"/>
                <w:sz w:val="15"/>
                <w:szCs w:val="15"/>
                <w:color w:val="0000EE"/>
              </w:rPr>
            </w:pPr>
            <w:hyperlink r:id="rId453">
              <w:r>
                <w:rPr>
                  <w:rFonts w:ascii="Times New Roman" w:cs="Times New Roman" w:eastAsia="Times New Roman" w:hAnsi="Times New Roman"/>
                  <w:sz w:val="15"/>
                  <w:szCs w:val="15"/>
                  <w:color w:val="0000EE"/>
                </w:rPr>
                <w:t>and the selling shareholders party thereto</w:t>
              </w:r>
            </w:hyperlink>
          </w:p>
        </w:tc>
        <w:tc>
          <w:tcPr>
            <w:tcW w:w="4140" w:type="dxa"/>
            <w:vAlign w:val="bottom"/>
            <w:tcBorders>
              <w:top w:val="single" w:sz="8" w:color="0000EE"/>
            </w:tcBorders>
            <w:gridSpan w:val="16"/>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16.1</w:t>
            </w:r>
          </w:p>
        </w:tc>
        <w:tc>
          <w:tcPr>
            <w:tcW w:w="6720" w:type="dxa"/>
            <w:vAlign w:val="bottom"/>
            <w:tcBorders>
              <w:right w:val="single" w:sz="8" w:color="CCEEFF"/>
            </w:tcBorders>
            <w:gridSpan w:val="29"/>
            <w:shd w:val="clear" w:color="auto" w:fill="CCEEFF"/>
          </w:tcPr>
          <w:p>
            <w:pPr>
              <w:spacing w:after="0" w:line="162" w:lineRule="exact"/>
              <w:rPr>
                <w:rFonts w:ascii="Times New Roman" w:cs="Times New Roman" w:eastAsia="Times New Roman" w:hAnsi="Times New Roman"/>
                <w:sz w:val="15"/>
                <w:szCs w:val="15"/>
                <w:color w:val="0000EE"/>
              </w:rPr>
            </w:pPr>
            <w:hyperlink r:id="rId454">
              <w:r>
                <w:rPr>
                  <w:rFonts w:ascii="Times New Roman" w:cs="Times New Roman" w:eastAsia="Times New Roman" w:hAnsi="Times New Roman"/>
                  <w:sz w:val="15"/>
                  <w:szCs w:val="15"/>
                  <w:color w:val="0000EE"/>
                </w:rPr>
                <w:t>Letter from Deloitte &amp; Touche LLP</w:t>
              </w:r>
            </w:hyperlink>
          </w:p>
        </w:tc>
        <w:tc>
          <w:tcPr>
            <w:tcW w:w="7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8-K</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16.1</w:t>
            </w:r>
          </w:p>
        </w:tc>
        <w:tc>
          <w:tcPr>
            <w:tcW w:w="10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2024-08-01</w:t>
            </w:r>
          </w:p>
        </w:tc>
      </w:tr>
      <w:tr>
        <w:trPr>
          <w:trHeight w:val="148"/>
        </w:trPr>
        <w:tc>
          <w:tcPr>
            <w:tcW w:w="1020" w:type="dxa"/>
            <w:vAlign w:val="bottom"/>
            <w:tcBorders>
              <w:top w:val="single" w:sz="8" w:color="CCEEFF"/>
            </w:tcBorders>
          </w:tcPr>
          <w:p>
            <w:pPr>
              <w:spacing w:after="0" w:line="148" w:lineRule="exact"/>
              <w:rPr>
                <w:sz w:val="20"/>
                <w:szCs w:val="20"/>
                <w:color w:val="auto"/>
              </w:rPr>
            </w:pPr>
            <w:r>
              <w:rPr>
                <w:rFonts w:ascii="Times New Roman" w:cs="Times New Roman" w:eastAsia="Times New Roman" w:hAnsi="Times New Roman"/>
                <w:sz w:val="15"/>
                <w:szCs w:val="15"/>
                <w:color w:val="auto"/>
              </w:rPr>
              <w:t>19.1</w:t>
            </w:r>
          </w:p>
        </w:tc>
        <w:tc>
          <w:tcPr>
            <w:tcW w:w="1420" w:type="dxa"/>
            <w:vAlign w:val="bottom"/>
            <w:tcBorders>
              <w:top w:val="single" w:sz="8" w:color="0000EE"/>
              <w:bottom w:val="single" w:sz="8" w:color="0000EE"/>
            </w:tcBorders>
            <w:gridSpan w:val="5"/>
          </w:tcPr>
          <w:p>
            <w:pPr>
              <w:spacing w:after="0" w:line="148" w:lineRule="exact"/>
              <w:rPr>
                <w:rFonts w:ascii="Times New Roman" w:cs="Times New Roman" w:eastAsia="Times New Roman" w:hAnsi="Times New Roman"/>
                <w:sz w:val="15"/>
                <w:szCs w:val="15"/>
                <w:color w:val="0000EE"/>
              </w:rPr>
            </w:pPr>
            <w:hyperlink r:id="rId455">
              <w:r>
                <w:rPr>
                  <w:rFonts w:ascii="Times New Roman" w:cs="Times New Roman" w:eastAsia="Times New Roman" w:hAnsi="Times New Roman"/>
                  <w:sz w:val="15"/>
                  <w:szCs w:val="15"/>
                  <w:color w:val="0000EE"/>
                </w:rPr>
                <w:t>Insider Trading Policy</w:t>
              </w:r>
            </w:hyperlink>
          </w:p>
        </w:tc>
        <w:tc>
          <w:tcPr>
            <w:tcW w:w="800" w:type="dxa"/>
            <w:vAlign w:val="bottom"/>
            <w:tcBorders>
              <w:top w:val="single" w:sz="8" w:color="0000EE"/>
            </w:tcBorders>
            <w:gridSpan w:val="5"/>
          </w:tcPr>
          <w:p>
            <w:pPr>
              <w:spacing w:after="0"/>
              <w:rPr>
                <w:sz w:val="12"/>
                <w:szCs w:val="12"/>
                <w:color w:val="auto"/>
              </w:rPr>
            </w:pPr>
          </w:p>
        </w:tc>
        <w:tc>
          <w:tcPr>
            <w:tcW w:w="4500" w:type="dxa"/>
            <w:vAlign w:val="bottom"/>
            <w:tcBorders>
              <w:top w:val="single" w:sz="8" w:color="CCEEFF"/>
            </w:tcBorders>
            <w:gridSpan w:val="19"/>
          </w:tcPr>
          <w:p>
            <w:pPr>
              <w:spacing w:after="0"/>
              <w:rPr>
                <w:sz w:val="12"/>
                <w:szCs w:val="12"/>
                <w:color w:val="auto"/>
              </w:rPr>
            </w:pPr>
          </w:p>
        </w:tc>
        <w:tc>
          <w:tcPr>
            <w:tcW w:w="74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rPr>
              <w:t>10-K</w:t>
            </w:r>
          </w:p>
        </w:tc>
        <w:tc>
          <w:tcPr>
            <w:tcW w:w="104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rPr>
              <w:t>001-40117</w:t>
            </w:r>
          </w:p>
        </w:tc>
        <w:tc>
          <w:tcPr>
            <w:tcW w:w="70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w w:val="98"/>
              </w:rPr>
              <w:t>19.1</w:t>
            </w:r>
          </w:p>
        </w:tc>
        <w:tc>
          <w:tcPr>
            <w:tcW w:w="1040" w:type="dxa"/>
            <w:vAlign w:val="bottom"/>
            <w:tcBorders>
              <w:top w:val="single" w:sz="8" w:color="CCEEFF"/>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w w:val="99"/>
              </w:rPr>
              <w:t>2025-04-30</w:t>
            </w: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1180" w:type="dxa"/>
            <w:vAlign w:val="bottom"/>
            <w:tcBorders>
              <w:bottom w:val="single" w:sz="8" w:color="0000EE"/>
            </w:tcBorders>
            <w:gridSpan w:val="3"/>
            <w:shd w:val="clear" w:color="auto" w:fill="CCEEFF"/>
          </w:tcPr>
          <w:p>
            <w:pPr>
              <w:spacing w:after="0" w:line="162" w:lineRule="exact"/>
              <w:rPr>
                <w:rFonts w:ascii="Times New Roman" w:cs="Times New Roman" w:eastAsia="Times New Roman" w:hAnsi="Times New Roman"/>
                <w:sz w:val="15"/>
                <w:szCs w:val="15"/>
                <w:color w:val="0000EE"/>
                <w:w w:val="99"/>
              </w:rPr>
            </w:pPr>
            <w:hyperlink r:id="rId456">
              <w:r>
                <w:rPr>
                  <w:rFonts w:ascii="Times New Roman" w:cs="Times New Roman" w:eastAsia="Times New Roman" w:hAnsi="Times New Roman"/>
                  <w:sz w:val="15"/>
                  <w:szCs w:val="15"/>
                  <w:color w:val="0000EE"/>
                  <w:w w:val="99"/>
                </w:rPr>
                <w:t>List of Subsidiaries</w:t>
              </w:r>
            </w:hyperlink>
          </w:p>
        </w:tc>
        <w:tc>
          <w:tcPr>
            <w:tcW w:w="5540" w:type="dxa"/>
            <w:vAlign w:val="bottom"/>
            <w:tcBorders>
              <w:bottom w:val="single" w:sz="8" w:color="CCEEFF"/>
              <w:right w:val="single" w:sz="8" w:color="CCEEFF"/>
            </w:tcBorders>
            <w:gridSpan w:val="26"/>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5"/>
              </w:rPr>
              <w:t>S-1</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333-273820</w:t>
            </w:r>
          </w:p>
        </w:tc>
        <w:tc>
          <w:tcPr>
            <w:tcW w:w="7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8"/>
              </w:rPr>
              <w:t>21.1</w:t>
            </w:r>
          </w:p>
        </w:tc>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2023-08-09</w:t>
            </w: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23.1*</w:t>
            </w:r>
          </w:p>
        </w:tc>
        <w:tc>
          <w:tcPr>
            <w:tcW w:w="6720" w:type="dxa"/>
            <w:vAlign w:val="bottom"/>
            <w:gridSpan w:val="29"/>
          </w:tcPr>
          <w:p>
            <w:pPr>
              <w:spacing w:after="0" w:line="148" w:lineRule="exact"/>
              <w:rPr>
                <w:sz w:val="20"/>
                <w:szCs w:val="20"/>
                <w:color w:val="auto"/>
              </w:rPr>
            </w:pPr>
            <w:r>
              <w:rPr>
                <w:rFonts w:ascii="Times New Roman" w:cs="Times New Roman" w:eastAsia="Times New Roman" w:hAnsi="Times New Roman"/>
                <w:sz w:val="15"/>
                <w:szCs w:val="15"/>
                <w:color w:val="0000EE"/>
              </w:rPr>
              <w:t>Consent of Deloitte &amp; Touche, LLP, independent registered public accounting firm</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23.2*</w:t>
            </w:r>
          </w:p>
        </w:tc>
        <w:tc>
          <w:tcPr>
            <w:tcW w:w="1680" w:type="dxa"/>
            <w:vAlign w:val="bottom"/>
            <w:tcBorders>
              <w:top w:val="single" w:sz="8" w:color="0000EE"/>
              <w:bottom w:val="single" w:sz="8" w:color="0000EE"/>
            </w:tcBorders>
            <w:gridSpan w:val="6"/>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8"/>
              </w:rPr>
              <w:t>Consent of BDO USA, P.C.</w:t>
            </w:r>
          </w:p>
        </w:tc>
        <w:tc>
          <w:tcPr>
            <w:tcW w:w="3340" w:type="dxa"/>
            <w:vAlign w:val="bottom"/>
            <w:tcBorders>
              <w:top w:val="single" w:sz="8" w:color="0000EE"/>
              <w:bottom w:val="single" w:sz="8" w:color="CCEEFF"/>
            </w:tcBorders>
            <w:gridSpan w:val="18"/>
            <w:shd w:val="clear" w:color="auto" w:fill="CCEEFF"/>
          </w:tcPr>
          <w:p>
            <w:pPr>
              <w:spacing w:after="0"/>
              <w:rPr>
                <w:sz w:val="15"/>
                <w:szCs w:val="15"/>
                <w:color w:val="auto"/>
              </w:rPr>
            </w:pPr>
          </w:p>
        </w:tc>
        <w:tc>
          <w:tcPr>
            <w:tcW w:w="1700" w:type="dxa"/>
            <w:vAlign w:val="bottom"/>
            <w:tcBorders>
              <w:bottom w:val="single" w:sz="8" w:color="CCEEFF"/>
              <w:right w:val="single" w:sz="8" w:color="CCEEFF"/>
            </w:tcBorders>
            <w:gridSpan w:val="5"/>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23.3*</w:t>
            </w:r>
          </w:p>
        </w:tc>
        <w:tc>
          <w:tcPr>
            <w:tcW w:w="1680" w:type="dxa"/>
            <w:vAlign w:val="bottom"/>
            <w:tcBorders>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5"/>
                <w:szCs w:val="15"/>
                <w:color w:val="0000EE"/>
                <w:w w:val="98"/>
              </w:rPr>
              <w:t>Consent of BDO USA, P.C.</w:t>
            </w:r>
          </w:p>
        </w:tc>
        <w:tc>
          <w:tcPr>
            <w:tcW w:w="5040" w:type="dxa"/>
            <w:vAlign w:val="bottom"/>
            <w:gridSpan w:val="23"/>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6"/>
        </w:trPr>
        <w:tc>
          <w:tcPr>
            <w:tcW w:w="102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23.4*</w:t>
            </w:r>
          </w:p>
        </w:tc>
        <w:tc>
          <w:tcPr>
            <w:tcW w:w="1680" w:type="dxa"/>
            <w:vAlign w:val="bottom"/>
            <w:tcBorders>
              <w:bottom w:val="single" w:sz="8" w:color="0000EE"/>
            </w:tcBorders>
            <w:gridSpan w:val="6"/>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w w:val="98"/>
              </w:rPr>
              <w:t>Consent of BDO USA, P.C.</w:t>
            </w:r>
          </w:p>
        </w:tc>
        <w:tc>
          <w:tcPr>
            <w:tcW w:w="5040" w:type="dxa"/>
            <w:vAlign w:val="bottom"/>
            <w:tcBorders>
              <w:bottom w:val="single" w:sz="8" w:color="CCEEFF"/>
              <w:right w:val="single" w:sz="8" w:color="CCEEFF"/>
            </w:tcBorders>
            <w:gridSpan w:val="23"/>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23.5*</w:t>
            </w:r>
          </w:p>
        </w:tc>
        <w:tc>
          <w:tcPr>
            <w:tcW w:w="6720" w:type="dxa"/>
            <w:vAlign w:val="bottom"/>
            <w:gridSpan w:val="29"/>
          </w:tcPr>
          <w:p>
            <w:pPr>
              <w:spacing w:after="0" w:line="148" w:lineRule="exact"/>
              <w:rPr>
                <w:sz w:val="20"/>
                <w:szCs w:val="20"/>
                <w:color w:val="auto"/>
              </w:rPr>
            </w:pPr>
            <w:r>
              <w:rPr>
                <w:rFonts w:ascii="Times New Roman" w:cs="Times New Roman" w:eastAsia="Times New Roman" w:hAnsi="Times New Roman"/>
                <w:sz w:val="15"/>
                <w:szCs w:val="15"/>
                <w:color w:val="0000EE"/>
              </w:rPr>
              <w:t>Consent of Tanner LLP</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2"/>
        </w:trPr>
        <w:tc>
          <w:tcPr>
            <w:tcW w:w="1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23.6*</w:t>
            </w:r>
          </w:p>
        </w:tc>
        <w:tc>
          <w:tcPr>
            <w:tcW w:w="6720" w:type="dxa"/>
            <w:vAlign w:val="bottom"/>
            <w:tcBorders>
              <w:right w:val="single" w:sz="8" w:color="CCEEFF"/>
            </w:tcBorders>
            <w:gridSpan w:val="29"/>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0000EE"/>
              </w:rPr>
              <w:t>Consent of Arnold &amp; Porter Kaye Scholer LLP (included in Exhibit 5.1)</w:t>
            </w:r>
          </w:p>
        </w:tc>
        <w:tc>
          <w:tcPr>
            <w:tcW w:w="7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34"/>
        </w:trPr>
        <w:tc>
          <w:tcPr>
            <w:tcW w:w="1020" w:type="dxa"/>
            <w:vAlign w:val="bottom"/>
            <w:shd w:val="clear" w:color="auto" w:fill="CCEEFF"/>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tcBorders>
              <w:right w:val="single" w:sz="8" w:color="CCEEFF"/>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67"/>
        </w:trPr>
        <w:tc>
          <w:tcPr>
            <w:tcW w:w="102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101*</w:t>
            </w:r>
          </w:p>
        </w:tc>
        <w:tc>
          <w:tcPr>
            <w:tcW w:w="6720" w:type="dxa"/>
            <w:vAlign w:val="bottom"/>
            <w:gridSpan w:val="29"/>
          </w:tcPr>
          <w:p>
            <w:pPr>
              <w:spacing w:after="0" w:line="168" w:lineRule="exact"/>
              <w:rPr>
                <w:sz w:val="20"/>
                <w:szCs w:val="20"/>
                <w:color w:val="auto"/>
              </w:rPr>
            </w:pPr>
            <w:r>
              <w:rPr>
                <w:rFonts w:ascii="Times New Roman" w:cs="Times New Roman" w:eastAsia="Times New Roman" w:hAnsi="Times New Roman"/>
                <w:sz w:val="15"/>
                <w:szCs w:val="15"/>
                <w:color w:val="auto"/>
              </w:rPr>
              <w:t>Inline XBRL Document Set for the consolidated condensed financial statements and accompanying notes in</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7"/>
        </w:trPr>
        <w:tc>
          <w:tcPr>
            <w:tcW w:w="1020" w:type="dxa"/>
            <w:vAlign w:val="bottom"/>
          </w:tcPr>
          <w:p>
            <w:pPr>
              <w:spacing w:after="0"/>
              <w:rPr>
                <w:sz w:val="17"/>
                <w:szCs w:val="17"/>
                <w:color w:val="auto"/>
              </w:rPr>
            </w:pPr>
          </w:p>
        </w:tc>
        <w:tc>
          <w:tcPr>
            <w:tcW w:w="6720" w:type="dxa"/>
            <w:vAlign w:val="bottom"/>
            <w:gridSpan w:val="29"/>
          </w:tcPr>
          <w:p>
            <w:pPr>
              <w:spacing w:after="0"/>
              <w:rPr>
                <w:sz w:val="20"/>
                <w:szCs w:val="20"/>
                <w:color w:val="auto"/>
              </w:rPr>
            </w:pPr>
            <w:r>
              <w:rPr>
                <w:rFonts w:ascii="Times New Roman" w:cs="Times New Roman" w:eastAsia="Times New Roman" w:hAnsi="Times New Roman"/>
                <w:sz w:val="15"/>
                <w:szCs w:val="15"/>
                <w:color w:val="auto"/>
              </w:rPr>
              <w:t>Consolidated Condensed Financial Statements and Supplemental Details</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2"/>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104*</w:t>
            </w:r>
          </w:p>
        </w:tc>
        <w:tc>
          <w:tcPr>
            <w:tcW w:w="6720" w:type="dxa"/>
            <w:vAlign w:val="bottom"/>
            <w:tcBorders>
              <w:right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5"/>
                <w:szCs w:val="15"/>
                <w:color w:val="auto"/>
              </w:rPr>
              <w:t>Cover Page Interactive Data File - formatted in Inline XBRL and included as Exhibit 101</w:t>
            </w:r>
          </w:p>
        </w:tc>
        <w:tc>
          <w:tcPr>
            <w:tcW w:w="7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107*</w:t>
            </w:r>
          </w:p>
        </w:tc>
        <w:tc>
          <w:tcPr>
            <w:tcW w:w="6720" w:type="dxa"/>
            <w:vAlign w:val="bottom"/>
            <w:gridSpan w:val="29"/>
          </w:tcPr>
          <w:p>
            <w:pPr>
              <w:spacing w:after="0" w:line="148" w:lineRule="exact"/>
              <w:rPr>
                <w:sz w:val="20"/>
                <w:szCs w:val="20"/>
                <w:color w:val="auto"/>
              </w:rPr>
            </w:pPr>
            <w:r>
              <w:rPr>
                <w:rFonts w:ascii="Times New Roman" w:cs="Times New Roman" w:eastAsia="Times New Roman" w:hAnsi="Times New Roman"/>
                <w:sz w:val="15"/>
                <w:szCs w:val="15"/>
                <w:color w:val="0000EE"/>
              </w:rPr>
              <w:t>Filing Fee Table</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90" w:lineRule="exact"/>
        <w:rPr>
          <w:sz w:val="20"/>
          <w:szCs w:val="20"/>
          <w:color w:val="auto"/>
        </w:rPr>
      </w:pPr>
    </w:p>
    <w:p>
      <w:pPr>
        <w:ind w:left="9" w:right="10040" w:hanging="9"/>
        <w:spacing w:after="0" w:line="506" w:lineRule="auto"/>
        <w:tabs>
          <w:tab w:leader="none" w:pos="282"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 ** Previously filed</w:t>
      </w:r>
    </w:p>
    <w:p>
      <w:pPr>
        <w:ind w:left="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Indicates a management contract or compensatory plan, contract or arrangement.</w:t>
      </w:r>
    </w:p>
    <w:p>
      <w:pPr>
        <w:spacing w:after="0" w:line="37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146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5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752" w:right="31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undersigned Registrant hereby undertakes</w:t>
      </w:r>
      <w:r>
        <w:rPr>
          <w:rFonts w:ascii="Times New Roman" w:cs="Times New Roman" w:eastAsia="Times New Roman" w:hAnsi="Times New Roman"/>
          <w:sz w:val="15"/>
          <w:szCs w:val="15"/>
          <w:i w:val="1"/>
          <w:iCs w:val="1"/>
          <w:color w:val="auto"/>
        </w:rPr>
        <w:t>:</w:t>
      </w:r>
    </w:p>
    <w:p>
      <w:pPr>
        <w:spacing w:after="0" w:line="196" w:lineRule="exact"/>
        <w:rPr>
          <w:sz w:val="20"/>
          <w:szCs w:val="20"/>
          <w:color w:val="auto"/>
        </w:rPr>
      </w:pPr>
    </w:p>
    <w:p>
      <w:pPr>
        <w:ind w:left="460" w:hanging="196"/>
        <w:spacing w:after="0"/>
        <w:tabs>
          <w:tab w:leader="none" w:pos="46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191" w:lineRule="exact"/>
        <w:rPr>
          <w:rFonts w:ascii="Times New Roman" w:cs="Times New Roman" w:eastAsia="Times New Roman" w:hAnsi="Times New Roman"/>
          <w:sz w:val="15"/>
          <w:szCs w:val="15"/>
          <w:color w:val="auto"/>
        </w:rPr>
      </w:pPr>
    </w:p>
    <w:p>
      <w:pPr>
        <w:ind w:left="720" w:hanging="183"/>
        <w:spacing w:after="0"/>
        <w:tabs>
          <w:tab w:leader="none" w:pos="720" w:val="left"/>
        </w:tabs>
        <w:numPr>
          <w:ilvl w:val="1"/>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 of 1933;</w:t>
      </w:r>
    </w:p>
    <w:p>
      <w:pPr>
        <w:spacing w:after="0" w:line="191" w:lineRule="exact"/>
        <w:rPr>
          <w:rFonts w:ascii="Times New Roman" w:cs="Times New Roman" w:eastAsia="Times New Roman" w:hAnsi="Times New Roman"/>
          <w:sz w:val="15"/>
          <w:szCs w:val="15"/>
          <w:color w:val="auto"/>
        </w:rPr>
      </w:pPr>
    </w:p>
    <w:p>
      <w:pPr>
        <w:jc w:val="both"/>
        <w:ind w:firstLine="537"/>
        <w:spacing w:after="0" w:line="261" w:lineRule="auto"/>
        <w:tabs>
          <w:tab w:leader="none" w:pos="775" w:val="left"/>
        </w:tabs>
        <w:numPr>
          <w:ilvl w:val="1"/>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54" w:lineRule="exact"/>
        <w:rPr>
          <w:rFonts w:ascii="Times New Roman" w:cs="Times New Roman" w:eastAsia="Times New Roman" w:hAnsi="Times New Roman"/>
          <w:sz w:val="15"/>
          <w:szCs w:val="15"/>
          <w:color w:val="auto"/>
        </w:rPr>
      </w:pPr>
    </w:p>
    <w:p>
      <w:pPr>
        <w:ind w:right="20" w:firstLine="537"/>
        <w:spacing w:after="0" w:line="287" w:lineRule="auto"/>
        <w:tabs>
          <w:tab w:leader="none" w:pos="835" w:val="left"/>
        </w:tabs>
        <w:numPr>
          <w:ilvl w:val="1"/>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133" w:lineRule="exact"/>
        <w:rPr>
          <w:rFonts w:ascii="Times New Roman" w:cs="Times New Roman" w:eastAsia="Times New Roman" w:hAnsi="Times New Roman"/>
          <w:sz w:val="15"/>
          <w:szCs w:val="15"/>
          <w:color w:val="auto"/>
        </w:rPr>
      </w:pPr>
    </w:p>
    <w:p>
      <w:pPr>
        <w:ind w:firstLine="264"/>
        <w:spacing w:after="0" w:line="287" w:lineRule="auto"/>
        <w:tabs>
          <w:tab w:leader="none" w:pos="488"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3" w:lineRule="exact"/>
        <w:rPr>
          <w:rFonts w:ascii="Times New Roman" w:cs="Times New Roman" w:eastAsia="Times New Roman" w:hAnsi="Times New Roman"/>
          <w:sz w:val="15"/>
          <w:szCs w:val="15"/>
          <w:color w:val="auto"/>
        </w:rPr>
      </w:pPr>
    </w:p>
    <w:p>
      <w:pPr>
        <w:ind w:left="460" w:hanging="196"/>
        <w:spacing w:after="0"/>
        <w:tabs>
          <w:tab w:leader="none" w:pos="46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191" w:lineRule="exact"/>
        <w:rPr>
          <w:rFonts w:ascii="Times New Roman" w:cs="Times New Roman" w:eastAsia="Times New Roman" w:hAnsi="Times New Roman"/>
          <w:sz w:val="15"/>
          <w:szCs w:val="15"/>
          <w:color w:val="auto"/>
        </w:rPr>
      </w:pPr>
    </w:p>
    <w:p>
      <w:pPr>
        <w:jc w:val="both"/>
        <w:ind w:firstLine="264"/>
        <w:spacing w:after="0" w:line="260" w:lineRule="auto"/>
        <w:tabs>
          <w:tab w:leader="none" w:pos="489"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53" w:lineRule="exact"/>
        <w:rPr>
          <w:rFonts w:ascii="Times New Roman" w:cs="Times New Roman" w:eastAsia="Times New Roman" w:hAnsi="Times New Roman"/>
          <w:sz w:val="15"/>
          <w:szCs w:val="15"/>
          <w:color w:val="auto"/>
        </w:rPr>
      </w:pPr>
    </w:p>
    <w:p>
      <w:pPr>
        <w:jc w:val="both"/>
        <w:ind w:firstLine="264"/>
        <w:spacing w:after="0" w:line="270" w:lineRule="auto"/>
        <w:tabs>
          <w:tab w:leader="none" w:pos="494"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w:t>
      </w:r>
    </w:p>
    <w:p>
      <w:pPr>
        <w:spacing w:after="0" w:line="146" w:lineRule="exact"/>
        <w:rPr>
          <w:rFonts w:ascii="Times New Roman" w:cs="Times New Roman" w:eastAsia="Times New Roman" w:hAnsi="Times New Roman"/>
          <w:sz w:val="15"/>
          <w:szCs w:val="15"/>
          <w:color w:val="auto"/>
        </w:rPr>
      </w:pPr>
    </w:p>
    <w:p>
      <w:pPr>
        <w:ind w:left="720" w:hanging="183"/>
        <w:spacing w:after="0"/>
        <w:tabs>
          <w:tab w:leader="none" w:pos="720" w:val="left"/>
        </w:tabs>
        <w:numPr>
          <w:ilvl w:val="1"/>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 Rule 424;</w:t>
      </w:r>
    </w:p>
    <w:p>
      <w:pPr>
        <w:spacing w:after="0" w:line="191" w:lineRule="exact"/>
        <w:rPr>
          <w:rFonts w:ascii="Times New Roman" w:cs="Times New Roman" w:eastAsia="Times New Roman" w:hAnsi="Times New Roman"/>
          <w:sz w:val="15"/>
          <w:szCs w:val="15"/>
          <w:color w:val="auto"/>
        </w:rPr>
      </w:pPr>
    </w:p>
    <w:p>
      <w:pPr>
        <w:ind w:left="760" w:hanging="223"/>
        <w:spacing w:after="0"/>
        <w:tabs>
          <w:tab w:leader="none" w:pos="760" w:val="left"/>
        </w:tabs>
        <w:numPr>
          <w:ilvl w:val="1"/>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free writing prospectus relating to the offering prepared by or on behalf of the undersigned registrant or used or referred to by the undersigned registrant;</w:t>
      </w:r>
    </w:p>
    <w:p>
      <w:pPr>
        <w:spacing w:after="0" w:line="191" w:lineRule="exact"/>
        <w:rPr>
          <w:rFonts w:ascii="Times New Roman" w:cs="Times New Roman" w:eastAsia="Times New Roman" w:hAnsi="Times New Roman"/>
          <w:sz w:val="15"/>
          <w:szCs w:val="15"/>
          <w:color w:val="auto"/>
        </w:rPr>
      </w:pPr>
    </w:p>
    <w:p>
      <w:pPr>
        <w:ind w:firstLine="537"/>
        <w:spacing w:after="0" w:line="287" w:lineRule="auto"/>
        <w:tabs>
          <w:tab w:leader="none" w:pos="813" w:val="left"/>
        </w:tabs>
        <w:numPr>
          <w:ilvl w:val="1"/>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3" w:lineRule="exact"/>
        <w:rPr>
          <w:rFonts w:ascii="Times New Roman" w:cs="Times New Roman" w:eastAsia="Times New Roman" w:hAnsi="Times New Roman"/>
          <w:sz w:val="15"/>
          <w:szCs w:val="15"/>
          <w:color w:val="auto"/>
        </w:rPr>
      </w:pPr>
    </w:p>
    <w:p>
      <w:pPr>
        <w:ind w:left="780" w:hanging="243"/>
        <w:spacing w:after="0"/>
        <w:tabs>
          <w:tab w:leader="none" w:pos="780" w:val="left"/>
        </w:tabs>
        <w:numPr>
          <w:ilvl w:val="1"/>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192"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146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5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758" w:right="319" w:bottom="1440" w:gutter="0" w:footer="0" w:header="0"/>
        </w:sectPr>
      </w:pPr>
    </w:p>
    <w:bookmarkStart w:id="339" w:name="page340"/>
    <w:bookmarkEnd w:id="339"/>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6" w:lineRule="exact"/>
        <w:rPr>
          <w:sz w:val="20"/>
          <w:szCs w:val="20"/>
          <w:color w:val="auto"/>
        </w:rPr>
      </w:pPr>
    </w:p>
    <w:p>
      <w:pPr>
        <w:jc w:val="both"/>
        <w:ind w:firstLine="273"/>
        <w:spacing w:after="0" w:line="287" w:lineRule="auto"/>
        <w:rPr>
          <w:sz w:val="20"/>
          <w:szCs w:val="20"/>
          <w:color w:val="auto"/>
        </w:rPr>
      </w:pPr>
      <w:r>
        <w:rPr>
          <w:rFonts w:ascii="Times New Roman" w:cs="Times New Roman" w:eastAsia="Times New Roman" w:hAnsi="Times New Roman"/>
          <w:sz w:val="15"/>
          <w:szCs w:val="15"/>
          <w:color w:val="auto"/>
        </w:rPr>
        <w:t>Pursuant to the requirements of the Securities Act, the registrant has duly caused this registration statement to be signed on its behalf by the undersigned, thereunto duly authorized, in Fremont, California, on February 2, 2026.</w:t>
      </w:r>
    </w:p>
    <w:p>
      <w:pPr>
        <w:spacing w:after="0" w:line="1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b w:val="1"/>
          <w:bCs w:val="1"/>
          <w:color w:val="auto"/>
        </w:rPr>
        <w:t>SUNPOWER INC.</w:t>
      </w:r>
    </w:p>
    <w:p>
      <w:pPr>
        <w:spacing w:after="0" w:line="196"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5"/>
          <w:szCs w:val="15"/>
          <w:color w:val="auto"/>
        </w:rPr>
        <w:t>By:</w:t>
        <w:tab/>
        <w:t>/s/ T</w:t>
      </w:r>
      <w:r>
        <w:rPr>
          <w:rFonts w:ascii="Times New Roman" w:cs="Times New Roman" w:eastAsia="Times New Roman" w:hAnsi="Times New Roman"/>
          <w:sz w:val="10"/>
          <w:szCs w:val="10"/>
          <w:color w:val="auto"/>
        </w:rPr>
        <w:t>hurman</w:t>
      </w:r>
      <w:r>
        <w:rPr>
          <w:rFonts w:ascii="Times New Roman" w:cs="Times New Roman" w:eastAsia="Times New Roman" w:hAnsi="Times New Roman"/>
          <w:sz w:val="15"/>
          <w:szCs w:val="15"/>
          <w:color w:val="auto"/>
        </w:rPr>
        <w:t xml:space="preserve"> J. R</w:t>
      </w:r>
      <w:r>
        <w:rPr>
          <w:rFonts w:ascii="Times New Roman" w:cs="Times New Roman" w:eastAsia="Times New Roman" w:hAnsi="Times New Roman"/>
          <w:sz w:val="10"/>
          <w:szCs w:val="10"/>
          <w:color w:val="auto"/>
        </w:rPr>
        <w:t>odgers</w:t>
      </w:r>
    </w:p>
    <w:p>
      <w:pPr>
        <w:spacing w:after="0" w:line="24" w:lineRule="exact"/>
        <w:rPr>
          <w:sz w:val="20"/>
          <w:szCs w:val="20"/>
          <w:color w:val="auto"/>
        </w:rPr>
      </w:pPr>
    </w:p>
    <w:tbl>
      <w:tblPr>
        <w:tblLayout w:type="fixed"/>
        <w:tblInd w:w="7220" w:type="dxa"/>
        <w:tblCellMar>
          <w:top w:w="0" w:type="dxa"/>
          <w:left w:w="0" w:type="dxa"/>
          <w:bottom w:w="0" w:type="dxa"/>
          <w:right w:w="0" w:type="dxa"/>
        </w:tblCellMar>
      </w:tblPr>
      <w:tr>
        <w:trPr>
          <w:trHeight w:val="170"/>
        </w:trPr>
        <w:tc>
          <w:tcPr>
            <w:tcW w:w="48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5"/>
                <w:szCs w:val="15"/>
                <w:color w:val="auto"/>
              </w:rPr>
              <w:t>Name:</w:t>
            </w:r>
          </w:p>
        </w:tc>
        <w:tc>
          <w:tcPr>
            <w:tcW w:w="3560" w:type="dxa"/>
            <w:vAlign w:val="bottom"/>
            <w:tcBorders>
              <w:top w:val="single" w:sz="8" w:color="auto"/>
            </w:tcBorders>
          </w:tcPr>
          <w:p>
            <w:pPr>
              <w:ind w:left="80"/>
              <w:spacing w:after="0" w:line="170" w:lineRule="exact"/>
              <w:rPr>
                <w:sz w:val="20"/>
                <w:szCs w:val="20"/>
                <w:color w:val="auto"/>
              </w:rPr>
            </w:pPr>
            <w:r>
              <w:rPr>
                <w:rFonts w:ascii="Times New Roman" w:cs="Times New Roman" w:eastAsia="Times New Roman" w:hAnsi="Times New Roman"/>
                <w:sz w:val="15"/>
                <w:szCs w:val="15"/>
                <w:color w:val="auto"/>
              </w:rPr>
              <w:t>Thurman J. Rodgers</w:t>
            </w:r>
          </w:p>
        </w:tc>
      </w:tr>
      <w:tr>
        <w:trPr>
          <w:trHeight w:val="197"/>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5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Chief Executive Officer and Executive Chairman</w:t>
            </w: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KNOW ALL BY THESE PRESENTS, that each person whose signature appears below hereby constitutes and appoints Thurman J. Rodgers and Jeanne Nguyen, and each of them, as his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Pursuant to the requirements of the Securities Act of 1933, this registration statement has been signed by the following persons in the capacities and on the dates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120" w:type="dxa"/>
            <w:vAlign w:val="bottom"/>
          </w:tcPr>
          <w:p>
            <w:pPr>
              <w:spacing w:after="0"/>
              <w:rPr>
                <w:sz w:val="17"/>
                <w:szCs w:val="17"/>
                <w:color w:val="auto"/>
              </w:rPr>
            </w:pPr>
          </w:p>
        </w:tc>
        <w:tc>
          <w:tcPr>
            <w:tcW w:w="54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5"/>
                <w:szCs w:val="15"/>
                <w:b w:val="1"/>
                <w:bCs w:val="1"/>
                <w:color w:val="auto"/>
              </w:rPr>
              <w:t>Title</w:t>
            </w:r>
          </w:p>
        </w:tc>
        <w:tc>
          <w:tcPr>
            <w:tcW w:w="100" w:type="dxa"/>
            <w:vAlign w:val="bottom"/>
          </w:tcPr>
          <w:p>
            <w:pPr>
              <w:spacing w:after="0"/>
              <w:rPr>
                <w:sz w:val="17"/>
                <w:szCs w:val="17"/>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r>
      <w:tr>
        <w:trPr>
          <w:trHeight w:val="36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Thurman J. Rodgers</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Executive Officer and 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Thurman J. Rodgers</w:t>
            </w:r>
          </w:p>
        </w:tc>
        <w:tc>
          <w:tcPr>
            <w:tcW w:w="120" w:type="dxa"/>
            <w:vAlign w:val="bottom"/>
          </w:tcPr>
          <w:p>
            <w:pPr>
              <w:spacing w:after="0"/>
              <w:rPr>
                <w:sz w:val="17"/>
                <w:szCs w:val="17"/>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c>
          <w:tcPr>
            <w:tcW w:w="2260" w:type="dxa"/>
            <w:vAlign w:val="bottom"/>
          </w:tcPr>
          <w:p>
            <w:pPr>
              <w:spacing w:after="0"/>
              <w:rPr>
                <w:sz w:val="17"/>
                <w:szCs w:val="17"/>
                <w:color w:val="auto"/>
              </w:rPr>
            </w:pPr>
          </w:p>
        </w:tc>
      </w:tr>
      <w:tr>
        <w:trPr>
          <w:trHeight w:val="35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Jeanne Nguyen</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Interim Chief Financial Officer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Jeanne Nguyen</w:t>
            </w:r>
          </w:p>
        </w:tc>
        <w:tc>
          <w:tcPr>
            <w:tcW w:w="120" w:type="dxa"/>
            <w:vAlign w:val="bottom"/>
          </w:tcPr>
          <w:p>
            <w:pPr>
              <w:spacing w:after="0"/>
              <w:rPr>
                <w:sz w:val="17"/>
                <w:szCs w:val="17"/>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(Principal Financial and Accounting Officer)</w:t>
            </w:r>
          </w:p>
        </w:tc>
        <w:tc>
          <w:tcPr>
            <w:tcW w:w="2260" w:type="dxa"/>
            <w:vAlign w:val="bottom"/>
          </w:tcPr>
          <w:p>
            <w:pPr>
              <w:spacing w:after="0"/>
              <w:rPr>
                <w:sz w:val="17"/>
                <w:szCs w:val="17"/>
                <w:color w:val="auto"/>
              </w:rPr>
            </w:pPr>
          </w:p>
        </w:tc>
      </w:tr>
      <w:tr>
        <w:trPr>
          <w:trHeight w:val="35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Chris Lundell</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Chris Lundell</w:t>
            </w: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5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Antonio R. Alvarez</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Antonio R. Alvarez</w:t>
            </w: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5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Adam Gishen</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Adam Gishen</w:t>
            </w: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5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Ronald Pasek</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Ronald Pasek</w:t>
            </w: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5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Tidjane Thiam</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Tidjane Thiam</w:t>
            </w: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5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Devin Whatley</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Devin Whatley</w:t>
            </w: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5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William J. Anderson</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William J. Anderson</w:t>
            </w: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5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Lothar Maier</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Lothar Maier</w:t>
            </w: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5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Jamie Haenggi</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Jamie Haenggi</w:t>
            </w: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5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 Daniel McCranie</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 2026</w:t>
            </w: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J. Daniel McCranie</w:t>
            </w:r>
          </w:p>
        </w:tc>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534"/>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5"/>
                <w:szCs w:val="15"/>
                <w:color w:val="auto"/>
              </w:rPr>
              <w:t>II-12</w:t>
            </w: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58" w:right="31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2463800" cy="419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59">
                      <a:extLst>
                        <a:ext uri="{28A0092B-C50C-407E-A947-70E740481C1C}"/>
                      </a:extLst>
                    </a:blip>
                    <a:srcRect/>
                    <a:stretch>
                      <a:fillRect/>
                    </a:stretch>
                  </pic:blipFill>
                  <pic:spPr bwMode="auto">
                    <a:xfrm>
                      <a:off x="0" y="0"/>
                      <a:ext cx="2463800" cy="41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February 2,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SunPower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45700 Northport Loop East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Fremont, California 94538</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Re: </w:t>
      </w:r>
      <w:r>
        <w:rPr>
          <w:rFonts w:ascii="Times New Roman" w:cs="Times New Roman" w:eastAsia="Times New Roman" w:hAnsi="Times New Roman"/>
          <w:sz w:val="15"/>
          <w:szCs w:val="15"/>
          <w:u w:val="single" w:color="auto"/>
          <w:color w:val="auto"/>
        </w:rPr>
        <w:t>Form S-1 Registration Statement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88" w:lineRule="exact"/>
        <w:rPr>
          <w:sz w:val="20"/>
          <w:szCs w:val="20"/>
          <w:color w:val="auto"/>
        </w:rPr>
      </w:pPr>
    </w:p>
    <w:p>
      <w:pPr>
        <w:jc w:val="both"/>
        <w:ind w:firstLine="546"/>
        <w:spacing w:after="0" w:line="257" w:lineRule="auto"/>
        <w:rPr>
          <w:sz w:val="20"/>
          <w:szCs w:val="20"/>
          <w:color w:val="auto"/>
        </w:rPr>
      </w:pPr>
      <w:r>
        <w:rPr>
          <w:rFonts w:ascii="Times New Roman" w:cs="Times New Roman" w:eastAsia="Times New Roman" w:hAnsi="Times New Roman"/>
          <w:sz w:val="15"/>
          <w:szCs w:val="15"/>
          <w:color w:val="auto"/>
        </w:rPr>
        <w:t>We have acted as special counsel to SunPower Inc., a Delaware corporation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in connection with the preparation of the Company’s registration statement on Form S-1 to be filed with the U.S. Securities and Exchange Commission (the “</w:t>
      </w:r>
      <w:r>
        <w:rPr>
          <w:rFonts w:ascii="Times New Roman" w:cs="Times New Roman" w:eastAsia="Times New Roman" w:hAnsi="Times New Roman"/>
          <w:sz w:val="15"/>
          <w:szCs w:val="15"/>
          <w:b w:val="1"/>
          <w:bCs w:val="1"/>
          <w:color w:val="auto"/>
        </w:rPr>
        <w:t>Commission</w:t>
      </w:r>
      <w:r>
        <w:rPr>
          <w:rFonts w:ascii="Times New Roman" w:cs="Times New Roman" w:eastAsia="Times New Roman" w:hAnsi="Times New Roman"/>
          <w:sz w:val="15"/>
          <w:szCs w:val="15"/>
          <w:color w:val="auto"/>
        </w:rPr>
        <w:t>”) on or about the date hereof (as amended or supplemented, the “</w:t>
      </w:r>
      <w:r>
        <w:rPr>
          <w:rFonts w:ascii="Times New Roman" w:cs="Times New Roman" w:eastAsia="Times New Roman" w:hAnsi="Times New Roman"/>
          <w:sz w:val="15"/>
          <w:szCs w:val="15"/>
          <w:b w:val="1"/>
          <w:bCs w:val="1"/>
          <w:color w:val="auto"/>
        </w:rPr>
        <w:t>Registration Statement</w:t>
      </w:r>
      <w:r>
        <w:rPr>
          <w:rFonts w:ascii="Times New Roman" w:cs="Times New Roman" w:eastAsia="Times New Roman" w:hAnsi="Times New Roman"/>
          <w:sz w:val="15"/>
          <w:szCs w:val="15"/>
          <w:color w:val="auto"/>
        </w:rPr>
        <w:t>”), under the Securities Act of 1933, as amended (the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relating to the registration for resale of up to 65,376,828 shares (the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of the Company’s common stock, par value $0.0001 (“</w:t>
      </w: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5"/>
          <w:szCs w:val="15"/>
          <w:color w:val="auto"/>
        </w:rPr>
        <w:t>”), consisting of (i) 10,243,924 shares of common stock previously issued by the Company pursuant to the Membership Interest Purchase Agreement, dated November 21, 2025, between the Company, Ambia Energy, LLC and Ambia Holdings, Inc., (ii) 3,333,334 shares of common stock (collectively with the Ambia Shares, the “</w:t>
      </w:r>
      <w:r>
        <w:rPr>
          <w:rFonts w:ascii="Times New Roman" w:cs="Times New Roman" w:eastAsia="Times New Roman" w:hAnsi="Times New Roman"/>
          <w:sz w:val="15"/>
          <w:szCs w:val="15"/>
          <w:b w:val="1"/>
          <w:bCs w:val="1"/>
          <w:color w:val="auto"/>
        </w:rPr>
        <w:t>Acquisition Shares</w:t>
      </w:r>
      <w:r>
        <w:rPr>
          <w:rFonts w:ascii="Times New Roman" w:cs="Times New Roman" w:eastAsia="Times New Roman" w:hAnsi="Times New Roman"/>
          <w:sz w:val="15"/>
          <w:szCs w:val="15"/>
          <w:color w:val="auto"/>
        </w:rPr>
        <w:t>”) previously issued by the Company pursuant to a Membership Interest Purchase Agreement, dated September 21, 2025, by and among the Company, Complete Solar, Inc., Sunder Energy LLC and Chicken Parm Pizza LLC, (iii) up to 50,760,218 shares of common stock (the “</w:t>
      </w:r>
      <w:r>
        <w:rPr>
          <w:rFonts w:ascii="Times New Roman" w:cs="Times New Roman" w:eastAsia="Times New Roman" w:hAnsi="Times New Roman"/>
          <w:sz w:val="15"/>
          <w:szCs w:val="15"/>
          <w:b w:val="1"/>
          <w:bCs w:val="1"/>
          <w:color w:val="auto"/>
        </w:rPr>
        <w:t>Conversion Shares</w:t>
      </w:r>
      <w:r>
        <w:rPr>
          <w:rFonts w:ascii="Times New Roman" w:cs="Times New Roman" w:eastAsia="Times New Roman" w:hAnsi="Times New Roman"/>
          <w:sz w:val="15"/>
          <w:szCs w:val="15"/>
          <w:color w:val="auto"/>
        </w:rPr>
        <w:t>”) issuable upon conversion of the Company’s 7% convertible senior notes due 2029 (the “</w:t>
      </w:r>
      <w:r>
        <w:rPr>
          <w:rFonts w:ascii="Times New Roman" w:cs="Times New Roman" w:eastAsia="Times New Roman" w:hAnsi="Times New Roman"/>
          <w:sz w:val="15"/>
          <w:szCs w:val="15"/>
          <w:b w:val="1"/>
          <w:bCs w:val="1"/>
          <w:color w:val="auto"/>
        </w:rPr>
        <w:t>7% Notes</w:t>
      </w:r>
      <w:r>
        <w:rPr>
          <w:rFonts w:ascii="Times New Roman" w:cs="Times New Roman" w:eastAsia="Times New Roman" w:hAnsi="Times New Roman"/>
          <w:sz w:val="15"/>
          <w:szCs w:val="15"/>
          <w:color w:val="auto"/>
        </w:rPr>
        <w:t>”) issued by the Company pursuant to an indenture, dated as of September 16, 2024, between the Company and U.S. Bank Trust Company, National Association, as the trustee (in such capacity, the “</w:t>
      </w:r>
      <w:r>
        <w:rPr>
          <w:rFonts w:ascii="Times New Roman" w:cs="Times New Roman" w:eastAsia="Times New Roman" w:hAnsi="Times New Roman"/>
          <w:sz w:val="15"/>
          <w:szCs w:val="15"/>
          <w:b w:val="1"/>
          <w:bCs w:val="1"/>
          <w:color w:val="auto"/>
        </w:rPr>
        <w:t>Trustee</w:t>
      </w:r>
      <w:r>
        <w:rPr>
          <w:rFonts w:ascii="Times New Roman" w:cs="Times New Roman" w:eastAsia="Times New Roman" w:hAnsi="Times New Roman"/>
          <w:sz w:val="15"/>
          <w:szCs w:val="15"/>
          <w:color w:val="auto"/>
        </w:rPr>
        <w:t>”) and collateral agent (the “</w:t>
      </w:r>
      <w:r>
        <w:rPr>
          <w:rFonts w:ascii="Times New Roman" w:cs="Times New Roman" w:eastAsia="Times New Roman" w:hAnsi="Times New Roman"/>
          <w:sz w:val="15"/>
          <w:szCs w:val="15"/>
          <w:b w:val="1"/>
          <w:bCs w:val="1"/>
          <w:color w:val="auto"/>
        </w:rPr>
        <w:t>Indenture</w:t>
      </w:r>
      <w:r>
        <w:rPr>
          <w:rFonts w:ascii="Times New Roman" w:cs="Times New Roman" w:eastAsia="Times New Roman" w:hAnsi="Times New Roman"/>
          <w:sz w:val="15"/>
          <w:szCs w:val="15"/>
          <w:color w:val="auto"/>
        </w:rPr>
        <w:t>”), and (iv) 1,048,352 shares of common stock (collectively with the Acquisition Shares, the “</w:t>
      </w:r>
      <w:r>
        <w:rPr>
          <w:rFonts w:ascii="Times New Roman" w:cs="Times New Roman" w:eastAsia="Times New Roman" w:hAnsi="Times New Roman"/>
          <w:sz w:val="15"/>
          <w:szCs w:val="15"/>
          <w:b w:val="1"/>
          <w:bCs w:val="1"/>
          <w:color w:val="auto"/>
        </w:rPr>
        <w:t>Issued Shares</w:t>
      </w:r>
      <w:r>
        <w:rPr>
          <w:rFonts w:ascii="Times New Roman" w:cs="Times New Roman" w:eastAsia="Times New Roman" w:hAnsi="Times New Roman"/>
          <w:sz w:val="15"/>
          <w:szCs w:val="15"/>
          <w:color w:val="auto"/>
        </w:rPr>
        <w:t>”) held by certain of the Company’s former affiliates.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opinion letter is being furnished in accordance with the requirements of Item 601(b)(5) of Regulation S-K promulgated under the Securities Act.</w:t>
      </w:r>
    </w:p>
    <w:p>
      <w:pPr>
        <w:spacing w:after="0" w:line="192" w:lineRule="exact"/>
        <w:rPr>
          <w:sz w:val="20"/>
          <w:szCs w:val="20"/>
          <w:color w:val="auto"/>
        </w:rPr>
      </w:pPr>
    </w:p>
    <w:p>
      <w:pPr>
        <w:jc w:val="both"/>
        <w:ind w:firstLine="546"/>
        <w:spacing w:after="0" w:line="258" w:lineRule="auto"/>
        <w:rPr>
          <w:sz w:val="20"/>
          <w:szCs w:val="20"/>
          <w:color w:val="auto"/>
        </w:rPr>
      </w:pPr>
      <w:r>
        <w:rPr>
          <w:rFonts w:ascii="Times New Roman" w:cs="Times New Roman" w:eastAsia="Times New Roman" w:hAnsi="Times New Roman"/>
          <w:sz w:val="15"/>
          <w:szCs w:val="15"/>
          <w:color w:val="auto"/>
        </w:rPr>
        <w:t>In rendering the opinions set forth below, we have examined and relied upon such certificates, corporate records, agreements, instruments and other documents, and examined such matters of law, that we considered necessary or appropriate as a basis for the opinions. In our examination, we have assumed the legal capacity of all natural persons, the genuineness of all signatures, the authenticity of all documents submitted to us as originals, the conformity to original documents of all documents submitted to us as certified or photostatic copies, the authenticity of the originals of such latter documents, that all parties to such documents (other than the Company) had the power, corporate or other, to enter into and perform all obligations thereunder, that all such documents have been duly authorized by all requisite action, corporate or other, and duly executed and delivered by all parties thereto (other than the Company) and that all such documents constitute the valid and binding obligation of each party thereto (other than the Company) enforceable against each such party in accordance with their terms. As to any facts material to the opinions expressed herein that we did not independently establish or verify, we have relied upon oral or written statements and representations of officers and other representatives of the Company and others.</w:t>
      </w:r>
    </w:p>
    <w:p>
      <w:pPr>
        <w:spacing w:after="0" w:line="1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Arnold &amp; Porter Kaye Scholer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4605" cy="2311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60">
                      <a:extLst>
                        <a:ext uri="{28A0092B-C50C-407E-A947-70E740481C1C}"/>
                      </a:extLst>
                    </a:blip>
                    <a:srcRect/>
                    <a:stretch>
                      <a:fillRect/>
                    </a:stretch>
                  </pic:blipFill>
                  <pic:spPr bwMode="auto">
                    <a:xfrm>
                      <a:off x="0" y="0"/>
                      <a:ext cx="14605" cy="231140"/>
                    </a:xfrm>
                    <a:prstGeom prst="rect">
                      <a:avLst/>
                    </a:prstGeom>
                    <a:noFill/>
                  </pic:spPr>
                </pic:pic>
              </a:graphicData>
            </a:graphic>
          </wp:anchor>
        </w:drawing>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 xml:space="preserve">250 West 55th Street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New York, NY 10019-9710 </w:t>
      </w:r>
      <w:r>
        <w:rPr>
          <w:rFonts w:ascii="Times New Roman" w:cs="Times New Roman" w:eastAsia="Times New Roman" w:hAnsi="Times New Roman"/>
          <w:sz w:val="15"/>
          <w:szCs w:val="15"/>
          <w:b w:val="1"/>
          <w:bCs w:val="1"/>
          <w:color w:val="auto"/>
        </w:rPr>
        <w:t>| www.arnoldporter.com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53910" cy="146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6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197485</wp:posOffset>
            </wp:positionH>
            <wp:positionV relativeFrom="page">
              <wp:posOffset>204470</wp:posOffset>
            </wp:positionV>
            <wp:extent cx="1445260" cy="260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62">
                      <a:clrChange>
                        <a:clrFrom>
                          <a:srgbClr val="FFFFFF"/>
                        </a:clrFrom>
                        <a:clrTo>
                          <a:srgbClr val="FFFFFF">
                            <a:alpha val="0"/>
                          </a:srgbClr>
                        </a:clrTo>
                      </a:clrChange>
                      <a:extLst>
                        <a:ext uri="{28A0092B-C50C-407E-A947-70E740481C1C}"/>
                      </a:extLst>
                    </a:blip>
                    <a:srcRect/>
                    <a:stretch>
                      <a:fillRect/>
                    </a:stretch>
                  </pic:blipFill>
                  <pic:spPr bwMode="auto">
                    <a:xfrm>
                      <a:off x="0" y="0"/>
                      <a:ext cx="1445260" cy="260350"/>
                    </a:xfrm>
                    <a:prstGeom prst="rect">
                      <a:avLst/>
                    </a:prstGeom>
                    <a:noFill/>
                  </pic:spPr>
                </pic:pic>
              </a:graphicData>
            </a:graphic>
          </wp:anchor>
        </w:drawing>
        <w:t>Page 2</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Based upon the foregoing and subject to the assumptions, qualifications and limitations set forth herein, we are of the opinion that:</w:t>
      </w:r>
    </w:p>
    <w:p>
      <w:pPr>
        <w:spacing w:after="0" w:line="192" w:lineRule="exact"/>
        <w:rPr>
          <w:sz w:val="20"/>
          <w:szCs w:val="20"/>
          <w:color w:val="auto"/>
        </w:rPr>
      </w:pPr>
    </w:p>
    <w:p>
      <w:pPr>
        <w:ind w:left="1080" w:hanging="270"/>
        <w:spacing w:after="0"/>
        <w:tabs>
          <w:tab w:leader="none" w:pos="108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Issued Shares have been duly authorized by the Company and are validly issued, fully paid and non-assessable.</w:t>
      </w:r>
    </w:p>
    <w:p>
      <w:pPr>
        <w:spacing w:after="0" w:line="191" w:lineRule="exact"/>
        <w:rPr>
          <w:rFonts w:ascii="Times New Roman" w:cs="Times New Roman" w:eastAsia="Times New Roman" w:hAnsi="Times New Roman"/>
          <w:sz w:val="15"/>
          <w:szCs w:val="15"/>
          <w:color w:val="auto"/>
        </w:rPr>
      </w:pPr>
    </w:p>
    <w:p>
      <w:pPr>
        <w:jc w:val="both"/>
        <w:ind w:left="1080" w:hanging="270"/>
        <w:spacing w:after="0" w:line="270" w:lineRule="auto"/>
        <w:tabs>
          <w:tab w:leader="none" w:pos="108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Shares have been duly authorized by the Company and, when issued and delivered upon conversion of the 7% Notes in accordance with the terms of the 7% Notes and the Indenture, and when such Conversion Shares shall have been duly registered on the books of the transfer agent and registrar therefor in the name of or on behalf of the recipients thereof, will be validly issued, fully paid and non-assessable.</w:t>
      </w:r>
    </w:p>
    <w:p>
      <w:pPr>
        <w:spacing w:after="0" w:line="146" w:lineRule="exact"/>
        <w:rPr>
          <w:sz w:val="20"/>
          <w:szCs w:val="20"/>
          <w:color w:val="auto"/>
        </w:rPr>
      </w:pPr>
    </w:p>
    <w:p>
      <w:pPr>
        <w:jc w:val="both"/>
        <w:ind w:right="20" w:firstLine="546"/>
        <w:spacing w:after="0" w:line="287" w:lineRule="auto"/>
        <w:rPr>
          <w:sz w:val="20"/>
          <w:szCs w:val="20"/>
          <w:color w:val="auto"/>
        </w:rPr>
      </w:pPr>
      <w:r>
        <w:rPr>
          <w:rFonts w:ascii="Times New Roman" w:cs="Times New Roman" w:eastAsia="Times New Roman" w:hAnsi="Times New Roman"/>
          <w:sz w:val="15"/>
          <w:szCs w:val="15"/>
          <w:color w:val="auto"/>
        </w:rPr>
        <w:t>In rendering the opinion set forth in the paragraph 2 above, we have assumed that upon the issuance of any of the Conversion Shares, the total number of shares of common stock issued and outstanding will not exceed the total number of shares of common stock that the Company is then authorized to issue under its certificate of incorporation.</w:t>
      </w:r>
    </w:p>
    <w:p>
      <w:pPr>
        <w:spacing w:after="0" w:line="134" w:lineRule="exact"/>
        <w:rPr>
          <w:sz w:val="20"/>
          <w:szCs w:val="20"/>
          <w:color w:val="auto"/>
        </w:rPr>
      </w:pPr>
    </w:p>
    <w:p>
      <w:pPr>
        <w:jc w:val="both"/>
        <w:ind w:firstLine="546"/>
        <w:spacing w:after="0" w:line="270" w:lineRule="auto"/>
        <w:rPr>
          <w:sz w:val="20"/>
          <w:szCs w:val="20"/>
          <w:color w:val="auto"/>
        </w:rPr>
      </w:pPr>
      <w:r>
        <w:rPr>
          <w:rFonts w:ascii="Times New Roman" w:cs="Times New Roman" w:eastAsia="Times New Roman" w:hAnsi="Times New Roman"/>
          <w:sz w:val="15"/>
          <w:szCs w:val="15"/>
          <w:color w:val="auto"/>
        </w:rPr>
        <w:t>The opinions expressed herein are based solely upon the General Corporation Law of the State of Delaware (including the statutory provisions contained therein, the applicable rules and regulations underlying these provisions and reported judicial decisions interpreting the foregoing). We express no opinion herein as to any other laws, statutes, rules, regulations or ordinances.</w:t>
      </w:r>
    </w:p>
    <w:p>
      <w:pPr>
        <w:spacing w:after="0" w:line="146" w:lineRule="exact"/>
        <w:rPr>
          <w:sz w:val="20"/>
          <w:szCs w:val="20"/>
          <w:color w:val="auto"/>
        </w:rPr>
      </w:pPr>
    </w:p>
    <w:p>
      <w:pPr>
        <w:jc w:val="both"/>
        <w:ind w:firstLine="546"/>
        <w:spacing w:after="0" w:line="287" w:lineRule="auto"/>
        <w:rPr>
          <w:sz w:val="20"/>
          <w:szCs w:val="20"/>
          <w:color w:val="auto"/>
        </w:rPr>
      </w:pPr>
      <w:r>
        <w:rPr>
          <w:rFonts w:ascii="Times New Roman" w:cs="Times New Roman" w:eastAsia="Times New Roman" w:hAnsi="Times New Roman"/>
          <w:sz w:val="15"/>
          <w:szCs w:val="15"/>
          <w:color w:val="auto"/>
        </w:rPr>
        <w:t>The foregoing opinions are rendered as of the date hereof, and we assume no obligation to update such opinions to reflect any acts, events, facts or circumstances occurring after the date hereof or which may hereafter come to our attention, or any change in the law which may hereafter occur.</w:t>
      </w:r>
    </w:p>
    <w:p>
      <w:pPr>
        <w:spacing w:after="0" w:line="134" w:lineRule="exact"/>
        <w:rPr>
          <w:sz w:val="20"/>
          <w:szCs w:val="20"/>
          <w:color w:val="auto"/>
        </w:rPr>
      </w:pPr>
    </w:p>
    <w:p>
      <w:pPr>
        <w:jc w:val="both"/>
        <w:ind w:firstLine="546"/>
        <w:spacing w:after="0" w:line="270" w:lineRule="auto"/>
        <w:rPr>
          <w:sz w:val="20"/>
          <w:szCs w:val="20"/>
          <w:color w:val="auto"/>
        </w:rPr>
      </w:pPr>
      <w:r>
        <w:rPr>
          <w:rFonts w:ascii="Times New Roman" w:cs="Times New Roman" w:eastAsia="Times New Roman" w:hAnsi="Times New Roman"/>
          <w:sz w:val="15"/>
          <w:szCs w:val="15"/>
          <w:color w:val="auto"/>
        </w:rPr>
        <w:t>We hereby consent to the filing of this opinion letter as Exhibit 5.1 to the Registration Statement and to the reference to our firm under the caption “Legal Matters” in the prospectus included in the Registration Statement. In giving such consent, we do not thereby admit that we are experts within the meaning of the Securities Act or the rules and regulations of the Commission or that this consent is required by Section 7 of the Securities Act.</w:t>
      </w:r>
    </w:p>
    <w:p>
      <w:pPr>
        <w:spacing w:after="0" w:line="1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/s/ Arnold &amp; Porter Kaye Scholer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53910" cy="146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6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944" w:right="31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Consent of Independent Registered Public Accounting Firm</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consent to the use in this Registration Statement on Form S-1 of our report dated April 1, 2024 (April 30, 2025, as to the effects of the Company’s adoption of ASU 2023-07, Segment Reporting, as described in Notes 2 and 22), relating to the financial statements of Complete Solaria, Inc. We also consent to the reference to us under the heading “Experts” in such Registration Statement.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 2026</w:t>
      </w:r>
    </w:p>
    <w:p>
      <w:pPr>
        <w:sectPr>
          <w:pgSz w:w="11900" w:h="16838" w:orient="portrait"/>
          <w:cols w:equalWidth="0" w:num="1">
            <w:col w:w="11260"/>
          </w:cols>
          <w:pgMar w:left="320" w:top="121" w:right="31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5"/>
          <w:szCs w:val="15"/>
          <w:b w:val="1"/>
          <w:bCs w:val="1"/>
          <w:color w:val="auto"/>
        </w:rPr>
        <w:t>Exhibit 23.2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Consent of Independent Registered Public Accounting Firm</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hereby consent to the use in the Prospectus constituting a part of this Registration Statement of our report dated April 30, 2025, relating to the consolidated financial statements of SunPower Inc. (f/k/a Complete Solaria, Inc.) (the “Company”), which is contained in that Prospectus. Our report contains an explanatory paragraph regarding the Company’s ability to continue as a going concern.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also consent to the reference to us under the caption “Experts” in the Prospectus.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BDO USA, P.C.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Atlanta, GA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 2026</w:t>
      </w:r>
    </w:p>
    <w:p>
      <w:pPr>
        <w:sectPr>
          <w:pgSz w:w="11900" w:h="16838" w:orient="portrait"/>
          <w:cols w:equalWidth="0" w:num="1">
            <w:col w:w="11260"/>
          </w:cols>
          <w:pgMar w:left="320" w:top="121" w:right="31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5"/>
          <w:szCs w:val="15"/>
          <w:b w:val="1"/>
          <w:bCs w:val="1"/>
          <w:color w:val="auto"/>
        </w:rPr>
        <w:t>Exhibit 23.3</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Consent of Independent Auditor</w:t>
      </w:r>
    </w:p>
    <w:p>
      <w:pPr>
        <w:spacing w:after="0" w:line="19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We hereby consent to the use in the Prospectus constituting a part of this Registration Statement of SunPower Inc. of our report dated December 16, 2024, relating to the combined financial statements of the SunPower Businesses which is contained in that Prospectus. Our report contains an explanatory paragraph regarding the SunPower Businesses’ ability to continue as a going concern.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also consent to the reference to us under the caption “Experts” in the Prospectus.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BDO USA, P.C.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Atlanta, GA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 2026</w:t>
      </w:r>
    </w:p>
    <w:p>
      <w:pPr>
        <w:sectPr>
          <w:pgSz w:w="11900" w:h="16838" w:orient="portrait"/>
          <w:cols w:equalWidth="0" w:num="1">
            <w:col w:w="11260"/>
          </w:cols>
          <w:pgMar w:left="320" w:top="121" w:right="31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15"/>
          <w:szCs w:val="15"/>
          <w:b w:val="1"/>
          <w:bCs w:val="1"/>
          <w:color w:val="auto"/>
        </w:rPr>
        <w:t>Exhibit 23.4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Consent of Independent Auditor</w:t>
      </w:r>
    </w:p>
    <w:p>
      <w:pPr>
        <w:spacing w:after="0" w:line="19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5"/>
          <w:szCs w:val="15"/>
          <w:color w:val="auto"/>
        </w:rPr>
        <w:t>We hereby consent to the use in the Prospectus constituting a part of this Registration Statement of SunPower Inc. of our report dated January 9, 2026, relating to the financial statements of Sunder Energy LLC which is contained in that Prospectus. Our report contains an explanatory paragraph regarding Sunder Energy LLC’s ability to continue as a going concern.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also consent to the reference to us under the caption “Experts” in the Prospectus.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BDO USA, P.C.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Atlanta, GA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 2026</w:t>
      </w:r>
    </w:p>
    <w:p>
      <w:pPr>
        <w:sectPr>
          <w:pgSz w:w="11900" w:h="16838" w:orient="portrait"/>
          <w:cols w:equalWidth="0" w:num="1">
            <w:col w:w="11260"/>
          </w:cols>
          <w:pgMar w:left="320" w:top="121" w:right="319"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15"/>
          <w:szCs w:val="15"/>
          <w:b w:val="1"/>
          <w:bCs w:val="1"/>
          <w:color w:val="auto"/>
        </w:rPr>
        <w:t>Exhibit 23.5</w:t>
      </w:r>
    </w:p>
    <w:p>
      <w:pPr>
        <w:spacing w:after="0" w:line="19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Stockholders and the Board of Directors of SunPower, Inc.</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consent to the use in this Registration Statement on Form S-1 of SunPower Inc. of our report dated December 22, 2025, relating to the financial statements of Ambia Energy, LLC as of December 31, 2024 and for the year then ended, which is part of this Registration Statement. We also consent to the reference to our firm under the heading “Experts” in such Prospectus.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Tanner LLP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Lehi, Utah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 2026</w:t>
      </w:r>
    </w:p>
    <w:p>
      <w:pPr>
        <w:sectPr>
          <w:pgSz w:w="11900" w:h="16838" w:orient="portrait"/>
          <w:cols w:equalWidth="0" w:num="1">
            <w:col w:w="11260"/>
          </w:cols>
          <w:pgMar w:left="320" w:top="121" w:right="31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8"/>
          <w:szCs w:val="18"/>
          <w:b w:val="1"/>
          <w:bCs w:val="1"/>
          <w:color w:val="auto"/>
        </w:rPr>
        <w:t>Ex-Filing Fees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S-1</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5391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64">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5391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6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1: Newly Registered and Carry Forward Securities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Proposed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rPr>
              <w:t>Maximum</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0" w:type="dxa"/>
            <w:vAlign w:val="bottom"/>
          </w:tcPr>
          <w:p>
            <w:pPr>
              <w:spacing w:after="0"/>
              <w:rPr>
                <w:sz w:val="1"/>
                <w:szCs w:val="1"/>
                <w:color w:val="auto"/>
              </w:rPr>
            </w:pPr>
          </w:p>
        </w:tc>
      </w:tr>
      <w:tr>
        <w:trPr>
          <w:trHeight w:val="125"/>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Fee Calculation</w:t>
            </w: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7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w w:val="99"/>
              </w:rPr>
              <w:t>Offering</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Maximum Aggregate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20" w:type="dxa"/>
            <w:vAlign w:val="bottom"/>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Line Item Type</w:t>
            </w:r>
          </w:p>
        </w:tc>
        <w:tc>
          <w:tcPr>
            <w:tcW w:w="100" w:type="dxa"/>
            <w:vAlign w:val="bottom"/>
            <w:vMerge w:val="restart"/>
          </w:tcPr>
          <w:p>
            <w:pPr>
              <w:spacing w:after="0"/>
              <w:rPr>
                <w:sz w:val="10"/>
                <w:szCs w:val="10"/>
                <w:color w:val="auto"/>
              </w:rPr>
            </w:pPr>
          </w:p>
        </w:tc>
        <w:tc>
          <w:tcPr>
            <w:tcW w:w="1620" w:type="dxa"/>
            <w:vAlign w:val="bottom"/>
            <w:vMerge w:val="restart"/>
          </w:tcPr>
          <w:p>
            <w:pPr>
              <w:ind w:left="440"/>
              <w:spacing w:after="0"/>
              <w:rPr>
                <w:sz w:val="20"/>
                <w:szCs w:val="20"/>
                <w:color w:val="auto"/>
              </w:rPr>
            </w:pPr>
            <w:r>
              <w:rPr>
                <w:rFonts w:ascii="Times New Roman" w:cs="Times New Roman" w:eastAsia="Times New Roman" w:hAnsi="Times New Roman"/>
                <w:sz w:val="12"/>
                <w:szCs w:val="12"/>
                <w:b w:val="1"/>
                <w:bCs w:val="1"/>
                <w:color w:val="auto"/>
              </w:rPr>
              <w:t>Security Type</w:t>
            </w:r>
          </w:p>
        </w:tc>
        <w:tc>
          <w:tcPr>
            <w:tcW w:w="100" w:type="dxa"/>
            <w:vAlign w:val="bottom"/>
          </w:tcPr>
          <w:p>
            <w:pPr>
              <w:spacing w:after="0"/>
              <w:rPr>
                <w:sz w:val="10"/>
                <w:szCs w:val="10"/>
                <w:color w:val="auto"/>
              </w:rPr>
            </w:pPr>
          </w:p>
        </w:tc>
        <w:tc>
          <w:tcPr>
            <w:tcW w:w="16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Security Class Title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100" w:type="dxa"/>
            <w:vAlign w:val="bottom"/>
            <w:vMerge w:val="restart"/>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78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rPr>
              <w:t>Price Per</w:t>
            </w:r>
          </w:p>
        </w:tc>
        <w:tc>
          <w:tcPr>
            <w:tcW w:w="1200" w:type="dxa"/>
            <w:vAlign w:val="bottom"/>
            <w:gridSpan w:val="3"/>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10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center"/>
              <w:ind w:right="40"/>
              <w:spacing w:after="0" w:line="125" w:lineRule="exact"/>
              <w:rPr>
                <w:sz w:val="20"/>
                <w:szCs w:val="20"/>
                <w:color w:val="auto"/>
              </w:rPr>
            </w:pPr>
            <w:r>
              <w:rPr>
                <w:rFonts w:ascii="Times New Roman" w:cs="Times New Roman" w:eastAsia="Times New Roman" w:hAnsi="Times New Roman"/>
                <w:sz w:val="12"/>
                <w:szCs w:val="12"/>
                <w:b w:val="1"/>
                <w:bCs w:val="1"/>
                <w:color w:val="auto"/>
              </w:rPr>
              <w:t>Registration</w:t>
            </w:r>
          </w:p>
        </w:tc>
        <w:tc>
          <w:tcPr>
            <w:tcW w:w="0" w:type="dxa"/>
            <w:vAlign w:val="bottom"/>
          </w:tcPr>
          <w:p>
            <w:pPr>
              <w:spacing w:after="0"/>
              <w:rPr>
                <w:sz w:val="1"/>
                <w:szCs w:val="1"/>
                <w:color w:val="auto"/>
              </w:rPr>
            </w:pPr>
          </w:p>
        </w:tc>
      </w:tr>
      <w:tr>
        <w:trPr>
          <w:trHeight w:val="147"/>
        </w:trPr>
        <w:tc>
          <w:tcPr>
            <w:tcW w:w="13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Rule</w:t>
            </w: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Registered</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Unit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Offering Price</w:t>
            </w:r>
          </w:p>
        </w:tc>
        <w:tc>
          <w:tcPr>
            <w:tcW w:w="10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5"/>
                <w:szCs w:val="15"/>
                <w:i w:val="1"/>
                <w:iCs w:val="1"/>
                <w:color w:val="auto"/>
              </w:rPr>
              <w:t>Newly Registered Securities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Equity</w:t>
            </w: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Common stock, par value</w:t>
            </w:r>
          </w:p>
        </w:tc>
        <w:tc>
          <w:tcPr>
            <w:tcW w:w="860" w:type="dxa"/>
            <w:vAlign w:val="bottom"/>
            <w:gridSpan w:val="3"/>
          </w:tcPr>
          <w:p>
            <w:pPr>
              <w:jc w:val="right"/>
              <w:ind w:right="199"/>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457(a)</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65,376,828</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  1.7750</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116,043,869.70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0.0001381</w:t>
            </w:r>
          </w:p>
        </w:tc>
        <w:tc>
          <w:tcPr>
            <w:tcW w:w="10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w w:val="98"/>
              </w:rPr>
              <w:t>$ 16,025.66</w:t>
            </w:r>
          </w:p>
        </w:tc>
        <w:tc>
          <w:tcPr>
            <w:tcW w:w="0" w:type="dxa"/>
            <w:vAlign w:val="bottom"/>
          </w:tcPr>
          <w:p>
            <w:pPr>
              <w:spacing w:after="0"/>
              <w:rPr>
                <w:sz w:val="1"/>
                <w:szCs w:val="1"/>
                <w:color w:val="auto"/>
              </w:rPr>
            </w:pPr>
          </w:p>
        </w:tc>
      </w:tr>
      <w:tr>
        <w:trPr>
          <w:trHeight w:val="197"/>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$0.0001 per share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Total Offering Amounts:</w:t>
            </w: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4"/>
            <w:vMerge w:val="continue"/>
          </w:tcPr>
          <w:p>
            <w:pPr>
              <w:spacing w:after="0"/>
              <w:rPr>
                <w:sz w:val="13"/>
                <w:szCs w:val="13"/>
                <w:color w:val="auto"/>
              </w:rPr>
            </w:pPr>
          </w:p>
        </w:tc>
        <w:tc>
          <w:tcPr>
            <w:tcW w:w="12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ind w:left="40"/>
              <w:spacing w:after="0" w:line="159" w:lineRule="exact"/>
              <w:rPr>
                <w:sz w:val="20"/>
                <w:szCs w:val="20"/>
                <w:color w:val="auto"/>
              </w:rPr>
            </w:pPr>
            <w:r>
              <w:rPr>
                <w:rFonts w:ascii="Times New Roman" w:cs="Times New Roman" w:eastAsia="Times New Roman" w:hAnsi="Times New Roman"/>
                <w:sz w:val="15"/>
                <w:szCs w:val="15"/>
                <w:color w:val="auto"/>
                <w:w w:val="98"/>
              </w:rPr>
              <w:t>116,043,869.70</w:t>
            </w:r>
          </w:p>
        </w:tc>
        <w:tc>
          <w:tcPr>
            <w:tcW w:w="10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16,025.66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Total Fees Previously Paid: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Total Fee Offsets: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Net Fee Due: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$ 16,025.66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Offering Note(s)</w:t>
      </w:r>
    </w:p>
    <w:p>
      <w:pPr>
        <w:spacing w:after="0" w:line="69" w:lineRule="exact"/>
        <w:rPr>
          <w:sz w:val="20"/>
          <w:szCs w:val="20"/>
          <w:color w:val="auto"/>
        </w:rPr>
      </w:pPr>
    </w:p>
    <w:p>
      <w:pPr>
        <w:ind w:left="280" w:right="20" w:hanging="238"/>
        <w:spacing w:after="0" w:line="287" w:lineRule="auto"/>
        <w:tabs>
          <w:tab w:leader="none" w:pos="28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 416(a) of the Securities Act, there are also being registered an indeterminable number of additional shares of common stock, par value $0.0001 per share (“common stock”) of SunPower Inc. (the “Company”) as may be issued to prevent dilution resulting from stock splits, stock dividends or similar transactions.</w:t>
      </w:r>
    </w:p>
    <w:p>
      <w:pPr>
        <w:spacing w:after="0" w:line="133" w:lineRule="exact"/>
        <w:rPr>
          <w:rFonts w:ascii="Times New Roman" w:cs="Times New Roman" w:eastAsia="Times New Roman" w:hAnsi="Times New Roman"/>
          <w:sz w:val="15"/>
          <w:szCs w:val="15"/>
          <w:color w:val="auto"/>
        </w:rPr>
      </w:pPr>
    </w:p>
    <w:p>
      <w:pPr>
        <w:jc w:val="both"/>
        <w:ind w:left="280"/>
        <w:spacing w:after="0" w:line="27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10,243,924 shares of common stock previously issued by the Company in connection with its acquisition of Ambia Energy, LLC, (ii) 3,333,334 shares of common stock previously issued by the Company in connection with its acquisition of Sunder Energy, LLC, (iii) up to 50,760,218 shares of common stock issuable upon conversion of the Company’s 7% convertible promissory notes, and (iv) up to 1,048,352 shares of common stock held by certain former affiliates of the Company.</w:t>
      </w:r>
    </w:p>
    <w:p>
      <w:pPr>
        <w:spacing w:after="0" w:line="146" w:lineRule="exact"/>
        <w:rPr>
          <w:rFonts w:ascii="Times New Roman" w:cs="Times New Roman" w:eastAsia="Times New Roman" w:hAnsi="Times New Roman"/>
          <w:sz w:val="15"/>
          <w:szCs w:val="15"/>
          <w:color w:val="auto"/>
        </w:rPr>
      </w:pPr>
    </w:p>
    <w:p>
      <w:pPr>
        <w:ind w:left="280"/>
        <w:spacing w:after="0" w:line="28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calculating the registration fee, based on the average of the high and low prices of the shares of Common Stock on the Nasdaq Stock Market on January 30, 2026. This calculation is in accordance with Rule 457(c) of the Securities Act.</w:t>
      </w:r>
    </w:p>
    <w:sectPr>
      <w:pgSz w:w="11900" w:h="16838" w:orient="portrait"/>
      <w:cols w:equalWidth="0" w:num="1">
        <w:col w:w="11260"/>
      </w:cols>
      <w:pgMar w:left="320" w:top="1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1)"/>
      <w:numFmt w:val="lowerRoman"/>
      <w:start w:val="3"/>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1)"/>
      <w:numFmt w:val="decimal"/>
      <w:start w:val="2"/>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1)"/>
      <w:numFmt w:val="lowerRoman"/>
      <w:start w:val="2"/>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1)"/>
      <w:numFmt w:val="decimal"/>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1)"/>
      <w:numFmt w:val="decimal"/>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
      <w:numFmt w:val="bullet"/>
      <w:start w:val="1"/>
    </w:lvl>
  </w:abstractNum>
  <w:abstractNum w:abstractNumId="43">
    <w:nsid w:val="6A3DD3E8"/>
    <w:multiLevelType w:val="hybridMultilevel"/>
    <w:lvl w:ilvl="0">
      <w:lvlJc w:val="left"/>
      <w:lvlText w:val="*"/>
      <w:numFmt w:val="bullet"/>
      <w:start w:val="1"/>
    </w:lvl>
  </w:abstractNum>
  <w:abstractNum w:abstractNumId="44">
    <w:nsid w:val="71C91298"/>
    <w:multiLevelType w:val="hybridMultilevel"/>
    <w:lvl w:ilvl="0">
      <w:lvlJc w:val="left"/>
      <w:lvlText w:val="(%1)"/>
      <w:numFmt w:val="decimal"/>
      <w:start w:val="1"/>
    </w:lvl>
  </w:abstractNum>
  <w:abstractNum w:abstractNumId="45">
    <w:nsid w:val="9DAF632"/>
    <w:multiLevelType w:val="hybridMultilevel"/>
    <w:lvl w:ilvl="0">
      <w:lvlJc w:val="left"/>
      <w:lvlText w:val="(%1)"/>
      <w:numFmt w:val="decimal"/>
      <w:start w:val="3"/>
    </w:lvl>
  </w:abstractNum>
  <w:abstractNum w:abstractNumId="46">
    <w:nsid w:val="53299938"/>
    <w:multiLevelType w:val="hybridMultilevel"/>
    <w:lvl w:ilvl="0">
      <w:lvlJc w:val="left"/>
      <w:lvlText w:val="●"/>
      <w:numFmt w:val="bullet"/>
      <w:start w:val="1"/>
    </w:lvl>
  </w:abstractNum>
  <w:abstractNum w:abstractNumId="47">
    <w:nsid w:val="1FBFE8E0"/>
    <w:multiLevelType w:val="hybridMultilevel"/>
    <w:lvl w:ilvl="0">
      <w:lvlJc w:val="left"/>
      <w:lvlText w:val="(%1)"/>
      <w:numFmt w:val="lowerRoman"/>
      <w:start w:val="2"/>
    </w:lvl>
  </w:abstractNum>
  <w:abstractNum w:abstractNumId="48">
    <w:nsid w:val="5092CA79"/>
    <w:multiLevelType w:val="hybridMultilevel"/>
    <w:lvl w:ilvl="0">
      <w:lvlJc w:val="left"/>
      <w:lvlText w:val="●"/>
      <w:numFmt w:val="bullet"/>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
      <w:numFmt w:val="bullet"/>
      <w:start w:val="1"/>
    </w:lvl>
  </w:abstractNum>
  <w:abstractNum w:abstractNumId="51">
    <w:nsid w:val="288F1A34"/>
    <w:multiLevelType w:val="hybridMultilevel"/>
    <w:lvl w:ilvl="0">
      <w:lvlJc w:val="left"/>
      <w:lvlText w:val="(%1)"/>
      <w:numFmt w:val="decimal"/>
      <w:start w:val="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
      <w:numFmt w:val="bullet"/>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1)"/>
      <w:numFmt w:val="decimal"/>
      <w:start w:val="1"/>
    </w:lvl>
  </w:abstractNum>
  <w:abstractNum w:abstractNumId="58">
    <w:nsid w:val="415E286C"/>
    <w:multiLevelType w:val="hybridMultilevel"/>
    <w:lvl w:ilvl="0">
      <w:lvlJc w:val="left"/>
      <w:lvlText w:val="(%1)"/>
      <w:numFmt w:val="decimal"/>
      <w:start w:val="1"/>
    </w:lvl>
  </w:abstractNum>
  <w:abstractNum w:abstractNumId="59">
    <w:nsid w:val="7C58FD05"/>
    <w:multiLevelType w:val="hybridMultilevel"/>
    <w:lvl w:ilvl="0">
      <w:lvlJc w:val="left"/>
      <w:lvlText w:val="(%1)"/>
      <w:numFmt w:val="decimal"/>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1)"/>
      <w:numFmt w:val="lowerRoman"/>
      <w:start w:val="1"/>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
      <w:numFmt w:val="bullet"/>
      <w:start w:val="1"/>
    </w:lvl>
  </w:abstractNum>
  <w:abstractNum w:abstractNumId="64">
    <w:nsid w:val="3C5991AA"/>
    <w:multiLevelType w:val="hybridMultilevel"/>
    <w:lvl w:ilvl="0">
      <w:lvlJc w:val="left"/>
      <w:lvlText w:val="(%1)"/>
      <w:numFmt w:val="decimal"/>
      <w:start w:val="1"/>
    </w:lvl>
  </w:abstractNum>
  <w:abstractNum w:abstractNumId="65">
    <w:nsid w:val="4BD8591A"/>
    <w:multiLevelType w:val="hybridMultilevel"/>
    <w:lvl w:ilvl="0">
      <w:lvlJc w:val="left"/>
      <w:lvlText w:val="(%1)"/>
      <w:numFmt w:val="decimal"/>
      <w:start w:val="2"/>
    </w:lvl>
  </w:abstractNum>
  <w:abstractNum w:abstractNumId="66">
    <w:nsid w:val="78DF6A55"/>
    <w:multiLevelType w:val="hybridMultilevel"/>
    <w:lvl w:ilvl="0">
      <w:lvlJc w:val="left"/>
      <w:lvlText w:val="(%1)"/>
      <w:numFmt w:val="decimal"/>
      <w:start w:val="6"/>
    </w:lvl>
  </w:abstractNum>
  <w:abstractNum w:abstractNumId="67">
    <w:nsid w:val="39B7AAA2"/>
    <w:multiLevelType w:val="hybridMultilevel"/>
    <w:lvl w:ilvl="0">
      <w:lvlJc w:val="left"/>
      <w:lvlText w:val="·"/>
      <w:numFmt w:val="bullet"/>
      <w:start w:val="1"/>
    </w:lvl>
  </w:abstractNum>
  <w:abstractNum w:abstractNumId="68">
    <w:nsid w:val="2B0D8DBE"/>
    <w:multiLevelType w:val="hybridMultilevel"/>
    <w:lvl w:ilvl="0">
      <w:lvlJc w:val="left"/>
      <w:lvlText w:val="*"/>
      <w:numFmt w:val="bullet"/>
      <w:start w:val="1"/>
    </w:lvl>
  </w:abstractNum>
  <w:abstractNum w:abstractNumId="69">
    <w:nsid w:val="6C80EC70"/>
    <w:multiLevelType w:val="hybridMultilevel"/>
    <w:lvl w:ilvl="0">
      <w:lvlJc w:val="left"/>
      <w:lvlText w:val="(%1)"/>
      <w:numFmt w:val="decimal"/>
      <w:start w:val="1"/>
    </w:lvl>
  </w:abstractNum>
  <w:abstractNum w:abstractNumId="70">
    <w:nsid w:val="379E21B5"/>
    <w:multiLevelType w:val="hybridMultilevel"/>
    <w:lvl w:ilvl="0">
      <w:lvlJc w:val="left"/>
      <w:lvlText w:val="(%1)"/>
      <w:numFmt w:val="decimal"/>
      <w:start w:val="2"/>
    </w:lvl>
  </w:abstractNum>
  <w:abstractNum w:abstractNumId="71">
    <w:nsid w:val="69E373"/>
    <w:multiLevelType w:val="hybridMultilevel"/>
    <w:lvl w:ilvl="0">
      <w:lvlJc w:val="left"/>
      <w:lvlText w:val="(%1)"/>
      <w:numFmt w:val="decimal"/>
      <w:start w:val="11"/>
    </w:lvl>
  </w:abstractNum>
  <w:abstractNum w:abstractNumId="72">
    <w:nsid w:val="2C27173B"/>
    <w:multiLevelType w:val="hybridMultilevel"/>
    <w:lvl w:ilvl="0">
      <w:lvlJc w:val="left"/>
      <w:lvlText w:val="●"/>
      <w:numFmt w:val="bullet"/>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abstractNum>
  <w:abstractNum w:abstractNumId="75">
    <w:nsid w:val="1DF029D3"/>
    <w:multiLevelType w:val="hybridMultilevel"/>
    <w:lvl w:ilvl="0">
      <w:lvlJc w:val="left"/>
      <w:lvlText w:val="●"/>
      <w:numFmt w:val="bullet"/>
      <w:start w:val="1"/>
    </w:lvl>
  </w:abstractNum>
  <w:abstractNum w:abstractNumId="76">
    <w:nsid w:val="5675FF36"/>
    <w:multiLevelType w:val="hybridMultilevel"/>
    <w:lvl w:ilvl="0">
      <w:lvlJc w:val="left"/>
      <w:lvlText w:val="●"/>
      <w:numFmt w:val="bullet"/>
      <w:start w:val="1"/>
    </w:lvl>
  </w:abstractNum>
  <w:abstractNum w:abstractNumId="77">
    <w:nsid w:val="3DD15094"/>
    <w:multiLevelType w:val="hybridMultilevel"/>
    <w:lvl w:ilvl="0">
      <w:lvlJc w:val="left"/>
      <w:lvlText w:val="●"/>
      <w:numFmt w:val="bullet"/>
      <w:start w:val="1"/>
    </w:lvl>
  </w:abstractNum>
  <w:abstractNum w:abstractNumId="78">
    <w:nsid w:val="3DB012B3"/>
    <w:multiLevelType w:val="hybridMultilevel"/>
    <w:lvl w:ilvl="0">
      <w:lvlJc w:val="left"/>
      <w:lvlText w:val="●"/>
      <w:numFmt w:val="bullet"/>
      <w:start w:val="1"/>
    </w:lvl>
  </w:abstractNum>
  <w:abstractNum w:abstractNumId="79">
    <w:nsid w:val="2708C9AF"/>
    <w:multiLevelType w:val="hybridMultilevel"/>
    <w:lvl w:ilvl="0">
      <w:lvlJc w:val="left"/>
      <w:lvlText w:val="(%1)"/>
      <w:numFmt w:val="decimal"/>
      <w:start w:val="1"/>
    </w:lvl>
  </w:abstractNum>
  <w:abstractNum w:abstractNumId="80">
    <w:nsid w:val="5B25ACE2"/>
    <w:multiLevelType w:val="hybridMultilevel"/>
    <w:lvl w:ilvl="0">
      <w:lvlJc w:val="left"/>
      <w:lvlText w:val="(%1)"/>
      <w:numFmt w:val="decimal"/>
      <w:start w:val="1"/>
    </w:lvl>
  </w:abstractNum>
  <w:abstractNum w:abstractNumId="81">
    <w:nsid w:val="175DFCF0"/>
    <w:multiLevelType w:val="hybridMultilevel"/>
    <w:lvl w:ilvl="0">
      <w:lvlJc w:val="left"/>
      <w:lvlText w:val="(%1)"/>
      <w:numFmt w:val="decimal"/>
      <w:start w:val="1"/>
    </w:lvl>
  </w:abstractNum>
  <w:abstractNum w:abstractNumId="82">
    <w:nsid w:val="4F97E3E4"/>
    <w:multiLevelType w:val="hybridMultilevel"/>
    <w:lvl w:ilvl="0">
      <w:lvlJc w:val="left"/>
      <w:lvlText w:val="(%1)"/>
      <w:numFmt w:val="decimal"/>
      <w:start w:val="4"/>
    </w:lvl>
  </w:abstractNum>
  <w:abstractNum w:abstractNumId="83">
    <w:nsid w:val="53B0A9E"/>
    <w:multiLevelType w:val="hybridMultilevel"/>
    <w:lvl w:ilvl="0">
      <w:lvlJc w:val="left"/>
      <w:lvlText w:val="●"/>
      <w:numFmt w:val="bullet"/>
      <w:start w:val="1"/>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1)"/>
      <w:numFmt w:val="decimal"/>
      <w:start w:val="1"/>
    </w:lvl>
  </w:abstractNum>
  <w:abstractNum w:abstractNumId="86">
    <w:nsid w:val="56438D15"/>
    <w:multiLevelType w:val="hybridMultilevel"/>
    <w:lvl w:ilvl="0">
      <w:lvlJc w:val="left"/>
      <w:lvlText w:val="(%1)"/>
      <w:numFmt w:val="decimal"/>
      <w:start w:val="1"/>
    </w:lvl>
  </w:abstractNum>
  <w:abstractNum w:abstractNumId="87">
    <w:nsid w:val="519E3149"/>
    <w:multiLevelType w:val="hybridMultilevel"/>
    <w:lvl w:ilvl="0">
      <w:lvlJc w:val="left"/>
      <w:lvlText w:val="(%1)"/>
      <w:numFmt w:val="decimal"/>
      <w:start w:val="1"/>
    </w:lvl>
  </w:abstractNum>
  <w:abstractNum w:abstractNumId="88">
    <w:nsid w:val="2C6E4AFD"/>
    <w:multiLevelType w:val="hybridMultilevel"/>
    <w:lvl w:ilvl="0">
      <w:lvlJc w:val="left"/>
      <w:lvlText w:val="(%1)"/>
      <w:numFmt w:val="decimal"/>
      <w:start w:val="1"/>
    </w:lvl>
  </w:abstractNum>
  <w:abstractNum w:abstractNumId="89">
    <w:nsid w:val="17A1B582"/>
    <w:multiLevelType w:val="hybridMultilevel"/>
    <w:lvl w:ilvl="0">
      <w:lvlJc w:val="left"/>
      <w:lvlText w:val="(%1)"/>
      <w:numFmt w:val="decimal"/>
      <w:start w:val="2"/>
    </w:lvl>
  </w:abstractNum>
  <w:abstractNum w:abstractNumId="90">
    <w:nsid w:val="4DF72E4E"/>
    <w:multiLevelType w:val="hybridMultilevel"/>
    <w:lvl w:ilvl="0">
      <w:lvlJc w:val="left"/>
      <w:lvlText w:val="(%1)"/>
      <w:numFmt w:val="decimal"/>
      <w:start w:val="1"/>
    </w:lvl>
  </w:abstractNum>
  <w:abstractNum w:abstractNumId="91">
    <w:nsid w:val="5046B5A9"/>
    <w:multiLevelType w:val="hybridMultilevel"/>
    <w:lvl w:ilvl="0">
      <w:lvlJc w:val="left"/>
      <w:lvlText w:val="(%1)"/>
      <w:numFmt w:val="lowerLetter"/>
      <w:start w:val="5"/>
    </w:lvl>
  </w:abstractNum>
  <w:abstractNum w:abstractNumId="92">
    <w:nsid w:val="5D888A08"/>
    <w:multiLevelType w:val="hybridMultilevel"/>
    <w:lvl w:ilvl="0">
      <w:lvlJc w:val="left"/>
      <w:lvlText w:val="(%1)"/>
      <w:numFmt w:val="lowerRoman"/>
      <w:start w:val="1"/>
    </w:lvl>
  </w:abstractNum>
  <w:abstractNum w:abstractNumId="93">
    <w:nsid w:val="2A082C70"/>
    <w:multiLevelType w:val="hybridMultilevel"/>
    <w:lvl w:ilvl="0">
      <w:lvlJc w:val="left"/>
      <w:lvlText w:val="(%1)"/>
      <w:numFmt w:val="decimal"/>
      <w:start w:val="1"/>
    </w:lvl>
  </w:abstractNum>
  <w:abstractNum w:abstractNumId="94">
    <w:nsid w:val="5EC6AFD4"/>
    <w:multiLevelType w:val="hybridMultilevel"/>
    <w:lvl w:ilvl="0">
      <w:lvlJc w:val="left"/>
      <w:lvlText w:val="(%1)"/>
      <w:numFmt w:val="decimal"/>
      <w:start w:val="1"/>
    </w:lvl>
  </w:abstractNum>
  <w:abstractNum w:abstractNumId="95">
    <w:nsid w:val="19E21BB2"/>
    <w:multiLevelType w:val="hybridMultilevel"/>
    <w:lvl w:ilvl="0">
      <w:lvlJc w:val="left"/>
      <w:lvlText w:val="(%1)"/>
      <w:numFmt w:val="decimal"/>
      <w:start w:val="1"/>
    </w:lvl>
  </w:abstractNum>
  <w:abstractNum w:abstractNumId="96">
    <w:nsid w:val="75E0858A"/>
    <w:multiLevelType w:val="hybridMultilevel"/>
    <w:lvl w:ilvl="0">
      <w:lvlJc w:val="left"/>
      <w:lvlText w:val="(%1)"/>
      <w:numFmt w:val="decimal"/>
      <w:start w:val="1"/>
    </w:lvl>
  </w:abstractNum>
  <w:abstractNum w:abstractNumId="97">
    <w:nsid w:val="57A61A29"/>
    <w:multiLevelType w:val="hybridMultilevel"/>
    <w:lvl w:ilvl="0">
      <w:lvlJc w:val="left"/>
      <w:lvlText w:val="(%1)"/>
      <w:numFmt w:val="decimal"/>
      <w:start w:val="2"/>
    </w:lvl>
  </w:abstractNum>
  <w:abstractNum w:abstractNumId="98">
    <w:nsid w:val="5399C654"/>
    <w:multiLevelType w:val="hybridMultilevel"/>
    <w:lvl w:ilvl="0">
      <w:lvlJc w:val="left"/>
      <w:lvlText w:val="●"/>
      <w:numFmt w:val="bullet"/>
      <w:start w:val="1"/>
    </w:lvl>
  </w:abstractNum>
  <w:abstractNum w:abstractNumId="99">
    <w:nsid w:val="20EE1348"/>
    <w:multiLevelType w:val="hybridMultilevel"/>
    <w:lvl w:ilvl="0">
      <w:lvlJc w:val="left"/>
      <w:lvlText w:val="●"/>
      <w:numFmt w:val="bullet"/>
      <w:start w:val="1"/>
    </w:lvl>
  </w:abstractNum>
  <w:abstractNum w:abstractNumId="100">
    <w:nsid w:val="4427069A"/>
    <w:multiLevelType w:val="hybridMultilevel"/>
    <w:lvl w:ilvl="0">
      <w:lvlJc w:val="left"/>
      <w:lvlText w:val="●"/>
      <w:numFmt w:val="bullet"/>
      <w:start w:val="1"/>
    </w:lvl>
  </w:abstractNum>
  <w:abstractNum w:abstractNumId="101">
    <w:nsid w:val="B37E80A"/>
    <w:multiLevelType w:val="hybridMultilevel"/>
    <w:lvl w:ilvl="0">
      <w:lvlJc w:val="left"/>
      <w:lvlText w:val="●"/>
      <w:numFmt w:val="bullet"/>
      <w:start w:val="1"/>
    </w:lvl>
  </w:abstractNum>
  <w:abstractNum w:abstractNumId="102">
    <w:nsid w:val="2157F6BC"/>
    <w:multiLevelType w:val="hybridMultilevel"/>
    <w:lvl w:ilvl="0">
      <w:lvlJc w:val="left"/>
      <w:lvlText w:val="●"/>
      <w:numFmt w:val="bullet"/>
      <w:start w:val="1"/>
    </w:lvl>
  </w:abstractNum>
  <w:abstractNum w:abstractNumId="103">
    <w:nsid w:val="704E1DD5"/>
    <w:multiLevelType w:val="hybridMultilevel"/>
    <w:lvl w:ilvl="0">
      <w:lvlJc w:val="left"/>
      <w:lvlText w:val="●"/>
      <w:numFmt w:val="bullet"/>
      <w:start w:val="1"/>
    </w:lvl>
  </w:abstractNum>
  <w:abstractNum w:abstractNumId="104">
    <w:nsid w:val="57D2F10E"/>
    <w:multiLevelType w:val="hybridMultilevel"/>
    <w:lvl w:ilvl="0">
      <w:lvlJc w:val="left"/>
      <w:lvlText w:val="●"/>
      <w:numFmt w:val="bullet"/>
      <w:start w:val="1"/>
    </w:lvl>
  </w:abstractNum>
  <w:abstractNum w:abstractNumId="105">
    <w:nsid w:val="BFFAE18"/>
    <w:multiLevelType w:val="hybridMultilevel"/>
    <w:lvl w:ilvl="0">
      <w:lvlJc w:val="left"/>
      <w:lvlText w:val="(%1)"/>
      <w:numFmt w:val="decimal"/>
      <w:start w:val="1"/>
    </w:lvl>
  </w:abstractNum>
  <w:abstractNum w:abstractNumId="106">
    <w:nsid w:val="E3E47A8"/>
    <w:multiLevelType w:val="hybridMultilevel"/>
    <w:lvl w:ilvl="0">
      <w:lvlJc w:val="left"/>
      <w:lvlText w:val="●"/>
      <w:numFmt w:val="bullet"/>
      <w:start w:val="1"/>
    </w:lvl>
  </w:abstractNum>
  <w:abstractNum w:abstractNumId="107">
    <w:nsid w:val="2E48F044"/>
    <w:multiLevelType w:val="hybridMultilevel"/>
    <w:lvl w:ilvl="0">
      <w:lvlJc w:val="left"/>
      <w:lvlText w:val="(%1)"/>
      <w:numFmt w:val="decimal"/>
      <w:start w:val="1"/>
    </w:lvl>
  </w:abstractNum>
  <w:abstractNum w:abstractNumId="108">
    <w:nsid w:val="49D0FEAC"/>
    <w:multiLevelType w:val="hybridMultilevel"/>
    <w:lvl w:ilvl="0">
      <w:lvlJc w:val="left"/>
      <w:lvlText w:val="(%1)"/>
      <w:numFmt w:val="lowerRoman"/>
      <w:start w:val="1"/>
    </w:lvl>
  </w:abstractNum>
  <w:abstractNum w:abstractNumId="109">
    <w:nsid w:val="4BEE5A5B"/>
    <w:multiLevelType w:val="hybridMultilevel"/>
    <w:lvl w:ilvl="0">
      <w:lvlJc w:val="left"/>
      <w:lvlText w:val="(%1)"/>
      <w:numFmt w:val="decimal"/>
      <w:start w:val="1"/>
    </w:lvl>
  </w:abstractNum>
  <w:abstractNum w:abstractNumId="110">
    <w:nsid w:val="5551B9F3"/>
    <w:multiLevelType w:val="hybridMultilevel"/>
    <w:lvl w:ilvl="0">
      <w:lvlJc w:val="left"/>
      <w:lvlText w:val="(%1)"/>
      <w:numFmt w:val="decimal"/>
      <w:start w:val="1"/>
    </w:lvl>
  </w:abstractNum>
  <w:abstractNum w:abstractNumId="111">
    <w:nsid w:val="24F6AB8E"/>
    <w:multiLevelType w:val="hybridMultilevel"/>
    <w:lvl w:ilvl="0">
      <w:lvlJc w:val="left"/>
      <w:lvlText w:val="●"/>
      <w:numFmt w:val="bullet"/>
      <w:start w:val="1"/>
    </w:lvl>
  </w:abstractNum>
  <w:abstractNum w:abstractNumId="112">
    <w:nsid w:val="634C574C"/>
    <w:multiLevelType w:val="hybridMultilevel"/>
    <w:lvl w:ilvl="0">
      <w:lvlJc w:val="left"/>
      <w:lvlText w:val="●"/>
      <w:numFmt w:val="bullet"/>
      <w:start w:val="1"/>
    </w:lvl>
  </w:abstractNum>
  <w:abstractNum w:abstractNumId="113">
    <w:nsid w:val="24E99DD7"/>
    <w:multiLevelType w:val="hybridMultilevel"/>
    <w:lvl w:ilvl="0">
      <w:lvlJc w:val="left"/>
      <w:lvlText w:val="%1."/>
      <w:numFmt w:val="decimal"/>
      <w:start w:val="1"/>
    </w:lvl>
  </w:abstractNum>
  <w:abstractNum w:abstractNumId="114">
    <w:nsid w:val="2A31B62D"/>
    <w:multiLevelType w:val="hybridMultilevel"/>
    <w:lvl w:ilvl="0">
      <w:lvlJc w:val="left"/>
      <w:lvlText w:val="●"/>
      <w:numFmt w:val="bullet"/>
      <w:start w:val="1"/>
    </w:lvl>
  </w:abstractNum>
  <w:abstractNum w:abstractNumId="115">
    <w:nsid w:val="1849C29B"/>
    <w:multiLevelType w:val="hybridMultilevel"/>
    <w:lvl w:ilvl="0">
      <w:lvlJc w:val="left"/>
      <w:lvlText w:val="%1."/>
      <w:numFmt w:val="decimal"/>
      <w:start w:val="1"/>
    </w:lvl>
  </w:abstractNum>
  <w:abstractNum w:abstractNumId="116">
    <w:nsid w:val="7DFF9D09"/>
    <w:multiLevelType w:val="hybridMultilevel"/>
    <w:lvl w:ilvl="0">
      <w:lvlJc w:val="left"/>
      <w:lvlText w:val="%1."/>
      <w:numFmt w:val="decimal"/>
      <w:start w:val="2"/>
    </w:lvl>
  </w:abstractNum>
  <w:abstractNum w:abstractNumId="117">
    <w:nsid w:val="754342"/>
    <w:multiLevelType w:val="hybridMultilevel"/>
    <w:lvl w:ilvl="0">
      <w:lvlJc w:val="left"/>
      <w:lvlText w:val="*"/>
      <w:numFmt w:val="bullet"/>
      <w:start w:val="1"/>
    </w:lvl>
  </w:abstractNum>
  <w:abstractNum w:abstractNumId="118">
    <w:nsid w:val="69E7F3E5"/>
    <w:multiLevelType w:val="hybridMultilevel"/>
    <w:lvl w:ilvl="0">
      <w:lvlJc w:val="left"/>
      <w:lvlText w:val="●"/>
      <w:numFmt w:val="bullet"/>
      <w:start w:val="1"/>
    </w:lvl>
  </w:abstractNum>
  <w:abstractNum w:abstractNumId="119">
    <w:nsid w:val="2A6DE806"/>
    <w:multiLevelType w:val="hybridMultilevel"/>
    <w:lvl w:ilvl="0">
      <w:lvlJc w:val="left"/>
      <w:lvlText w:val="%1."/>
      <w:numFmt w:val="decimal"/>
      <w:start w:val="3"/>
    </w:lvl>
  </w:abstractNum>
  <w:abstractNum w:abstractNumId="120">
    <w:nsid w:val="1816F8C4"/>
    <w:multiLevelType w:val="hybridMultilevel"/>
    <w:lvl w:ilvl="0">
      <w:lvlJc w:val="left"/>
      <w:lvlText w:val="%1."/>
      <w:numFmt w:val="decimal"/>
      <w:start w:val="5"/>
    </w:lvl>
  </w:abstractNum>
  <w:abstractNum w:abstractNumId="121">
    <w:nsid w:val="37DF2233"/>
    <w:multiLevelType w:val="hybridMultilevel"/>
    <w:lvl w:ilvl="0">
      <w:lvlJc w:val="left"/>
      <w:lvlText w:val="●"/>
      <w:numFmt w:val="bullet"/>
      <w:start w:val="1"/>
    </w:lvl>
  </w:abstractNum>
  <w:abstractNum w:abstractNumId="122">
    <w:nsid w:val="7AB49DAF"/>
    <w:multiLevelType w:val="hybridMultilevel"/>
    <w:lvl w:ilvl="0">
      <w:lvlJc w:val="left"/>
      <w:lvlText w:val="%1."/>
      <w:numFmt w:val="decimal"/>
      <w:start w:val="8"/>
    </w:lvl>
  </w:abstractNum>
  <w:abstractNum w:abstractNumId="123">
    <w:nsid w:val="759F82CD"/>
    <w:multiLevelType w:val="hybridMultilevel"/>
    <w:lvl w:ilvl="0">
      <w:lvlJc w:val="left"/>
      <w:lvlText w:val="%1."/>
      <w:numFmt w:val="decimal"/>
      <w:start w:val="9"/>
    </w:lvl>
  </w:abstractNum>
  <w:abstractNum w:abstractNumId="124">
    <w:nsid w:val="61E74EA3"/>
    <w:multiLevelType w:val="hybridMultilevel"/>
    <w:lvl w:ilvl="0">
      <w:lvlJc w:val="left"/>
      <w:lvlText w:val="●"/>
      <w:numFmt w:val="bullet"/>
      <w:start w:val="1"/>
    </w:lvl>
  </w:abstractNum>
  <w:abstractNum w:abstractNumId="125">
    <w:nsid w:val="597B4D84"/>
    <w:multiLevelType w:val="hybridMultilevel"/>
    <w:lvl w:ilvl="0">
      <w:lvlJc w:val="left"/>
      <w:lvlText w:val="$"/>
      <w:numFmt w:val="bullet"/>
      <w:start w:val="1"/>
    </w:lvl>
  </w:abstractNum>
  <w:abstractNum w:abstractNumId="126">
    <w:nsid w:val="F819E7F"/>
    <w:multiLevelType w:val="hybridMultilevel"/>
    <w:lvl w:ilvl="0">
      <w:lvlJc w:val="left"/>
      <w:lvlText w:val="$"/>
      <w:numFmt w:val="bullet"/>
      <w:start w:val="1"/>
    </w:lvl>
  </w:abstractNum>
  <w:abstractNum w:abstractNumId="127">
    <w:nsid w:val="57C7D42D"/>
    <w:multiLevelType w:val="hybridMultilevel"/>
    <w:lvl w:ilvl="0">
      <w:lvlJc w:val="left"/>
      <w:lvlText w:val="$"/>
      <w:numFmt w:val="bullet"/>
      <w:start w:val="1"/>
    </w:lvl>
  </w:abstractNum>
  <w:abstractNum w:abstractNumId="128">
    <w:nsid w:val="312167AD"/>
    <w:multiLevelType w:val="hybridMultilevel"/>
    <w:lvl w:ilvl="0">
      <w:lvlJc w:val="left"/>
      <w:lvlText w:val="%1."/>
      <w:numFmt w:val="decimal"/>
      <w:start w:val="1"/>
    </w:lvl>
  </w:abstractNum>
  <w:abstractNum w:abstractNumId="129">
    <w:nsid w:val="631B64D4"/>
    <w:multiLevelType w:val="hybridMultilevel"/>
    <w:lvl w:ilvl="0">
      <w:lvlJc w:val="left"/>
      <w:lvlText w:val="%1."/>
      <w:numFmt w:val="decimal"/>
      <w:start w:val="2"/>
    </w:lvl>
  </w:abstractNum>
  <w:abstractNum w:abstractNumId="130">
    <w:nsid w:val="78B5E776"/>
    <w:multiLevelType w:val="hybridMultilevel"/>
    <w:lvl w:ilvl="0">
      <w:lvlJc w:val="left"/>
      <w:lvlText w:val="●"/>
      <w:numFmt w:val="bullet"/>
      <w:start w:val="1"/>
    </w:lvl>
  </w:abstractNum>
  <w:abstractNum w:abstractNumId="131">
    <w:nsid w:val="75486E47"/>
    <w:multiLevelType w:val="hybridMultilevel"/>
    <w:lvl w:ilvl="0">
      <w:lvlJc w:val="left"/>
      <w:lvlText w:val="%1."/>
      <w:numFmt w:val="decimal"/>
      <w:start w:val="3"/>
    </w:lvl>
  </w:abstractNum>
  <w:abstractNum w:abstractNumId="132">
    <w:nsid w:val="6E534CDE"/>
    <w:multiLevelType w:val="hybridMultilevel"/>
    <w:lvl w:ilvl="0">
      <w:lvlJc w:val="left"/>
      <w:lvlText w:val="%1."/>
      <w:numFmt w:val="decimal"/>
      <w:start w:val="5"/>
    </w:lvl>
  </w:abstractNum>
  <w:abstractNum w:abstractNumId="133">
    <w:nsid w:val="1A0DDE32"/>
    <w:multiLevelType w:val="hybridMultilevel"/>
    <w:lvl w:ilvl="0">
      <w:lvlJc w:val="left"/>
      <w:lvlText w:val="%1."/>
      <w:numFmt w:val="decimal"/>
      <w:start w:val="6"/>
    </w:lvl>
  </w:abstractNum>
  <w:abstractNum w:abstractNumId="134">
    <w:nsid w:val="65968C1C"/>
    <w:multiLevelType w:val="hybridMultilevel"/>
    <w:lvl w:ilvl="0">
      <w:lvlJc w:val="left"/>
      <w:lvlText w:val="%1."/>
      <w:numFmt w:val="decimal"/>
      <w:start w:val="9"/>
    </w:lvl>
  </w:abstractNum>
  <w:abstractNum w:abstractNumId="135">
    <w:nsid w:val="46263DEC"/>
    <w:multiLevelType w:val="hybridMultilevel"/>
    <w:lvl w:ilvl="0">
      <w:lvlJc w:val="left"/>
      <w:lvlText w:val="●"/>
      <w:numFmt w:val="bullet"/>
      <w:start w:val="1"/>
    </w:lvl>
  </w:abstractNum>
  <w:abstractNum w:abstractNumId="136">
    <w:nsid w:val="260D8C4A"/>
    <w:multiLevelType w:val="hybridMultilevel"/>
    <w:lvl w:ilvl="0">
      <w:lvlJc w:val="left"/>
      <w:lvlText w:val="%1."/>
      <w:numFmt w:val="decimal"/>
      <w:start w:val="1"/>
    </w:lvl>
  </w:abstractNum>
  <w:abstractNum w:abstractNumId="137">
    <w:nsid w:val="73D4D3C4"/>
    <w:multiLevelType w:val="hybridMultilevel"/>
    <w:lvl w:ilvl="0">
      <w:lvlJc w:val="left"/>
      <w:lvlText w:val="%1."/>
      <w:numFmt w:val="decimal"/>
      <w:start w:val="2"/>
    </w:lvl>
  </w:abstractNum>
  <w:abstractNum w:abstractNumId="138">
    <w:nsid w:val="746F2E30"/>
    <w:multiLevelType w:val="hybridMultilevel"/>
    <w:lvl w:ilvl="0">
      <w:lvlJc w:val="left"/>
      <w:lvlText w:val="%1."/>
      <w:numFmt w:val="decimal"/>
      <w:start w:val="3"/>
    </w:lvl>
  </w:abstractNum>
  <w:abstractNum w:abstractNumId="139">
    <w:nsid w:val="6FDE8AF6"/>
    <w:multiLevelType w:val="hybridMultilevel"/>
    <w:lvl w:ilvl="0">
      <w:lvlJc w:val="left"/>
      <w:lvlText w:val="%1."/>
      <w:numFmt w:val="upperLetter"/>
      <w:start w:val="1"/>
    </w:lvl>
  </w:abstractNum>
  <w:abstractNum w:abstractNumId="140">
    <w:nsid w:val="3FC32E20"/>
    <w:multiLevelType w:val="hybridMultilevel"/>
    <w:lvl w:ilvl="0">
      <w:lvlJc w:val="left"/>
      <w:lvlText w:val="%1."/>
      <w:numFmt w:val="upperLetter"/>
      <w:start w:val="2"/>
    </w:lvl>
  </w:abstractNum>
  <w:abstractNum w:abstractNumId="141">
    <w:nsid w:val="49C0E823"/>
    <w:multiLevelType w:val="hybridMultilevel"/>
    <w:lvl w:ilvl="0">
      <w:lvlJc w:val="left"/>
      <w:lvlText w:val="%1."/>
      <w:numFmt w:val="decimal"/>
      <w:start w:val="4"/>
    </w:lvl>
  </w:abstractNum>
  <w:abstractNum w:abstractNumId="142">
    <w:nsid w:val="14D53685"/>
    <w:multiLevelType w:val="hybridMultilevel"/>
    <w:lvl w:ilvl="0">
      <w:lvlJc w:val="left"/>
      <w:lvlText w:val="%1."/>
      <w:numFmt w:val="upperLetter"/>
      <w:start w:val="4"/>
    </w:lvl>
  </w:abstractNum>
  <w:abstractNum w:abstractNumId="143">
    <w:nsid w:val="230F856C"/>
    <w:multiLevelType w:val="hybridMultilevel"/>
    <w:lvl w:ilvl="0">
      <w:lvlJc w:val="left"/>
      <w:lvlText w:val="%1."/>
      <w:numFmt w:val="upperLetter"/>
      <w:start w:val="5"/>
    </w:lvl>
  </w:abstractNum>
  <w:abstractNum w:abstractNumId="144">
    <w:nsid w:val="6EAA85FB"/>
    <w:multiLevelType w:val="hybridMultilevel"/>
    <w:lvl w:ilvl="0">
      <w:lvlJc w:val="left"/>
      <w:lvlText w:val="%1."/>
      <w:numFmt w:val="upperLetter"/>
      <w:start w:val="9"/>
    </w:lvl>
  </w:abstractNum>
  <w:abstractNum w:abstractNumId="145">
    <w:nsid w:val="3F06ECB2"/>
    <w:multiLevelType w:val="hybridMultilevel"/>
    <w:lvl w:ilvl="0">
      <w:lvlJc w:val="left"/>
      <w:lvlText w:val="%1."/>
      <w:numFmt w:val="upperLetter"/>
      <w:start w:val="10"/>
    </w:lvl>
  </w:abstractNum>
  <w:abstractNum w:abstractNumId="146">
    <w:nsid w:val="3B594807"/>
    <w:multiLevelType w:val="hybridMultilevel"/>
    <w:lvl w:ilvl="0">
      <w:lvlJc w:val="left"/>
      <w:lvlText w:val="%1."/>
      <w:numFmt w:val="decimal"/>
      <w:start w:val="1"/>
    </w:lvl>
  </w:abstractNum>
  <w:abstractNum w:abstractNumId="147">
    <w:nsid w:val="6CAA2304"/>
    <w:multiLevelType w:val="hybridMultilevel"/>
    <w:lvl w:ilvl="0">
      <w:lvlJc w:val="left"/>
      <w:lvlText w:val="●"/>
      <w:numFmt w:val="bullet"/>
      <w:start w:val="1"/>
    </w:lvl>
  </w:abstractNum>
  <w:abstractNum w:abstractNumId="148">
    <w:nsid w:val="3F7C2FF4"/>
    <w:multiLevelType w:val="hybridMultilevel"/>
    <w:lvl w:ilvl="0">
      <w:lvlJc w:val="left"/>
      <w:lvlText w:val="%1."/>
      <w:numFmt w:val="decimal"/>
      <w:start w:val="2"/>
    </w:lvl>
  </w:abstractNum>
  <w:abstractNum w:abstractNumId="149">
    <w:nsid w:val="25413BEC"/>
    <w:multiLevelType w:val="hybridMultilevel"/>
    <w:lvl w:ilvl="0">
      <w:lvlJc w:val="left"/>
      <w:lvlText w:val="%1."/>
      <w:numFmt w:val="decimal"/>
      <w:start w:val="3"/>
    </w:lvl>
  </w:abstractNum>
  <w:abstractNum w:abstractNumId="150">
    <w:nsid w:val="17180B0B"/>
    <w:multiLevelType w:val="hybridMultilevel"/>
    <w:lvl w:ilvl="0">
      <w:lvlJc w:val="left"/>
      <w:lvlText w:val="%1."/>
      <w:numFmt w:val="decimal"/>
      <w:start w:val="4"/>
    </w:lvl>
  </w:abstractNum>
  <w:abstractNum w:abstractNumId="151">
    <w:nsid w:val="579328B9"/>
    <w:multiLevelType w:val="hybridMultilevel"/>
    <w:lvl w:ilvl="0">
      <w:lvlJc w:val="left"/>
      <w:lvlText w:val="(%1)"/>
      <w:numFmt w:val="lowerRoman"/>
      <w:start w:val="1"/>
    </w:lvl>
  </w:abstractNum>
  <w:abstractNum w:abstractNumId="152">
    <w:nsid w:val="5D205E20"/>
    <w:multiLevelType w:val="hybridMultilevel"/>
    <w:lvl w:ilvl="0">
      <w:lvlJc w:val="left"/>
      <w:lvlText w:val="%1."/>
      <w:numFmt w:val="decimal"/>
      <w:start w:val="5"/>
    </w:lvl>
  </w:abstractNum>
  <w:abstractNum w:abstractNumId="153">
    <w:nsid w:val="11CCA8BA"/>
    <w:multiLevelType w:val="hybridMultilevel"/>
    <w:lvl w:ilvl="0">
      <w:lvlJc w:val="left"/>
      <w:lvlText w:val="%1."/>
      <w:numFmt w:val="decimal"/>
      <w:start w:val="6"/>
    </w:lvl>
  </w:abstractNum>
  <w:abstractNum w:abstractNumId="154">
    <w:nsid w:val="4D32AB86"/>
    <w:multiLevelType w:val="hybridMultilevel"/>
    <w:lvl w:ilvl="0">
      <w:lvlJc w:val="left"/>
      <w:lvlText w:val="%1."/>
      <w:numFmt w:val="decimal"/>
      <w:start w:val="7"/>
    </w:lvl>
  </w:abstractNum>
  <w:abstractNum w:abstractNumId="155">
    <w:nsid w:val="3F07ACC3"/>
    <w:multiLevelType w:val="hybridMultilevel"/>
    <w:lvl w:ilvl="0">
      <w:lvlJc w:val="left"/>
      <w:lvlText w:val="%1."/>
      <w:numFmt w:val="decimal"/>
      <w:start w:val="8"/>
    </w:lvl>
  </w:abstractNum>
  <w:abstractNum w:abstractNumId="156">
    <w:nsid w:val="6B47F63E"/>
    <w:multiLevelType w:val="hybridMultilevel"/>
    <w:lvl w:ilvl="0">
      <w:lvlJc w:val="left"/>
      <w:lvlText w:val="%1."/>
      <w:numFmt w:val="decimal"/>
      <w:start w:val="9"/>
    </w:lvl>
  </w:abstractNum>
  <w:abstractNum w:abstractNumId="157">
    <w:nsid w:val="5CB44A05"/>
    <w:multiLevelType w:val="hybridMultilevel"/>
    <w:lvl w:ilvl="0">
      <w:lvlJc w:val="left"/>
      <w:lvlText w:val="%1."/>
      <w:numFmt w:val="decimal"/>
      <w:start w:val="10"/>
    </w:lvl>
  </w:abstractNum>
  <w:abstractNum w:abstractNumId="158">
    <w:nsid w:val="16CF80F1"/>
    <w:multiLevelType w:val="hybridMultilevel"/>
    <w:lvl w:ilvl="0">
      <w:lvlJc w:val="left"/>
      <w:lvlText w:val="%1."/>
      <w:numFmt w:val="decimal"/>
      <w:start w:val="11"/>
    </w:lvl>
  </w:abstractNum>
  <w:abstractNum w:abstractNumId="159">
    <w:nsid w:val="1C695DEC"/>
    <w:multiLevelType w:val="hybridMultilevel"/>
    <w:lvl w:ilvl="0">
      <w:lvlJc w:val="left"/>
      <w:lvlText w:val="%1."/>
      <w:numFmt w:val="decimal"/>
      <w:start w:val="12"/>
    </w:lvl>
  </w:abstractNum>
  <w:abstractNum w:abstractNumId="160">
    <w:nsid w:val="3FCFAED9"/>
    <w:multiLevelType w:val="hybridMultilevel"/>
    <w:lvl w:ilvl="0">
      <w:lvlJc w:val="left"/>
      <w:lvlText w:val="*"/>
      <w:numFmt w:val="bullet"/>
      <w:start w:val="1"/>
    </w:lvl>
  </w:abstractNum>
  <w:abstractNum w:abstractNumId="161">
    <w:nsid w:val="F856867"/>
    <w:multiLevelType w:val="hybridMultilevel"/>
    <w:lvl w:ilvl="0">
      <w:lvlJc w:val="left"/>
      <w:lvlText w:val="(%1)"/>
      <w:numFmt w:val="lowerLetter"/>
      <w:start w:val="1"/>
    </w:lvl>
    <w:lvl w:ilvl="1">
      <w:lvlJc w:val="left"/>
      <w:lvlText w:val="(%2)"/>
      <w:numFmt w:val="lowerRoman"/>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88" Type="http://schemas.openxmlformats.org/officeDocument/2006/relationships/image" Target="media/image359.png"/><Relationship Id="rId405" Type="http://schemas.openxmlformats.org/officeDocument/2006/relationships/image" Target="media/image360.png"/><Relationship Id="rId433" Type="http://schemas.openxmlformats.org/officeDocument/2006/relationships/image" Target="media/image361.png"/><Relationship Id="rId457" Type="http://schemas.openxmlformats.org/officeDocument/2006/relationships/image" Target="media/image362.png"/><Relationship Id="rId458" Type="http://schemas.openxmlformats.org/officeDocument/2006/relationships/image" Target="media/image363.png"/><Relationship Id="rId459" Type="http://schemas.openxmlformats.org/officeDocument/2006/relationships/image" Target="media/image364.jpeg"/><Relationship Id="rId460" Type="http://schemas.openxmlformats.org/officeDocument/2006/relationships/image" Target="media/image365.png"/><Relationship Id="rId461" Type="http://schemas.openxmlformats.org/officeDocument/2006/relationships/image" Target="media/image366.png"/><Relationship Id="rId462" Type="http://schemas.openxmlformats.org/officeDocument/2006/relationships/image" Target="media/image367.jpeg"/><Relationship Id="rId463" Type="http://schemas.openxmlformats.org/officeDocument/2006/relationships/image" Target="media/image368.png"/><Relationship Id="rId464" Type="http://schemas.openxmlformats.org/officeDocument/2006/relationships/image" Target="media/image369.png"/><Relationship Id="rId465" Type="http://schemas.openxmlformats.org/officeDocument/2006/relationships/image" Target="media/image370.png"/><Relationship Id="rId366" Type="http://schemas.openxmlformats.org/officeDocument/2006/relationships/hyperlink" Target="http://www.sec.gov/Archives/edgar/data/1838987/000119312523155921/d425844ds4a.htm#anxacov" TargetMode="External"/><Relationship Id="rId367" Type="http://schemas.openxmlformats.org/officeDocument/2006/relationships/hyperlink" Target="http://www.sec.gov/Archives/edgar/data/1838987/000119312523030704/d425844dex24.htm" TargetMode="External"/><Relationship Id="rId368" Type="http://schemas.openxmlformats.org/officeDocument/2006/relationships/hyperlink" Target="http://www.sec.gov/Archives/edgar/data/1838987/000119312523239699/d558159dex21.htm" TargetMode="External"/><Relationship Id="rId369" Type="http://schemas.openxmlformats.org/officeDocument/2006/relationships/hyperlink" Target="http://www.sec.gov/Archives/edgar/data/1838987/000119312523191334/d862117dex31.htm" TargetMode="External"/><Relationship Id="rId370" Type="http://schemas.openxmlformats.org/officeDocument/2006/relationships/hyperlink" Target="http://www.sec.gov/Archives/edgar/data/1838987/000121390025101247/ea026184401ex3-1_sunpower.htm" TargetMode="External"/><Relationship Id="rId371" Type="http://schemas.openxmlformats.org/officeDocument/2006/relationships/hyperlink" Target="http://www.sec.gov/Archives/edgar/data/1838987/000121390025101247/ea026184401ex3-2_sunpower.htm" TargetMode="External"/><Relationship Id="rId372" Type="http://schemas.openxmlformats.org/officeDocument/2006/relationships/hyperlink" Target="http://www.sec.gov/Archives/edgar/data/1838987/000119312523255093/d569645dex41.htm" TargetMode="External"/><Relationship Id="rId373" Type="http://schemas.openxmlformats.org/officeDocument/2006/relationships/hyperlink" Target="http://www.sec.gov/Archives/edgar/data/1838987/000119312523255093/d569645dex42.htm" TargetMode="External"/><Relationship Id="rId374" Type="http://schemas.openxmlformats.org/officeDocument/2006/relationships/hyperlink" Target="http://www.sec.gov/Archives/edgar/data/1838987/000119312523192359/d530739dex41.htm" TargetMode="External"/><Relationship Id="rId375" Type="http://schemas.openxmlformats.org/officeDocument/2006/relationships/hyperlink" Target="http://www.sec.gov/Archives/edgar/data/1838987/000095010321003441/dp147251_ex0401.htm" TargetMode="External"/><Relationship Id="rId376" Type="http://schemas.openxmlformats.org/officeDocument/2006/relationships/hyperlink" Target="https://www.sec.gov/Archives/edgar/data/1838987/000121390024082266/ea021574201ex4-1_complete.htm" TargetMode="External"/><Relationship Id="rId377" Type="http://schemas.openxmlformats.org/officeDocument/2006/relationships/hyperlink" Target="http://www.sec.gov/Archives/edgar/data/1838987/000121390024014892/ea193922ex10-1_complete.htm" TargetMode="External"/><Relationship Id="rId378" Type="http://schemas.openxmlformats.org/officeDocument/2006/relationships/hyperlink" Target="http://www.sec.gov/Archives/edgar/data/1838987/000121390024059870/ea020910501ex10-1_complete.htm" TargetMode="External"/><Relationship Id="rId379" Type="http://schemas.openxmlformats.org/officeDocument/2006/relationships/hyperlink" Target="http://www.sec.gov/Archives/edgar/data/1838987/000121390024059870/ea020910501ex10-2_complete.htm" TargetMode="External"/><Relationship Id="rId380" Type="http://schemas.openxmlformats.org/officeDocument/2006/relationships/hyperlink" Target="http://www.sec.gov/Archives/edgar/data/1838987/000121390025089842/ea025817301ex10-2_complete.htm" TargetMode="External"/><Relationship Id="rId381" Type="http://schemas.openxmlformats.org/officeDocument/2006/relationships/hyperlink" Target="https://www.sec.gov/Archives/edgar/data/1838987/000121390024082266/ea021574201ex4-2_complete.htm" TargetMode="External"/><Relationship Id="rId382" Type="http://schemas.openxmlformats.org/officeDocument/2006/relationships/hyperlink" Target="https://www.sec.gov/Archives/edgar/data/1838987/000121390024110645/ea022515001ex4-13_complete.htm" TargetMode="External"/><Relationship Id="rId383" Type="http://schemas.openxmlformats.org/officeDocument/2006/relationships/hyperlink" Target="http://www.sec.gov/Archives/edgar/data/1838987/000121390025064680/ea024916501ex4-1_complete.htm" TargetMode="External"/><Relationship Id="rId384" Type="http://schemas.openxmlformats.org/officeDocument/2006/relationships/hyperlink" Target="http://www.sec.gov/Archives/edgar/data/1838987/000121390024082266/ea021574201ex4-1_complete.htm" TargetMode="External"/><Relationship Id="rId385" Type="http://schemas.openxmlformats.org/officeDocument/2006/relationships/hyperlink" Target="http://www.sec.gov/Archives/edgar/data/1838987/000121390024082266/ea021574201ex4-2_complete.htm" TargetMode="External"/><Relationship Id="rId386" Type="http://schemas.openxmlformats.org/officeDocument/2006/relationships/hyperlink" Target="https://www.sec.gov/Archives/edgar/data/1838987/000121390025037748/ea023783401ex4-8_complete.htm" TargetMode="External"/><Relationship Id="rId387" Type="http://schemas.openxmlformats.org/officeDocument/2006/relationships/hyperlink" Target="http://www.sec.gov/Archives/edgar/data/1838987/000121390026009812/ea027447901ex4-1_sunpower.htm" TargetMode="External"/><Relationship Id="rId389" Type="http://schemas.openxmlformats.org/officeDocument/2006/relationships/hyperlink" Target="http://www.sec.gov/Archives/edgar/data/1838987/000119312523192359/d530739dex1023.htm" TargetMode="External"/><Relationship Id="rId390" Type="http://schemas.openxmlformats.org/officeDocument/2006/relationships/hyperlink" Target="http://www.sec.gov/Archives/edgar/data/1838987/000119312523192359/d530739dex1024.htm" TargetMode="External"/><Relationship Id="rId391" Type="http://schemas.openxmlformats.org/officeDocument/2006/relationships/hyperlink" Target="http://www.sec.gov/Archives/edgar/data/1838987/000119312523192359/d530739dex1025.htm" TargetMode="External"/><Relationship Id="rId392" Type="http://schemas.openxmlformats.org/officeDocument/2006/relationships/hyperlink" Target="http://www.sec.gov/Archives/edgar/data/1838987/000119312523192359/d530739dex1026.htm" TargetMode="External"/><Relationship Id="rId393" Type="http://schemas.openxmlformats.org/officeDocument/2006/relationships/hyperlink" Target="http://www.sec.gov/Archives/edgar/data/1838987/000119312523192359/d530739dex1027.htm" TargetMode="External"/><Relationship Id="rId394" Type="http://schemas.openxmlformats.org/officeDocument/2006/relationships/hyperlink" Target="http://www.sec.gov/Archives/edgar/data/1838987/000119312523192359/d530739dex1028.htm" TargetMode="External"/><Relationship Id="rId395" Type="http://schemas.openxmlformats.org/officeDocument/2006/relationships/hyperlink" Target="http://www.sec.gov/Archives/edgar/data/1838987/000119312523192359/d530739dex1029.htm" TargetMode="External"/><Relationship Id="rId396" Type="http://schemas.openxmlformats.org/officeDocument/2006/relationships/hyperlink" Target="http://www.sec.gov/Archives/edgar/data/1838987/000119312523192359/d530739dex1030.htm" TargetMode="External"/><Relationship Id="rId397" Type="http://schemas.openxmlformats.org/officeDocument/2006/relationships/hyperlink" Target="http://www.sec.gov/Archives/edgar/data/1838987/000119312523192359/d530739dex1031.htm" TargetMode="External"/><Relationship Id="rId398" Type="http://schemas.openxmlformats.org/officeDocument/2006/relationships/hyperlink" Target="http://www.sec.gov/Archives/edgar/data/1838987/000119312523192359/d530739dex1032.htm" TargetMode="External"/><Relationship Id="rId399" Type="http://schemas.openxmlformats.org/officeDocument/2006/relationships/hyperlink" Target="http://www.sec.gov/Archives/edgar/data/1838987/000119312523186922/d530874dex101.htm" TargetMode="External"/><Relationship Id="rId400" Type="http://schemas.openxmlformats.org/officeDocument/2006/relationships/hyperlink" Target="http://www.sec.gov/Archives/edgar/data/1838987/000119312523185048/d532459dex101.htm" TargetMode="External"/><Relationship Id="rId401" Type="http://schemas.openxmlformats.org/officeDocument/2006/relationships/hyperlink" Target="http://www.sec.gov/Archives/edgar/data/1838987/000119312523184254/d531627dex101.htm" TargetMode="External"/><Relationship Id="rId402" Type="http://schemas.openxmlformats.org/officeDocument/2006/relationships/hyperlink" Target="https://www.sec.gov/Archives/edgar/data/1838987/000121390026004024/ea027210101ex10-14_sunpower.htm" TargetMode="External"/><Relationship Id="rId403" Type="http://schemas.openxmlformats.org/officeDocument/2006/relationships/hyperlink" Target="http://www.sec.gov/Archives/edgar/data/1838987/000119312523192359/d530739dex106.htm" TargetMode="External"/><Relationship Id="rId404" Type="http://schemas.openxmlformats.org/officeDocument/2006/relationships/hyperlink" Target="http://www.sec.gov/Archives/edgar/data/1838987/000119312523192359/d530739dex107.htm" TargetMode="External"/><Relationship Id="rId406" Type="http://schemas.openxmlformats.org/officeDocument/2006/relationships/hyperlink" Target="http://www.sec.gov/Archives/edgar/data/1838987/000119312523141069/d425844dex1022.htm" TargetMode="External"/><Relationship Id="rId407" Type="http://schemas.openxmlformats.org/officeDocument/2006/relationships/hyperlink" Target="https://www.sec.gov/Archives/edgar/data/1838987/000121390024059870/ea020910501ex10-1_complete.htm" TargetMode="External"/><Relationship Id="rId408" Type="http://schemas.openxmlformats.org/officeDocument/2006/relationships/hyperlink" Target="https://www.sec.gov/Archives/edgar/data/1838987/000121390024059870/ea020910501ex10-2_complete.htm" TargetMode="External"/><Relationship Id="rId409" Type="http://schemas.openxmlformats.org/officeDocument/2006/relationships/hyperlink" Target="https://www.sec.gov/Archives/edgar/data/1838987/000121390024059870/ea020910501ex10-3_complete.htm" TargetMode="External"/><Relationship Id="rId410" Type="http://schemas.openxmlformats.org/officeDocument/2006/relationships/hyperlink" Target="https://www.sec.gov/Archives/edgar/data/1838987/000121390024082266/ea021574201ex10-1_complete.htm" TargetMode="External"/><Relationship Id="rId411" Type="http://schemas.openxmlformats.org/officeDocument/2006/relationships/hyperlink" Target="https://www.sec.gov/Archives/edgar/data/1838987/000121390024063629/ea020991301ex10-1_complete.htm" TargetMode="External"/><Relationship Id="rId412" Type="http://schemas.openxmlformats.org/officeDocument/2006/relationships/hyperlink" Target="https://www.sec.gov/Archives/edgar/data/1838987/000121390024062183/ea020939801ex10-1_complete.htm" TargetMode="External"/><Relationship Id="rId413" Type="http://schemas.openxmlformats.org/officeDocument/2006/relationships/hyperlink" Target="https://www.sec.gov/Archives/edgar/data/1838987/000101376224001581/ea021010801ex10-1_complete.htm" TargetMode="External"/><Relationship Id="rId414" Type="http://schemas.openxmlformats.org/officeDocument/2006/relationships/hyperlink" Target="https://www.sec.gov/Archives/edgar/data/1838987/000121390024070909/ea021183501ex10-1_complete.htm" TargetMode="External"/><Relationship Id="rId415" Type="http://schemas.openxmlformats.org/officeDocument/2006/relationships/hyperlink" Target="https://www.sec.gov/Archives/edgar/data/1838987/000121390024062183/ea020939801ex10-2_complete.htm" TargetMode="External"/><Relationship Id="rId416" Type="http://schemas.openxmlformats.org/officeDocument/2006/relationships/hyperlink" Target="https://www.sec.gov/Archives/edgar/data/1838987/000121390024063080/ea020954501ex10-47_comp.htm" TargetMode="External"/><Relationship Id="rId417" Type="http://schemas.openxmlformats.org/officeDocument/2006/relationships/hyperlink" Target="https://www.sec.gov/Archives/edgar/data/1838987/000121390024065369/ea0210606ex10-1_complete.htm" TargetMode="External"/><Relationship Id="rId418" Type="http://schemas.openxmlformats.org/officeDocument/2006/relationships/hyperlink" Target="https://www.sec.gov/Archives/edgar/data/1838987/000121390024088191/ea021775901ex10-1_complete.htm" TargetMode="External"/><Relationship Id="rId419" Type="http://schemas.openxmlformats.org/officeDocument/2006/relationships/hyperlink" Target="https://www.sec.gov/Archives/edgar/data/1838987/000121390024084077/ea021637401ex10-1_complete.htm" TargetMode="External"/><Relationship Id="rId420" Type="http://schemas.openxmlformats.org/officeDocument/2006/relationships/hyperlink" Target="https://www.sec.gov/Archives/edgar/data/1838987/000121390024034907/ea020435701ex10-1_complete.htm" TargetMode="External"/><Relationship Id="rId421" Type="http://schemas.openxmlformats.org/officeDocument/2006/relationships/hyperlink" Target="http://www.sec.gov/Archives/edgar/data/1838987/000121390024068973/ea021055601ex10-2_complete.htm" TargetMode="External"/><Relationship Id="rId422" Type="http://schemas.openxmlformats.org/officeDocument/2006/relationships/hyperlink" Target="http://www.sec.gov/Archives/edgar/data/1838987/000121390024042914/ea020601801ex10-1_complete.htm" TargetMode="External"/><Relationship Id="rId423" Type="http://schemas.openxmlformats.org/officeDocument/2006/relationships/hyperlink" Target="http://www.sec.gov/Archives/edgar/data/1838987/000121390024042914/ea020601801ex10-2_complete.htm" TargetMode="External"/><Relationship Id="rId424" Type="http://schemas.openxmlformats.org/officeDocument/2006/relationships/hyperlink" Target="http://www.sec.gov/Archives/edgar/data/1838987/000121390024044730/ea020599101ex10-1_complete.htm" TargetMode="External"/><Relationship Id="rId425" Type="http://schemas.openxmlformats.org/officeDocument/2006/relationships/hyperlink" Target="http://www.sec.gov/Archives/edgar/data/1838987/000121390024068973/ea021055601ex10-7_complete.htm" TargetMode="External"/><Relationship Id="rId426" Type="http://schemas.openxmlformats.org/officeDocument/2006/relationships/hyperlink" Target="http://www.sec.gov/Archives/edgar/data/1838987/000121390024054298/ea020820901ex10-1_complete.htm" TargetMode="External"/><Relationship Id="rId427" Type="http://schemas.openxmlformats.org/officeDocument/2006/relationships/hyperlink" Target="http://www.sec.gov/Archives/edgar/data/1838987/000121390024054756/ea020827201ex10-1_complete.htm" TargetMode="External"/><Relationship Id="rId428" Type="http://schemas.openxmlformats.org/officeDocument/2006/relationships/hyperlink" Target="http://www.sec.gov/Archives/edgar/data/1838987/000121390024055210/ea020839101ex10-1_complete.htm" TargetMode="External"/><Relationship Id="rId429" Type="http://schemas.openxmlformats.org/officeDocument/2006/relationships/hyperlink" Target="http://www.sec.gov/Archives/edgar/data/1838987/000121390024055210/ea020839101ex10-2_complete.htm" TargetMode="External"/><Relationship Id="rId430" Type="http://schemas.openxmlformats.org/officeDocument/2006/relationships/hyperlink" Target="http://www.sec.gov/Archives/edgar/data/1838987/000119312523192359/d530739dex108.htm" TargetMode="External"/><Relationship Id="rId431" Type="http://schemas.openxmlformats.org/officeDocument/2006/relationships/hyperlink" Target="http://www.sec.gov/Archives/edgar/data/1838987/000119312523192359/d530739dex109.htm" TargetMode="External"/><Relationship Id="rId432" Type="http://schemas.openxmlformats.org/officeDocument/2006/relationships/hyperlink" Target="http://www.sec.gov/Archives/edgar/data/1838987/000119312523192359/d530739dex1010.htm" TargetMode="External"/><Relationship Id="rId434" Type="http://schemas.openxmlformats.org/officeDocument/2006/relationships/hyperlink" Target="http://www.sec.gov/Archives/edgar/data/1838987/000119312523192359/d530739dex1011.htm" TargetMode="External"/><Relationship Id="rId435" Type="http://schemas.openxmlformats.org/officeDocument/2006/relationships/hyperlink" Target="http://www.sec.gov/Archives/edgar/data/1838987/000119312523192359/d530739dex1012.htm" TargetMode="External"/><Relationship Id="rId436" Type="http://schemas.openxmlformats.org/officeDocument/2006/relationships/hyperlink" Target="http://www.sec.gov/Archives/edgar/data/1838987/000119312523192359/d530739dex1013.htm" TargetMode="External"/><Relationship Id="rId437" Type="http://schemas.openxmlformats.org/officeDocument/2006/relationships/hyperlink" Target="http://www.sec.gov/Archives/edgar/data/1838987/000119312523192359/d530739dex1014.htm" TargetMode="External"/><Relationship Id="rId438" Type="http://schemas.openxmlformats.org/officeDocument/2006/relationships/hyperlink" Target="http://www.sec.gov/Archives/edgar/data/1838987/000119312523192359/d530739dex1015.htm" TargetMode="External"/><Relationship Id="rId439" Type="http://schemas.openxmlformats.org/officeDocument/2006/relationships/hyperlink" Target="http://www.sec.gov/Archives/edgar/data/1838987/000119312523192359/d530739dex1016.htm" TargetMode="External"/><Relationship Id="rId440" Type="http://schemas.openxmlformats.org/officeDocument/2006/relationships/hyperlink" Target="http://www.sec.gov/Archives/edgar/data/1838987/000121390024063080/ea020954501ex10-41_comp.htm" TargetMode="External"/><Relationship Id="rId441" Type="http://schemas.openxmlformats.org/officeDocument/2006/relationships/hyperlink" Target="https://www.sec.gov/Archives/edgar/data/1838987/000121390024059547/ea020897701ex10-1_complete.htm" TargetMode="External"/><Relationship Id="rId442" Type="http://schemas.openxmlformats.org/officeDocument/2006/relationships/hyperlink" Target="http://www.sec.gov/Archives/edgar/data/1838987/000121390024110645/ea022515001ex1-2_complete.htm" TargetMode="External"/><Relationship Id="rId443" Type="http://schemas.openxmlformats.org/officeDocument/2006/relationships/hyperlink" Target="http://www.sec.gov/Archives/edgar/data/1838987/000121390025066104/ea024964401ex10-1_comple.htm" TargetMode="External"/><Relationship Id="rId444" Type="http://schemas.openxmlformats.org/officeDocument/2006/relationships/hyperlink" Target="https://www.sec.gov/Archives/edgar/data/1838987/000121390025066104/ea024964401ex10-2_comple.htm" TargetMode="External"/><Relationship Id="rId445" Type="http://schemas.openxmlformats.org/officeDocument/2006/relationships/hyperlink" Target="http://www.sec.gov/Archives/edgar/data/1838987/000121390025071336/ea025156001ex10-1_complete.htm" TargetMode="External"/><Relationship Id="rId446" Type="http://schemas.openxmlformats.org/officeDocument/2006/relationships/hyperlink" Target="http://www.sec.gov/Archives/edgar/data/1838987/000121390025089842/ea025817301ex10-1_complete.htm" TargetMode="External"/><Relationship Id="rId447" Type="http://schemas.openxmlformats.org/officeDocument/2006/relationships/hyperlink" Target="http://www.sec.gov/Archives/edgar/data/1838987/000121390025089842/ea025817301ex10-3_complete.htm" TargetMode="External"/><Relationship Id="rId448" Type="http://schemas.openxmlformats.org/officeDocument/2006/relationships/hyperlink" Target="https://www.sec.gov/Archives/edgar/data/1838987/000121390025113856/ea026676801ex10-1_sunpower.htm" TargetMode="External"/><Relationship Id="rId449" Type="http://schemas.openxmlformats.org/officeDocument/2006/relationships/hyperlink" Target="http://www.sec.gov/Archives/edgar/data/1838987/000121390026003483/ea027251301ex10-1_sunpower.htm" TargetMode="External"/><Relationship Id="rId450" Type="http://schemas.openxmlformats.org/officeDocument/2006/relationships/hyperlink" Target="https://www.sec.gov/Archives/edgar/data/1838987/000121390026009812/ea027447901ex10-1_sunpower.htm" TargetMode="External"/><Relationship Id="rId451" Type="http://schemas.openxmlformats.org/officeDocument/2006/relationships/hyperlink" Target="http://www.sec.gov/Archives/edgar/data/1838987/000121390026009812/ea027447901ex10-2_sunpower.htm" TargetMode="External"/><Relationship Id="rId452" Type="http://schemas.openxmlformats.org/officeDocument/2006/relationships/hyperlink" Target="http://www.sec.gov/Archives/edgar/data/1838987/000121390026009812/ea027447901ex10-3_sunpower.htm" TargetMode="External"/><Relationship Id="rId453" Type="http://schemas.openxmlformats.org/officeDocument/2006/relationships/hyperlink" Target="https://www.sec.gov/Archives/edgar/data/1838987/000121390026010846/ea027497601ex10-1_sunpower.htm" TargetMode="External"/><Relationship Id="rId454" Type="http://schemas.openxmlformats.org/officeDocument/2006/relationships/hyperlink" Target="https://www.sec.gov/Archives/edgar/data/1838987/000121390024064146/ea021041601ex16-1_complete.htm" TargetMode="External"/><Relationship Id="rId455" Type="http://schemas.openxmlformats.org/officeDocument/2006/relationships/hyperlink" Target="https://www.sec.gov/Archives/edgar/data/1838987/000121390025037748/ea023783401ex19-1_complete.htm" TargetMode="External"/><Relationship Id="rId456" Type="http://schemas.openxmlformats.org/officeDocument/2006/relationships/hyperlink" Target="https://www.sec.gov/Archives/edgar/data/1838987/000119312523206474/d508460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2026-02-03T09:49:50Z</dcterms:created>
  <dcterms:modified xsi:type="dcterms:W3CDTF">2026-02-03T09:49:50Z</dcterms:modified>
</cp:coreProperties>
</file>