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f10q0623_completesol.htm"/>
      <w:bookmarkStart w:id="1" w:name="ksf10q0623_completesol"/>
      <w:bookmarkEnd w:id="0"/>
      <w:bookmarkEnd w:id="1"/>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quarterly period ended June 30,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to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 file number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001-40117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COMPLETE SOLARIA,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 to Freedom Acquisition I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480" w:type="dxa"/>
        <w:jc w:val="left"/>
        <w:tblInd w:w="0" w:type="dxa"/>
        <w:tblLayout w:type="fixed"/>
        <w:tblCellMar>
          <w:top w:w="0" w:type="dxa"/>
          <w:left w:w="0" w:type="dxa"/>
          <w:bottom w:w="28" w:type="dxa"/>
          <w:right w:w="0" w:type="dxa"/>
        </w:tblCellMar>
      </w:tblPr>
      <w:tblGrid>
        <w:gridCol w:w="2525"/>
        <w:gridCol w:w="60"/>
        <w:gridCol w:w="1895"/>
      </w:tblGrid>
      <w:tr>
        <w:trPr/>
        <w:tc>
          <w:tcPr>
            <w:tcW w:w="2525" w:type="dxa"/>
            <w:tcBorders>
              <w:bottom w:val="single" w:sz="12" w:space="0" w:color="000000"/>
            </w:tcBorders>
            <w:vAlign w:val="center"/>
          </w:tcPr>
          <w:p>
            <w:pPr>
              <w:pStyle w:val="TableContents"/>
              <w:bidi w:val="0"/>
              <w:spacing w:before="0" w:after="283"/>
              <w:jc w:val="center"/>
              <w:rPr>
                <w:b/>
                <w:sz w:val="20"/>
              </w:rPr>
            </w:pPr>
            <w:r>
              <w:rPr>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1895" w:type="dxa"/>
            <w:tcBorders>
              <w:bottom w:val="single" w:sz="12" w:space="0" w:color="000000"/>
            </w:tcBorders>
            <w:vAlign w:val="center"/>
          </w:tcPr>
          <w:p>
            <w:pPr>
              <w:pStyle w:val="TableContents"/>
              <w:bidi w:val="0"/>
              <w:spacing w:before="0" w:after="283"/>
              <w:jc w:val="center"/>
              <w:rPr>
                <w:b/>
                <w:sz w:val="20"/>
              </w:rPr>
            </w:pPr>
            <w:r>
              <w:rPr>
                <w:b/>
                <w:sz w:val="20"/>
              </w:rPr>
              <w:t>N/A</w:t>
            </w:r>
          </w:p>
        </w:tc>
      </w:tr>
      <w:tr>
        <w:trPr/>
        <w:tc>
          <w:tcPr>
            <w:tcW w:w="2525" w:type="dxa"/>
            <w:tcBorders/>
            <w:tcMar>
              <w:bottom w:w="0" w:type="dxa"/>
            </w:tcMar>
            <w:vAlign w:val="center"/>
          </w:tcPr>
          <w:p>
            <w:pPr>
              <w:pStyle w:val="TableContents"/>
              <w:bidi w:val="0"/>
              <w:spacing w:before="0" w:after="283"/>
              <w:jc w:val="center"/>
              <w:rPr>
                <w:sz w:val="20"/>
              </w:rPr>
            </w:pPr>
            <w:r>
              <w:rPr>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895" w:type="dxa"/>
            <w:tcBorders/>
            <w:tcMar>
              <w:bottom w:w="0" w:type="dxa"/>
            </w:tcMar>
            <w:vAlign w:val="center"/>
          </w:tcPr>
          <w:p>
            <w:pPr>
              <w:pStyle w:val="TableContents"/>
              <w:bidi w:val="0"/>
              <w:spacing w:before="0" w:after="283"/>
              <w:jc w:val="center"/>
              <w:rPr/>
            </w:pPr>
            <w:r>
              <w:rPr/>
              <w:t> </w:t>
            </w:r>
            <w:r>
              <w:rPr>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w:t>
      </w:r>
      <w:r>
        <w:rPr>
          <w:rFonts w:ascii="Times New Roman;Times;Serif" w:hAnsi="Times New Roman;Times;Serif"/>
          <w:b/>
          <w:i w:val="false"/>
          <w:caps w:val="false"/>
          <w:smallCaps w:val="false"/>
          <w:sz w:val="20"/>
        </w:rPr>
        <w:t>45700 Northport Loop East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Fremont, CA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94538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w:t>
      </w:r>
      <w:r>
        <w:rPr>
          <w:rFonts w:ascii="Times New Roman;Times;Serif" w:hAnsi="Times New Roman;Times;Serif"/>
          <w:b/>
          <w:i w:val="false"/>
          <w:caps w:val="false"/>
          <w:smallCaps w:val="false"/>
          <w:sz w:val="20"/>
        </w:rPr>
        <w:t>(510) 270-2507</w:t>
      </w:r>
    </w:p>
    <w:p>
      <w:pPr>
        <w:pStyle w:val="TextBody"/>
        <w:bidi w:val="0"/>
        <w:spacing w:before="0" w:after="0"/>
        <w:ind w:left="0" w:right="0" w:hanging="0"/>
        <w:jc w:val="center"/>
        <w:rPr>
          <w:caps w:val="false"/>
          <w:smallCaps w:val="false"/>
        </w:rPr>
      </w:pPr>
      <w:r>
        <w:rPr>
          <w:caps w:val="false"/>
          <w:smallCaps w:val="false"/>
        </w:rPr>
        <w: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482"/>
        <w:gridCol w:w="60"/>
        <w:gridCol w:w="1326"/>
        <w:gridCol w:w="60"/>
        <w:gridCol w:w="2277"/>
      </w:tblGrid>
      <w:tr>
        <w:trPr/>
        <w:tc>
          <w:tcPr>
            <w:tcW w:w="6482"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26"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Trading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Symbol(s)</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77"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w:t>
              <w:br/>
              <w:t>Registered</w:t>
            </w:r>
          </w:p>
        </w:tc>
      </w:tr>
      <w:tr>
        <w:trPr/>
        <w:tc>
          <w:tcPr>
            <w:tcW w:w="648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par value $0.0001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2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7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York Stock Exchange</w:t>
            </w:r>
          </w:p>
        </w:tc>
      </w:tr>
      <w:tr>
        <w:trPr/>
        <w:tc>
          <w:tcPr>
            <w:tcW w:w="648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 warrants, each whole warrant exercisable for one ‎Class A ordinary share at an exercise price of $11.50‎</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2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 WS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7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York Stock Exchange</w:t>
            </w:r>
          </w:p>
        </w:tc>
      </w:tr>
      <w:tr>
        <w:trPr/>
        <w:tc>
          <w:tcPr>
            <w:tcW w:w="648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 each consisting of one Class A ordinary share and one-‎fourth of one redeemable warrant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2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FACT.U‎</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7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York Stock Exchange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both"/>
        <w:rPr>
          <w:caps w:val="false"/>
          <w:smallCaps w:val="false"/>
        </w:rPr>
      </w:pPr>
      <w:r>
        <w:rPr>
          <w:caps w:val="false"/>
          <w:smallCaps w:val="false"/>
        </w:rPr>
        <w:t> </w:t>
      </w:r>
    </w:p>
    <w:tbl>
      <w:tblPr>
        <w:tblW w:w="4745" w:type="dxa"/>
        <w:jc w:val="left"/>
        <w:tblInd w:w="0" w:type="dxa"/>
        <w:tblLayout w:type="fixed"/>
        <w:tblCellMar>
          <w:top w:w="0" w:type="dxa"/>
          <w:left w:w="0" w:type="dxa"/>
          <w:bottom w:w="0" w:type="dxa"/>
          <w:right w:w="0" w:type="dxa"/>
        </w:tblCellMar>
      </w:tblPr>
      <w:tblGrid>
        <w:gridCol w:w="1880"/>
        <w:gridCol w:w="290"/>
        <w:gridCol w:w="2270"/>
        <w:gridCol w:w="305"/>
      </w:tblGrid>
      <w:tr>
        <w:trPr/>
        <w:tc>
          <w:tcPr>
            <w:tcW w:w="1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2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3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 </w:t>
            </w:r>
          </w:p>
        </w:tc>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2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 </w:t>
            </w:r>
          </w:p>
        </w:tc>
        <w:tc>
          <w:tcPr>
            <w:tcW w:w="3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80" w:type="dxa"/>
            <w:tcBorders/>
            <w:vAlign w:val="center"/>
          </w:tcPr>
          <w:p>
            <w:pPr>
              <w:pStyle w:val="TableContents"/>
              <w:bidi w:val="0"/>
              <w:spacing w:before="0" w:after="283"/>
              <w:jc w:val="both"/>
              <w:rPr>
                <w:caps w:val="false"/>
                <w:smallCaps w:val="false"/>
              </w:rPr>
            </w:pPr>
            <w:r>
              <w:rPr>
                <w:caps w:val="false"/>
                <w:smallCaps w:val="false"/>
              </w:rPr>
              <w:t> </w:t>
            </w:r>
          </w:p>
        </w:tc>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2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tc>
        <w:tc>
          <w:tcPr>
            <w:tcW w:w="30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14, 2023, 3,458,757 Class A ordinary shares, par value $0.0001 per share, ‎and 8,625,000 Class B ordinary shares, par value $0.0001 per share, were issued and outstanding,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INCORPORATED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COMPLETE SOLARIA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 to Freedom Acquisition I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on 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9"/>
        <w:gridCol w:w="8864"/>
        <w:gridCol w:w="662"/>
      </w:tblGrid>
      <w:tr>
        <w:trPr/>
        <w:tc>
          <w:tcPr>
            <w:tcW w:w="679"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c>
          <w:tcPr>
            <w:tcW w:w="8864" w:type="dxa"/>
            <w:tcBorders/>
            <w:vAlign w:val="center"/>
          </w:tcPr>
          <w:p>
            <w:pPr>
              <w:pStyle w:val="TableContents"/>
              <w:bidi w:val="0"/>
              <w:spacing w:before="0" w:after="283"/>
              <w:jc w:val="left"/>
              <w:rPr>
                <w:caps w:val="false"/>
                <w:smallCaps w:val="false"/>
              </w:rPr>
            </w:pPr>
            <w:r>
              <w:rPr>
                <w:caps w:val="false"/>
                <w:smallCaps w:val="false"/>
              </w:rPr>
              <w:t> </w:t>
            </w:r>
          </w:p>
        </w:tc>
        <w:tc>
          <w:tcPr>
            <w:tcW w:w="662"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 No</w:t>
            </w:r>
          </w:p>
        </w:tc>
      </w:tr>
      <w:tr>
        <w:trPr/>
        <w:tc>
          <w:tcPr>
            <w:tcW w:w="9543" w:type="dxa"/>
            <w:gridSpan w:val="2"/>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i w:val="false"/>
                  <w:caps w:val="false"/>
                  <w:smallCaps w:val="false"/>
                  <w:sz w:val="20"/>
                </w:rPr>
                <w:t>PART I. FINANCIAL INFORMATION</w:t>
              </w:r>
            </w:hyperlink>
          </w:p>
        </w:tc>
        <w:tc>
          <w:tcPr>
            <w:tcW w:w="66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679"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c>
          <w:tcPr>
            <w:tcW w:w="8864" w:type="dxa"/>
            <w:tcBorders/>
            <w:vAlign w:val="center"/>
          </w:tcPr>
          <w:p>
            <w:pPr>
              <w:pStyle w:val="TableContents"/>
              <w:bidi w:val="0"/>
              <w:spacing w:before="0" w:after="283"/>
              <w:jc w:val="left"/>
              <w:rPr>
                <w:caps w:val="false"/>
                <w:smallCaps w:val="false"/>
              </w:rPr>
            </w:pPr>
            <w:r>
              <w:rPr>
                <w:caps w:val="false"/>
                <w:smallCaps w:val="false"/>
              </w:rPr>
              <w:t> </w:t>
            </w:r>
          </w:p>
        </w:tc>
        <w:tc>
          <w:tcPr>
            <w:tcW w:w="66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79"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864"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Financial Statements</w:t>
              </w:r>
            </w:hyperlink>
          </w:p>
        </w:tc>
        <w:tc>
          <w:tcPr>
            <w:tcW w:w="66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79"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c>
          <w:tcPr>
            <w:tcW w:w="8864" w:type="dxa"/>
            <w:tcBorders/>
            <w:vAlign w:val="center"/>
          </w:tcPr>
          <w:p>
            <w:pPr>
              <w:pStyle w:val="TableContents"/>
              <w:bidi w:val="0"/>
              <w:spacing w:before="0" w:after="283"/>
              <w:jc w:val="left"/>
              <w:rPr>
                <w:caps w:val="false"/>
                <w:smallCaps w:val="false"/>
              </w:rPr>
            </w:pPr>
            <w:r>
              <w:rPr>
                <w:caps w:val="false"/>
                <w:smallCaps w:val="false"/>
              </w:rPr>
              <w:t> </w:t>
            </w:r>
          </w:p>
        </w:tc>
        <w:tc>
          <w:tcPr>
            <w:tcW w:w="66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79"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c>
          <w:tcPr>
            <w:tcW w:w="8864"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Condensed Consolidated Balance Sheets as of June 30, 2023 (Unaudited) and December 31, 2022</w:t>
              </w:r>
            </w:hyperlink>
          </w:p>
        </w:tc>
        <w:tc>
          <w:tcPr>
            <w:tcW w:w="66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79"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c>
          <w:tcPr>
            <w:tcW w:w="8864" w:type="dxa"/>
            <w:tcBorders/>
            <w:vAlign w:val="center"/>
          </w:tcPr>
          <w:p>
            <w:pPr>
              <w:pStyle w:val="TableContents"/>
              <w:bidi w:val="0"/>
              <w:spacing w:before="0" w:after="283"/>
              <w:jc w:val="left"/>
              <w:rPr>
                <w:caps w:val="false"/>
                <w:smallCaps w:val="false"/>
              </w:rPr>
            </w:pPr>
            <w:r>
              <w:rPr>
                <w:caps w:val="false"/>
                <w:smallCaps w:val="false"/>
              </w:rPr>
              <w:t> </w:t>
            </w:r>
          </w:p>
        </w:tc>
        <w:tc>
          <w:tcPr>
            <w:tcW w:w="66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79"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c>
          <w:tcPr>
            <w:tcW w:w="8864"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Unaudited Condensed Consolidated Statements of Operations for the Three and Six Months Ended June 30, 2023 and 2022</w:t>
              </w:r>
            </w:hyperlink>
          </w:p>
        </w:tc>
        <w:tc>
          <w:tcPr>
            <w:tcW w:w="66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679"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c>
          <w:tcPr>
            <w:tcW w:w="8864" w:type="dxa"/>
            <w:tcBorders/>
            <w:vAlign w:val="center"/>
          </w:tcPr>
          <w:p>
            <w:pPr>
              <w:pStyle w:val="TableContents"/>
              <w:bidi w:val="0"/>
              <w:spacing w:before="0" w:after="283"/>
              <w:jc w:val="left"/>
              <w:rPr>
                <w:caps w:val="false"/>
                <w:smallCaps w:val="false"/>
              </w:rPr>
            </w:pPr>
            <w:r>
              <w:rPr>
                <w:caps w:val="false"/>
                <w:smallCaps w:val="false"/>
              </w:rPr>
              <w:t> </w:t>
            </w:r>
          </w:p>
        </w:tc>
        <w:tc>
          <w:tcPr>
            <w:tcW w:w="66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79"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c>
          <w:tcPr>
            <w:tcW w:w="8864"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Unaudited Condensed Consolidated Statements of Changes in Shareholders’ Deficit for the Three and Six Months Ended June 30, 2023 and 2022</w:t>
              </w:r>
            </w:hyperlink>
          </w:p>
        </w:tc>
        <w:tc>
          <w:tcPr>
            <w:tcW w:w="66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679"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c>
          <w:tcPr>
            <w:tcW w:w="8864" w:type="dxa"/>
            <w:tcBorders/>
            <w:vAlign w:val="center"/>
          </w:tcPr>
          <w:p>
            <w:pPr>
              <w:pStyle w:val="TableContents"/>
              <w:bidi w:val="0"/>
              <w:spacing w:before="0" w:after="283"/>
              <w:jc w:val="left"/>
              <w:rPr>
                <w:caps w:val="false"/>
                <w:smallCaps w:val="false"/>
              </w:rPr>
            </w:pPr>
            <w:r>
              <w:rPr>
                <w:caps w:val="false"/>
                <w:smallCaps w:val="false"/>
              </w:rPr>
              <w:t> </w:t>
            </w:r>
          </w:p>
        </w:tc>
        <w:tc>
          <w:tcPr>
            <w:tcW w:w="66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79"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c>
          <w:tcPr>
            <w:tcW w:w="8864"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Unaudited Condensed Consolidated Statements of Cash Flows for the Six Months Ended June 30, 2023 and 2022</w:t>
              </w:r>
            </w:hyperlink>
          </w:p>
        </w:tc>
        <w:tc>
          <w:tcPr>
            <w:tcW w:w="66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79"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c>
          <w:tcPr>
            <w:tcW w:w="8864" w:type="dxa"/>
            <w:tcBorders/>
            <w:vAlign w:val="center"/>
          </w:tcPr>
          <w:p>
            <w:pPr>
              <w:pStyle w:val="TableContents"/>
              <w:bidi w:val="0"/>
              <w:spacing w:before="0" w:after="283"/>
              <w:jc w:val="left"/>
              <w:rPr>
                <w:caps w:val="false"/>
                <w:smallCaps w:val="false"/>
              </w:rPr>
            </w:pPr>
            <w:r>
              <w:rPr>
                <w:caps w:val="false"/>
                <w:smallCaps w:val="false"/>
              </w:rPr>
              <w:t> </w:t>
            </w:r>
          </w:p>
        </w:tc>
        <w:tc>
          <w:tcPr>
            <w:tcW w:w="66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79"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c>
          <w:tcPr>
            <w:tcW w:w="8864"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66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79"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c>
          <w:tcPr>
            <w:tcW w:w="8864" w:type="dxa"/>
            <w:tcBorders/>
            <w:vAlign w:val="center"/>
          </w:tcPr>
          <w:p>
            <w:pPr>
              <w:pStyle w:val="TableContents"/>
              <w:bidi w:val="0"/>
              <w:spacing w:before="0" w:after="283"/>
              <w:jc w:val="left"/>
              <w:rPr>
                <w:caps w:val="false"/>
                <w:smallCaps w:val="false"/>
              </w:rPr>
            </w:pPr>
            <w:r>
              <w:rPr>
                <w:caps w:val="false"/>
                <w:smallCaps w:val="false"/>
              </w:rPr>
              <w:t> </w:t>
            </w:r>
          </w:p>
        </w:tc>
        <w:tc>
          <w:tcPr>
            <w:tcW w:w="66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79"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864"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66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79"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c>
          <w:tcPr>
            <w:tcW w:w="8864" w:type="dxa"/>
            <w:tcBorders/>
            <w:vAlign w:val="center"/>
          </w:tcPr>
          <w:p>
            <w:pPr>
              <w:pStyle w:val="TableContents"/>
              <w:bidi w:val="0"/>
              <w:spacing w:before="0" w:after="283"/>
              <w:jc w:val="left"/>
              <w:rPr>
                <w:caps w:val="false"/>
                <w:smallCaps w:val="false"/>
              </w:rPr>
            </w:pPr>
            <w:r>
              <w:rPr>
                <w:caps w:val="false"/>
                <w:smallCaps w:val="false"/>
              </w:rPr>
              <w:t> </w:t>
            </w:r>
          </w:p>
        </w:tc>
        <w:tc>
          <w:tcPr>
            <w:tcW w:w="66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79"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864"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66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79"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c>
          <w:tcPr>
            <w:tcW w:w="8864" w:type="dxa"/>
            <w:tcBorders/>
            <w:vAlign w:val="center"/>
          </w:tcPr>
          <w:p>
            <w:pPr>
              <w:pStyle w:val="TableContents"/>
              <w:bidi w:val="0"/>
              <w:spacing w:before="0" w:after="283"/>
              <w:jc w:val="left"/>
              <w:rPr>
                <w:caps w:val="false"/>
                <w:smallCaps w:val="false"/>
              </w:rPr>
            </w:pPr>
            <w:r>
              <w:rPr>
                <w:caps w:val="false"/>
                <w:smallCaps w:val="false"/>
              </w:rPr>
              <w:t> </w:t>
            </w:r>
          </w:p>
        </w:tc>
        <w:tc>
          <w:tcPr>
            <w:tcW w:w="66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79"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864"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Controls and Procedures</w:t>
              </w:r>
            </w:hyperlink>
          </w:p>
        </w:tc>
        <w:tc>
          <w:tcPr>
            <w:tcW w:w="66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9543"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6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543" w:type="dxa"/>
            <w:gridSpan w:val="2"/>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i w:val="false"/>
                  <w:caps w:val="false"/>
                  <w:smallCaps w:val="false"/>
                  <w:sz w:val="20"/>
                </w:rPr>
                <w:t>PART II. OTHER INFORMATION</w:t>
              </w:r>
            </w:hyperlink>
          </w:p>
        </w:tc>
        <w:tc>
          <w:tcPr>
            <w:tcW w:w="66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679"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c>
          <w:tcPr>
            <w:tcW w:w="8864" w:type="dxa"/>
            <w:tcBorders/>
            <w:vAlign w:val="center"/>
          </w:tcPr>
          <w:p>
            <w:pPr>
              <w:pStyle w:val="TableContents"/>
              <w:bidi w:val="0"/>
              <w:spacing w:before="0" w:after="283"/>
              <w:jc w:val="left"/>
              <w:rPr>
                <w:caps w:val="false"/>
                <w:smallCaps w:val="false"/>
              </w:rPr>
            </w:pPr>
            <w:r>
              <w:rPr>
                <w:caps w:val="false"/>
                <w:smallCaps w:val="false"/>
              </w:rPr>
              <w:t> </w:t>
            </w:r>
          </w:p>
        </w:tc>
        <w:tc>
          <w:tcPr>
            <w:tcW w:w="66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79"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864"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Legal Proceedings</w:t>
              </w:r>
            </w:hyperlink>
          </w:p>
        </w:tc>
        <w:tc>
          <w:tcPr>
            <w:tcW w:w="66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79"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c>
          <w:tcPr>
            <w:tcW w:w="8864" w:type="dxa"/>
            <w:tcBorders/>
            <w:vAlign w:val="center"/>
          </w:tcPr>
          <w:p>
            <w:pPr>
              <w:pStyle w:val="TableContents"/>
              <w:bidi w:val="0"/>
              <w:spacing w:before="0" w:after="283"/>
              <w:jc w:val="left"/>
              <w:rPr>
                <w:caps w:val="false"/>
                <w:smallCaps w:val="false"/>
              </w:rPr>
            </w:pPr>
            <w:r>
              <w:rPr>
                <w:caps w:val="false"/>
                <w:smallCaps w:val="false"/>
              </w:rPr>
              <w:t> </w:t>
            </w:r>
          </w:p>
        </w:tc>
        <w:tc>
          <w:tcPr>
            <w:tcW w:w="66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79"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8864"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Risk Factors</w:t>
              </w:r>
            </w:hyperlink>
          </w:p>
        </w:tc>
        <w:tc>
          <w:tcPr>
            <w:tcW w:w="66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79"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c>
          <w:tcPr>
            <w:tcW w:w="8864" w:type="dxa"/>
            <w:tcBorders/>
            <w:vAlign w:val="center"/>
          </w:tcPr>
          <w:p>
            <w:pPr>
              <w:pStyle w:val="TableContents"/>
              <w:bidi w:val="0"/>
              <w:spacing w:before="0" w:after="283"/>
              <w:jc w:val="left"/>
              <w:rPr>
                <w:caps w:val="false"/>
                <w:smallCaps w:val="false"/>
              </w:rPr>
            </w:pPr>
            <w:r>
              <w:rPr>
                <w:caps w:val="false"/>
                <w:smallCaps w:val="false"/>
              </w:rPr>
              <w:t> </w:t>
            </w:r>
          </w:p>
        </w:tc>
        <w:tc>
          <w:tcPr>
            <w:tcW w:w="66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79"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864"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Unregistered Sales of Equity Securities and Use of Proceeds from Registered Securities</w:t>
              </w:r>
            </w:hyperlink>
          </w:p>
        </w:tc>
        <w:tc>
          <w:tcPr>
            <w:tcW w:w="66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79"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c>
          <w:tcPr>
            <w:tcW w:w="8864" w:type="dxa"/>
            <w:tcBorders/>
            <w:vAlign w:val="center"/>
          </w:tcPr>
          <w:p>
            <w:pPr>
              <w:pStyle w:val="TableContents"/>
              <w:bidi w:val="0"/>
              <w:spacing w:before="0" w:after="283"/>
              <w:jc w:val="left"/>
              <w:rPr>
                <w:caps w:val="false"/>
                <w:smallCaps w:val="false"/>
              </w:rPr>
            </w:pPr>
            <w:r>
              <w:rPr>
                <w:caps w:val="false"/>
                <w:smallCaps w:val="false"/>
              </w:rPr>
              <w:t> </w:t>
            </w:r>
          </w:p>
        </w:tc>
        <w:tc>
          <w:tcPr>
            <w:tcW w:w="66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79"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864"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Defaults Upon Senior Securities</w:t>
              </w:r>
            </w:hyperlink>
          </w:p>
        </w:tc>
        <w:tc>
          <w:tcPr>
            <w:tcW w:w="66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79"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c>
          <w:tcPr>
            <w:tcW w:w="8864" w:type="dxa"/>
            <w:tcBorders/>
            <w:vAlign w:val="center"/>
          </w:tcPr>
          <w:p>
            <w:pPr>
              <w:pStyle w:val="TableContents"/>
              <w:bidi w:val="0"/>
              <w:spacing w:before="0" w:after="283"/>
              <w:jc w:val="left"/>
              <w:rPr>
                <w:caps w:val="false"/>
                <w:smallCaps w:val="false"/>
              </w:rPr>
            </w:pPr>
            <w:r>
              <w:rPr>
                <w:caps w:val="false"/>
                <w:smallCaps w:val="false"/>
              </w:rPr>
              <w:t> </w:t>
            </w:r>
          </w:p>
        </w:tc>
        <w:tc>
          <w:tcPr>
            <w:tcW w:w="66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79"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864"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Mine Safety Disclosures</w:t>
              </w:r>
            </w:hyperlink>
          </w:p>
        </w:tc>
        <w:tc>
          <w:tcPr>
            <w:tcW w:w="66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79"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c>
          <w:tcPr>
            <w:tcW w:w="8864" w:type="dxa"/>
            <w:tcBorders/>
            <w:vAlign w:val="center"/>
          </w:tcPr>
          <w:p>
            <w:pPr>
              <w:pStyle w:val="TableContents"/>
              <w:bidi w:val="0"/>
              <w:spacing w:before="0" w:after="283"/>
              <w:jc w:val="left"/>
              <w:rPr>
                <w:caps w:val="false"/>
                <w:smallCaps w:val="false"/>
              </w:rPr>
            </w:pPr>
            <w:r>
              <w:rPr>
                <w:caps w:val="false"/>
                <w:smallCaps w:val="false"/>
              </w:rPr>
              <w:t> </w:t>
            </w:r>
          </w:p>
        </w:tc>
        <w:tc>
          <w:tcPr>
            <w:tcW w:w="66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79"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8864"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Other Information</w:t>
              </w:r>
            </w:hyperlink>
          </w:p>
        </w:tc>
        <w:tc>
          <w:tcPr>
            <w:tcW w:w="66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79" w:type="dxa"/>
            <w:tcBorders/>
            <w:vAlign w:val="center"/>
          </w:tcPr>
          <w:p>
            <w:pPr>
              <w:pStyle w:val="TableContents"/>
              <w:bidi w:val="0"/>
              <w:spacing w:before="0" w:after="283"/>
              <w:ind w:left="0" w:right="0" w:hanging="162"/>
              <w:jc w:val="left"/>
              <w:rPr>
                <w:caps w:val="false"/>
                <w:smallCaps w:val="false"/>
              </w:rPr>
            </w:pPr>
            <w:r>
              <w:rPr>
                <w:caps w:val="false"/>
                <w:smallCaps w:val="false"/>
              </w:rPr>
              <w:t> </w:t>
            </w:r>
          </w:p>
        </w:tc>
        <w:tc>
          <w:tcPr>
            <w:tcW w:w="8864" w:type="dxa"/>
            <w:tcBorders/>
            <w:vAlign w:val="center"/>
          </w:tcPr>
          <w:p>
            <w:pPr>
              <w:pStyle w:val="TableContents"/>
              <w:bidi w:val="0"/>
              <w:spacing w:before="0" w:after="283"/>
              <w:jc w:val="left"/>
              <w:rPr>
                <w:caps w:val="false"/>
                <w:smallCaps w:val="false"/>
              </w:rPr>
            </w:pPr>
            <w:r>
              <w:rPr>
                <w:caps w:val="false"/>
                <w:smallCaps w:val="false"/>
              </w:rPr>
              <w:t> </w:t>
            </w:r>
          </w:p>
        </w:tc>
        <w:tc>
          <w:tcPr>
            <w:tcW w:w="66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79"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8864"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b w:val="false"/>
                  <w:i w:val="false"/>
                  <w:caps w:val="false"/>
                  <w:smallCaps w:val="false"/>
                  <w:sz w:val="20"/>
                </w:rPr>
                <w:t>Exhibits</w:t>
              </w:r>
            </w:hyperlink>
          </w:p>
        </w:tc>
        <w:tc>
          <w:tcPr>
            <w:tcW w:w="66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9543"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6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543" w:type="dxa"/>
            <w:gridSpan w:val="2"/>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b/>
                  <w:i w:val="false"/>
                  <w:caps w:val="false"/>
                  <w:smallCaps w:val="false"/>
                  <w:sz w:val="20"/>
                </w:rPr>
                <w:t>SIGNATURES</w:t>
              </w:r>
            </w:hyperlink>
          </w:p>
        </w:tc>
        <w:tc>
          <w:tcPr>
            <w:tcW w:w="66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COMPLETE SOLARIA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 to Freedom Acquisition I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65"/>
        <w:gridCol w:w="60"/>
        <w:gridCol w:w="140"/>
        <w:gridCol w:w="1220"/>
        <w:gridCol w:w="95"/>
        <w:gridCol w:w="60"/>
        <w:gridCol w:w="141"/>
        <w:gridCol w:w="1236"/>
        <w:gridCol w:w="88"/>
      </w:tblGrid>
      <w:tr>
        <w:trPr/>
        <w:tc>
          <w:tcPr>
            <w:tcW w:w="71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2023</w:t>
              <w:b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2022</w:t>
            </w:r>
          </w:p>
        </w:tc>
        <w:tc>
          <w:tcPr>
            <w:tcW w:w="88" w:type="dxa"/>
            <w:tcBorders/>
            <w:vAlign w:val="center"/>
          </w:tcPr>
          <w:p>
            <w:pPr>
              <w:pStyle w:val="TableContents"/>
              <w:bidi w:val="0"/>
              <w:spacing w:before="0" w:after="283"/>
              <w:jc w:val="left"/>
              <w:rPr/>
            </w:pPr>
            <w:r>
              <w:rPr/>
              <w:t> </w:t>
            </w:r>
          </w:p>
        </w:tc>
      </w:tr>
      <w:tr>
        <w:trPr/>
        <w:tc>
          <w:tcPr>
            <w:tcW w:w="7165"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7" w:type="dxa"/>
            <w:gridSpan w:val="2"/>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p>
        </w:tc>
      </w:tr>
      <w:tr>
        <w:trPr/>
        <w:tc>
          <w:tcPr>
            <w:tcW w:w="7165"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7" w:type="dxa"/>
            <w:gridSpan w:val="2"/>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ind w:left="0" w:right="0" w:hanging="146"/>
              <w:jc w:val="left"/>
              <w:rPr/>
            </w:pPr>
            <w:r>
              <w:rPr/>
              <w:t> </w:t>
            </w:r>
          </w:p>
        </w:tc>
      </w:tr>
      <w:tr>
        <w:trPr/>
        <w:tc>
          <w:tcPr>
            <w:tcW w:w="716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6" w:type="dxa"/>
            <w:tcBorders/>
            <w:shd w:fill="CCEEFF" w:val="clear"/>
            <w:vAlign w:val="center"/>
          </w:tcPr>
          <w:p>
            <w:pPr>
              <w:pStyle w:val="TableContents"/>
              <w:bidi w:val="0"/>
              <w:spacing w:before="0" w:after="283"/>
              <w:jc w:val="right"/>
              <w:rPr/>
            </w:pPr>
            <w:r>
              <w:rPr/>
              <w:t>72,923</w:t>
            </w:r>
          </w:p>
        </w:tc>
        <w:tc>
          <w:tcPr>
            <w:tcW w:w="88" w:type="dxa"/>
            <w:tcBorders/>
            <w:shd w:fill="CCEEFF" w:val="clear"/>
            <w:vAlign w:val="center"/>
          </w:tcPr>
          <w:p>
            <w:pPr>
              <w:pStyle w:val="TableContents"/>
              <w:bidi w:val="0"/>
              <w:spacing w:before="0" w:after="283"/>
              <w:ind w:left="0" w:right="0" w:hanging="146"/>
              <w:jc w:val="left"/>
              <w:rPr/>
            </w:pPr>
            <w:r>
              <w:rPr/>
              <w:t> </w:t>
            </w:r>
          </w:p>
        </w:tc>
      </w:tr>
      <w:tr>
        <w:trPr/>
        <w:tc>
          <w:tcPr>
            <w:tcW w:w="7165" w:type="dxa"/>
            <w:tcBorders/>
            <w:vAlign w:val="center"/>
          </w:tcPr>
          <w:p>
            <w:pPr>
              <w:pStyle w:val="TableContents"/>
              <w:bidi w:val="0"/>
              <w:spacing w:before="0" w:after="283"/>
              <w:jc w:val="left"/>
              <w:rPr/>
            </w:pPr>
            <w:r>
              <w:rPr/>
              <w:t>Prepaid expenses - short term</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6" w:type="dxa"/>
            <w:tcBorders>
              <w:bottom w:val="single" w:sz="12" w:space="0" w:color="000000"/>
            </w:tcBorders>
            <w:tcMar>
              <w:bottom w:w="28" w:type="dxa"/>
            </w:tcMar>
            <w:vAlign w:val="center"/>
          </w:tcPr>
          <w:p>
            <w:pPr>
              <w:pStyle w:val="TableContents"/>
              <w:bidi w:val="0"/>
              <w:spacing w:before="0" w:after="283"/>
              <w:jc w:val="right"/>
              <w:rPr/>
            </w:pPr>
            <w:r>
              <w:rPr/>
              <w:t>120,677</w:t>
            </w:r>
          </w:p>
        </w:tc>
        <w:tc>
          <w:tcPr>
            <w:tcW w:w="88" w:type="dxa"/>
            <w:tcBorders/>
            <w:vAlign w:val="center"/>
          </w:tcPr>
          <w:p>
            <w:pPr>
              <w:pStyle w:val="TableContents"/>
              <w:bidi w:val="0"/>
              <w:spacing w:before="0" w:after="283"/>
              <w:ind w:left="0" w:right="0" w:hanging="145"/>
              <w:jc w:val="left"/>
              <w:rPr/>
            </w:pPr>
            <w:r>
              <w:rPr/>
              <w:t> </w:t>
            </w:r>
          </w:p>
        </w:tc>
      </w:tr>
      <w:tr>
        <w:trPr/>
        <w:tc>
          <w:tcPr>
            <w:tcW w:w="7165"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3,251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b/>
              </w:rPr>
            </w:pPr>
            <w:r>
              <w:rPr>
                <w:b/>
              </w:rPr>
              <w:t>193,600</w:t>
            </w:r>
          </w:p>
        </w:tc>
        <w:tc>
          <w:tcPr>
            <w:tcW w:w="88" w:type="dxa"/>
            <w:tcBorders/>
            <w:shd w:fill="CCEEFF" w:val="clear"/>
            <w:vAlign w:val="center"/>
          </w:tcPr>
          <w:p>
            <w:pPr>
              <w:pStyle w:val="TableContents"/>
              <w:bidi w:val="0"/>
              <w:spacing w:before="0" w:after="283"/>
              <w:ind w:left="0" w:right="0" w:hanging="146"/>
              <w:jc w:val="left"/>
              <w:rPr/>
            </w:pPr>
            <w:r>
              <w:rPr/>
              <w:t> </w:t>
            </w:r>
          </w:p>
        </w:tc>
      </w:tr>
      <w:tr>
        <w:trPr/>
        <w:tc>
          <w:tcPr>
            <w:tcW w:w="7165" w:type="dxa"/>
            <w:tcBorders/>
            <w:vAlign w:val="center"/>
          </w:tcPr>
          <w:p>
            <w:pPr>
              <w:pStyle w:val="TableContents"/>
              <w:bidi w:val="0"/>
              <w:spacing w:before="0" w:after="283"/>
              <w:jc w:val="left"/>
              <w:rPr/>
            </w:pPr>
            <w:r>
              <w:rPr/>
              <w:t>Cash and marketable securities held in Trust Account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before="0" w:after="283"/>
              <w:jc w:val="right"/>
              <w:rPr/>
            </w:pPr>
            <w:r>
              <w:rPr/>
              <w:t>118,379,628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6" w:type="dxa"/>
            <w:tcBorders>
              <w:bottom w:val="single" w:sz="12" w:space="0" w:color="000000"/>
            </w:tcBorders>
            <w:tcMar>
              <w:bottom w:w="28" w:type="dxa"/>
            </w:tcMar>
            <w:vAlign w:val="center"/>
          </w:tcPr>
          <w:p>
            <w:pPr>
              <w:pStyle w:val="TableContents"/>
              <w:bidi w:val="0"/>
              <w:spacing w:before="0" w:after="283"/>
              <w:jc w:val="right"/>
              <w:rPr/>
            </w:pPr>
            <w:r>
              <w:rPr/>
              <w:t>349,927,313</w:t>
            </w:r>
          </w:p>
        </w:tc>
        <w:tc>
          <w:tcPr>
            <w:tcW w:w="88" w:type="dxa"/>
            <w:tcBorders/>
            <w:vAlign w:val="center"/>
          </w:tcPr>
          <w:p>
            <w:pPr>
              <w:pStyle w:val="TableContents"/>
              <w:bidi w:val="0"/>
              <w:spacing w:before="0" w:after="283"/>
              <w:ind w:left="0" w:right="0" w:hanging="145"/>
              <w:jc w:val="left"/>
              <w:rPr/>
            </w:pPr>
            <w:r>
              <w:rPr/>
              <w:t> </w:t>
            </w:r>
          </w:p>
        </w:tc>
      </w:tr>
      <w:tr>
        <w:trPr/>
        <w:tc>
          <w:tcPr>
            <w:tcW w:w="716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20" w:type="dxa"/>
            <w:tcBorders/>
            <w:shd w:fill="CCEEFF" w:val="clear"/>
            <w:vAlign w:val="center"/>
          </w:tcPr>
          <w:p>
            <w:pPr>
              <w:pStyle w:val="TableContents"/>
              <w:bidi w:val="0"/>
              <w:spacing w:before="0" w:after="283"/>
              <w:jc w:val="right"/>
              <w:rPr>
                <w:b/>
              </w:rPr>
            </w:pPr>
            <w:r>
              <w:rPr>
                <w:b/>
              </w:rPr>
              <w:t>118,382,879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b/>
              </w:rPr>
            </w:pPr>
            <w:r>
              <w:rPr>
                <w:b/>
              </w:rPr>
              <w:t>$</w:t>
            </w:r>
          </w:p>
        </w:tc>
        <w:tc>
          <w:tcPr>
            <w:tcW w:w="1236" w:type="dxa"/>
            <w:tcBorders/>
            <w:shd w:fill="CCEEFF" w:val="clear"/>
            <w:vAlign w:val="center"/>
          </w:tcPr>
          <w:p>
            <w:pPr>
              <w:pStyle w:val="TableContents"/>
              <w:bidi w:val="0"/>
              <w:spacing w:before="0" w:after="283"/>
              <w:jc w:val="right"/>
              <w:rPr>
                <w:b/>
              </w:rPr>
            </w:pPr>
            <w:r>
              <w:rPr>
                <w:b/>
              </w:rPr>
              <w:t>350,120,913</w:t>
            </w:r>
          </w:p>
        </w:tc>
        <w:tc>
          <w:tcPr>
            <w:tcW w:w="88" w:type="dxa"/>
            <w:tcBorders/>
            <w:shd w:fill="CCEEFF" w:val="clear"/>
            <w:vAlign w:val="center"/>
          </w:tcPr>
          <w:p>
            <w:pPr>
              <w:pStyle w:val="TableContents"/>
              <w:bidi w:val="0"/>
              <w:spacing w:before="0" w:after="283"/>
              <w:ind w:left="0" w:right="0" w:hanging="145"/>
              <w:jc w:val="left"/>
              <w:rPr/>
            </w:pPr>
            <w:r>
              <w:rPr/>
              <w:t> </w:t>
            </w:r>
          </w:p>
        </w:tc>
      </w:tr>
      <w:tr>
        <w:trPr/>
        <w:tc>
          <w:tcPr>
            <w:tcW w:w="7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ind w:left="0" w:right="0" w:hanging="145"/>
              <w:jc w:val="left"/>
              <w:rPr/>
            </w:pPr>
            <w:r>
              <w:rPr/>
              <w:t> </w:t>
            </w:r>
          </w:p>
        </w:tc>
      </w:tr>
      <w:tr>
        <w:trPr/>
        <w:tc>
          <w:tcPr>
            <w:tcW w:w="7165" w:type="dxa"/>
            <w:tcBorders/>
            <w:shd w:fill="CCEEFF" w:val="clear"/>
            <w:vAlign w:val="center"/>
          </w:tcPr>
          <w:p>
            <w:pPr>
              <w:pStyle w:val="TableContents"/>
              <w:bidi w:val="0"/>
              <w:spacing w:before="0" w:after="283"/>
              <w:jc w:val="left"/>
              <w:rPr>
                <w:b/>
              </w:rPr>
            </w:pPr>
            <w:r>
              <w:rPr>
                <w:b/>
              </w:rPr>
              <w:t>Liabilities, Redeemable Ordinary Shares and Shareholders’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45"/>
              <w:jc w:val="left"/>
              <w:rPr/>
            </w:pPr>
            <w:r>
              <w:rPr/>
              <w:t> </w:t>
            </w:r>
          </w:p>
        </w:tc>
      </w:tr>
      <w:tr>
        <w:trPr/>
        <w:tc>
          <w:tcPr>
            <w:tcW w:w="7165" w:type="dxa"/>
            <w:tcBorders/>
            <w:vAlign w:val="center"/>
          </w:tcPr>
          <w:p>
            <w:pPr>
              <w:pStyle w:val="TableContents"/>
              <w:bidi w:val="0"/>
              <w:spacing w:before="0" w:after="283"/>
              <w:jc w:val="left"/>
              <w:rPr>
                <w:b/>
              </w:rPr>
            </w:pPr>
            <w:r>
              <w:rPr>
                <w:b/>
              </w:rPr>
              <w:t>Current liabilities: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ind w:left="0" w:right="0" w:hanging="146"/>
              <w:jc w:val="left"/>
              <w:rPr/>
            </w:pPr>
            <w:r>
              <w:rPr/>
              <w:t> </w:t>
            </w:r>
          </w:p>
        </w:tc>
      </w:tr>
      <w:tr>
        <w:trPr/>
        <w:tc>
          <w:tcPr>
            <w:tcW w:w="7165"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6,999,248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6" w:type="dxa"/>
            <w:tcBorders/>
            <w:shd w:fill="CCEEFF" w:val="clear"/>
            <w:vAlign w:val="center"/>
          </w:tcPr>
          <w:p>
            <w:pPr>
              <w:pStyle w:val="TableContents"/>
              <w:bidi w:val="0"/>
              <w:spacing w:before="0" w:after="283"/>
              <w:jc w:val="right"/>
              <w:rPr/>
            </w:pPr>
            <w:r>
              <w:rPr/>
              <w:t>4,858,215</w:t>
            </w:r>
          </w:p>
        </w:tc>
        <w:tc>
          <w:tcPr>
            <w:tcW w:w="88" w:type="dxa"/>
            <w:tcBorders/>
            <w:shd w:fill="CCEEFF" w:val="clear"/>
            <w:vAlign w:val="center"/>
          </w:tcPr>
          <w:p>
            <w:pPr>
              <w:pStyle w:val="TableContents"/>
              <w:bidi w:val="0"/>
              <w:spacing w:before="0" w:after="283"/>
              <w:ind w:left="0" w:right="0" w:hanging="146"/>
              <w:jc w:val="left"/>
              <w:rPr/>
            </w:pPr>
            <w:r>
              <w:rPr/>
              <w:t> </w:t>
            </w:r>
          </w:p>
        </w:tc>
      </w:tr>
      <w:tr>
        <w:trPr/>
        <w:tc>
          <w:tcPr>
            <w:tcW w:w="7165" w:type="dxa"/>
            <w:tcBorders/>
            <w:vAlign w:val="center"/>
          </w:tcPr>
          <w:p>
            <w:pPr>
              <w:pStyle w:val="TableContents"/>
              <w:bidi w:val="0"/>
              <w:spacing w:before="0" w:after="283"/>
              <w:jc w:val="left"/>
              <w:rPr/>
            </w:pPr>
            <w:r>
              <w:rPr/>
              <w:t>Promissory Note - Related Party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2,300,000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spacing w:before="0" w:after="0"/>
              <w:jc w:val="right"/>
              <w:rPr/>
            </w:pPr>
            <w:r>
              <w:rPr/>
              <w:t>—</w:t>
            </w:r>
          </w:p>
        </w:tc>
        <w:tc>
          <w:tcPr>
            <w:tcW w:w="88" w:type="dxa"/>
            <w:tcBorders/>
            <w:vAlign w:val="center"/>
          </w:tcPr>
          <w:p>
            <w:pPr>
              <w:pStyle w:val="TableContents"/>
              <w:bidi w:val="0"/>
              <w:spacing w:before="0" w:after="283"/>
              <w:ind w:left="0" w:right="0" w:hanging="146"/>
              <w:jc w:val="left"/>
              <w:rPr/>
            </w:pPr>
            <w:r>
              <w:rPr/>
              <w:t> </w:t>
            </w:r>
          </w:p>
        </w:tc>
      </w:tr>
      <w:tr>
        <w:trPr/>
        <w:tc>
          <w:tcPr>
            <w:tcW w:w="7165" w:type="dxa"/>
            <w:tcBorders/>
            <w:shd w:fill="CCEEFF" w:val="clear"/>
            <w:vAlign w:val="center"/>
          </w:tcPr>
          <w:p>
            <w:pPr>
              <w:pStyle w:val="TableContents"/>
              <w:bidi w:val="0"/>
              <w:spacing w:before="0" w:after="283"/>
              <w:jc w:val="left"/>
              <w:rPr/>
            </w:pPr>
            <w:r>
              <w:rPr/>
              <w:t>Convertible Promissory Note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1,188,999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6" w:type="dxa"/>
            <w:tcBorders>
              <w:bottom w:val="single" w:sz="12" w:space="0" w:color="000000"/>
            </w:tcBorders>
            <w:shd w:fill="CCEEFF" w:val="clear"/>
            <w:tcMar>
              <w:bottom w:w="28" w:type="dxa"/>
            </w:tcMar>
            <w:vAlign w:val="center"/>
          </w:tcPr>
          <w:p>
            <w:pPr>
              <w:pStyle w:val="TableContents"/>
              <w:bidi w:val="0"/>
              <w:spacing w:before="0" w:after="283"/>
              <w:jc w:val="right"/>
              <w:rPr/>
            </w:pPr>
            <w:r>
              <w:rPr/>
              <w:t>828,600</w:t>
            </w:r>
          </w:p>
        </w:tc>
        <w:tc>
          <w:tcPr>
            <w:tcW w:w="88" w:type="dxa"/>
            <w:tcBorders/>
            <w:shd w:fill="CCEEFF" w:val="clear"/>
            <w:vAlign w:val="center"/>
          </w:tcPr>
          <w:p>
            <w:pPr>
              <w:pStyle w:val="TableContents"/>
              <w:bidi w:val="0"/>
              <w:spacing w:before="0" w:after="283"/>
              <w:ind w:left="0" w:right="0" w:hanging="145"/>
              <w:jc w:val="left"/>
              <w:rPr/>
            </w:pPr>
            <w:r>
              <w:rPr/>
              <w:t> </w:t>
            </w:r>
          </w:p>
        </w:tc>
      </w:tr>
      <w:tr>
        <w:trPr/>
        <w:tc>
          <w:tcPr>
            <w:tcW w:w="7165" w:type="dxa"/>
            <w:tcBorders/>
            <w:vAlign w:val="center"/>
          </w:tcPr>
          <w:p>
            <w:pPr>
              <w:pStyle w:val="TableContents"/>
              <w:bidi w:val="0"/>
              <w:spacing w:before="0" w:after="283"/>
              <w:jc w:val="left"/>
              <w:rPr>
                <w:b/>
              </w:rPr>
            </w:pPr>
            <w:r>
              <w:rPr>
                <w:b/>
              </w:rPr>
              <w:t>Total current liabilities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b/>
              </w:rPr>
            </w:pPr>
            <w:r>
              <w:rPr>
                <w:b/>
              </w:rPr>
              <w:t>10,488,247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spacing w:before="0" w:after="283"/>
              <w:jc w:val="right"/>
              <w:rPr>
                <w:b/>
              </w:rPr>
            </w:pPr>
            <w:r>
              <w:rPr>
                <w:b/>
              </w:rPr>
              <w:t>5,686,815</w:t>
            </w:r>
          </w:p>
        </w:tc>
        <w:tc>
          <w:tcPr>
            <w:tcW w:w="88" w:type="dxa"/>
            <w:tcBorders/>
            <w:vAlign w:val="center"/>
          </w:tcPr>
          <w:p>
            <w:pPr>
              <w:pStyle w:val="TableContents"/>
              <w:bidi w:val="0"/>
              <w:spacing w:before="0" w:after="283"/>
              <w:ind w:left="0" w:right="0" w:hanging="146"/>
              <w:jc w:val="left"/>
              <w:rPr/>
            </w:pPr>
            <w:r>
              <w:rPr/>
              <w:t> </w:t>
            </w:r>
          </w:p>
        </w:tc>
      </w:tr>
      <w:tr>
        <w:trPr/>
        <w:tc>
          <w:tcPr>
            <w:tcW w:w="7165" w:type="dxa"/>
            <w:tcBorders/>
            <w:shd w:fill="CCEEFF" w:val="clear"/>
            <w:vAlign w:val="center"/>
          </w:tcPr>
          <w:p>
            <w:pPr>
              <w:pStyle w:val="TableContents"/>
              <w:bidi w:val="0"/>
              <w:spacing w:before="0" w:after="283"/>
              <w:jc w:val="left"/>
              <w:rPr/>
            </w:pPr>
            <w:r>
              <w:rPr/>
              <w:t>Warrant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6,284,960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2,978,333</w:t>
            </w:r>
          </w:p>
        </w:tc>
        <w:tc>
          <w:tcPr>
            <w:tcW w:w="88" w:type="dxa"/>
            <w:tcBorders/>
            <w:shd w:fill="CCEEFF" w:val="clear"/>
            <w:vAlign w:val="center"/>
          </w:tcPr>
          <w:p>
            <w:pPr>
              <w:pStyle w:val="TableContents"/>
              <w:bidi w:val="0"/>
              <w:spacing w:before="0" w:after="283"/>
              <w:ind w:left="0" w:right="0" w:hanging="146"/>
              <w:jc w:val="left"/>
              <w:rPr/>
            </w:pPr>
            <w:r>
              <w:rPr/>
              <w:t> </w:t>
            </w:r>
          </w:p>
        </w:tc>
      </w:tr>
      <w:tr>
        <w:trPr/>
        <w:tc>
          <w:tcPr>
            <w:tcW w:w="7165" w:type="dxa"/>
            <w:tcBorders/>
            <w:vAlign w:val="center"/>
          </w:tcPr>
          <w:p>
            <w:pPr>
              <w:pStyle w:val="TableContents"/>
              <w:bidi w:val="0"/>
              <w:spacing w:before="0" w:after="283"/>
              <w:jc w:val="left"/>
              <w:rPr/>
            </w:pPr>
            <w:r>
              <w:rPr/>
              <w:t>Deferred underwriters’ discount payable</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before="0" w:after="283"/>
              <w:jc w:val="right"/>
              <w:rPr/>
            </w:pPr>
            <w:r>
              <w:rPr/>
              <w:t>3,018,750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6" w:type="dxa"/>
            <w:tcBorders>
              <w:bottom w:val="single" w:sz="12" w:space="0" w:color="000000"/>
            </w:tcBorders>
            <w:tcMar>
              <w:bottom w:w="28" w:type="dxa"/>
            </w:tcMar>
            <w:vAlign w:val="center"/>
          </w:tcPr>
          <w:p>
            <w:pPr>
              <w:pStyle w:val="TableContents"/>
              <w:bidi w:val="0"/>
              <w:spacing w:before="0" w:after="283"/>
              <w:jc w:val="right"/>
              <w:rPr/>
            </w:pPr>
            <w:r>
              <w:rPr/>
              <w:t>3,018,750</w:t>
            </w:r>
          </w:p>
        </w:tc>
        <w:tc>
          <w:tcPr>
            <w:tcW w:w="88" w:type="dxa"/>
            <w:tcBorders/>
            <w:vAlign w:val="center"/>
          </w:tcPr>
          <w:p>
            <w:pPr>
              <w:pStyle w:val="TableContents"/>
              <w:bidi w:val="0"/>
              <w:spacing w:before="0" w:after="283"/>
              <w:ind w:left="0" w:right="0" w:hanging="145"/>
              <w:jc w:val="left"/>
              <w:rPr/>
            </w:pPr>
            <w:r>
              <w:rPr/>
              <w:t> </w:t>
            </w:r>
          </w:p>
        </w:tc>
      </w:tr>
      <w:tr>
        <w:trPr/>
        <w:tc>
          <w:tcPr>
            <w:tcW w:w="7165"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19,791,957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11,683,898</w:t>
            </w:r>
          </w:p>
        </w:tc>
        <w:tc>
          <w:tcPr>
            <w:tcW w:w="88" w:type="dxa"/>
            <w:tcBorders/>
            <w:shd w:fill="CCEEFF" w:val="clear"/>
            <w:vAlign w:val="center"/>
          </w:tcPr>
          <w:p>
            <w:pPr>
              <w:pStyle w:val="TableContents"/>
              <w:bidi w:val="0"/>
              <w:spacing w:before="0" w:after="283"/>
              <w:ind w:left="0" w:right="0" w:hanging="145"/>
              <w:jc w:val="left"/>
              <w:rPr/>
            </w:pPr>
            <w:r>
              <w:rPr/>
              <w:t> </w:t>
            </w:r>
          </w:p>
        </w:tc>
      </w:tr>
      <w:tr>
        <w:trPr/>
        <w:tc>
          <w:tcPr>
            <w:tcW w:w="7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ind w:left="0" w:right="0" w:hanging="145"/>
              <w:jc w:val="left"/>
              <w:rPr/>
            </w:pPr>
            <w:r>
              <w:rPr/>
              <w:t> </w:t>
            </w:r>
          </w:p>
        </w:tc>
      </w:tr>
      <w:tr>
        <w:trPr/>
        <w:tc>
          <w:tcPr>
            <w:tcW w:w="7165" w:type="dxa"/>
            <w:tcBorders/>
            <w:shd w:fill="CCEEFF" w:val="clear"/>
            <w:vAlign w:val="center"/>
          </w:tcPr>
          <w:p>
            <w:pPr>
              <w:pStyle w:val="TableContents"/>
              <w:bidi w:val="0"/>
              <w:spacing w:before="0" w:after="283"/>
              <w:jc w:val="left"/>
              <w:rPr>
                <w:b/>
              </w:rPr>
            </w:pPr>
            <w:r>
              <w:rPr>
                <w:b/>
              </w:rPr>
              <w:t>Commitments and Contingencies (See Note 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0"/>
              <w:jc w:val="right"/>
              <w:rPr/>
            </w:pPr>
            <w:r>
              <w:rPr/>
              <w:t> </w:t>
            </w:r>
          </w:p>
        </w:tc>
        <w:tc>
          <w:tcPr>
            <w:tcW w:w="88" w:type="dxa"/>
            <w:tcBorders/>
            <w:shd w:fill="CCEEFF" w:val="clear"/>
            <w:vAlign w:val="center"/>
          </w:tcPr>
          <w:p>
            <w:pPr>
              <w:pStyle w:val="TableContents"/>
              <w:bidi w:val="0"/>
              <w:spacing w:before="0" w:after="283"/>
              <w:ind w:left="0" w:right="0" w:hanging="146"/>
              <w:jc w:val="left"/>
              <w:rPr/>
            </w:pPr>
            <w:r>
              <w:rPr/>
              <w:t> </w:t>
            </w:r>
          </w:p>
        </w:tc>
      </w:tr>
      <w:tr>
        <w:trPr/>
        <w:tc>
          <w:tcPr>
            <w:tcW w:w="7165" w:type="dxa"/>
            <w:tcBorders/>
            <w:vAlign w:val="center"/>
          </w:tcPr>
          <w:p>
            <w:pPr>
              <w:pStyle w:val="TableContents"/>
              <w:bidi w:val="0"/>
              <w:spacing w:before="0" w:after="283"/>
              <w:jc w:val="left"/>
              <w:rPr/>
            </w:pPr>
            <w:r>
              <w:rPr/>
              <w:t>Class A Ordinary shares subject to possible redemption 11,243,496 and 34,500,000 shares subject to possible redemption at redemption value at June 30, 2023 and December 31, 2022, respectively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118,379,628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spacing w:before="0" w:after="283"/>
              <w:jc w:val="right"/>
              <w:rPr/>
            </w:pPr>
            <w:r>
              <w:rPr/>
              <w:t>349,927,313</w:t>
            </w:r>
          </w:p>
        </w:tc>
        <w:tc>
          <w:tcPr>
            <w:tcW w:w="88" w:type="dxa"/>
            <w:tcBorders/>
            <w:vAlign w:val="center"/>
          </w:tcPr>
          <w:p>
            <w:pPr>
              <w:pStyle w:val="TableContents"/>
              <w:bidi w:val="0"/>
              <w:spacing w:before="0" w:after="283"/>
              <w:ind w:left="0" w:right="0" w:hanging="145"/>
              <w:jc w:val="left"/>
              <w:rPr/>
            </w:pPr>
            <w:r>
              <w:rPr/>
              <w:t> </w:t>
            </w:r>
          </w:p>
        </w:tc>
      </w:tr>
      <w:tr>
        <w:trPr/>
        <w:tc>
          <w:tcPr>
            <w:tcW w:w="7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45"/>
              <w:jc w:val="left"/>
              <w:rPr/>
            </w:pPr>
            <w:r>
              <w:rPr/>
              <w:t> </w:t>
            </w:r>
          </w:p>
        </w:tc>
      </w:tr>
      <w:tr>
        <w:trPr/>
        <w:tc>
          <w:tcPr>
            <w:tcW w:w="7165" w:type="dxa"/>
            <w:tcBorders/>
            <w:vAlign w:val="center"/>
          </w:tcPr>
          <w:p>
            <w:pPr>
              <w:pStyle w:val="TableContents"/>
              <w:bidi w:val="0"/>
              <w:spacing w:before="0" w:after="283"/>
              <w:jc w:val="left"/>
              <w:rPr>
                <w:b/>
              </w:rPr>
            </w:pPr>
            <w:r>
              <w:rPr>
                <w:b/>
              </w:rPr>
              <w:t>Shareholders’ Deficit: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ind w:left="0" w:right="0" w:hanging="146"/>
              <w:jc w:val="left"/>
              <w:rPr/>
            </w:pPr>
            <w:r>
              <w:rPr/>
              <w:t> </w:t>
            </w:r>
          </w:p>
        </w:tc>
      </w:tr>
      <w:tr>
        <w:trPr/>
        <w:tc>
          <w:tcPr>
            <w:tcW w:w="7165" w:type="dxa"/>
            <w:tcBorders/>
            <w:shd w:fill="CCEEFF" w:val="clear"/>
            <w:vAlign w:val="center"/>
          </w:tcPr>
          <w:p>
            <w:pPr>
              <w:pStyle w:val="TableContents"/>
              <w:bidi w:val="0"/>
              <w:spacing w:before="0" w:after="283"/>
              <w:jc w:val="left"/>
              <w:rPr/>
            </w:pPr>
            <w:r>
              <w:rPr/>
              <w:t>Preference shares, $0.0001 par value; 1,000,000 shares authorized; none issued or outstanding at June 30, 2023 and December 31, 2022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0"/>
              <w:jc w:val="right"/>
              <w:rPr/>
            </w:pPr>
            <w:r>
              <w:rPr/>
              <w:t>—</w:t>
            </w:r>
          </w:p>
        </w:tc>
        <w:tc>
          <w:tcPr>
            <w:tcW w:w="88" w:type="dxa"/>
            <w:tcBorders/>
            <w:shd w:fill="CCEEFF" w:val="clear"/>
            <w:vAlign w:val="center"/>
          </w:tcPr>
          <w:p>
            <w:pPr>
              <w:pStyle w:val="TableContents"/>
              <w:bidi w:val="0"/>
              <w:spacing w:before="0" w:after="283"/>
              <w:ind w:left="0" w:right="0" w:hanging="146"/>
              <w:jc w:val="left"/>
              <w:rPr/>
            </w:pPr>
            <w:r>
              <w:rPr/>
              <w:t> </w:t>
            </w:r>
          </w:p>
        </w:tc>
      </w:tr>
      <w:tr>
        <w:trPr/>
        <w:tc>
          <w:tcPr>
            <w:tcW w:w="7165" w:type="dxa"/>
            <w:tcBorders/>
            <w:vAlign w:val="center"/>
          </w:tcPr>
          <w:p>
            <w:pPr>
              <w:pStyle w:val="TableContents"/>
              <w:bidi w:val="0"/>
              <w:spacing w:before="0" w:after="283"/>
              <w:jc w:val="left"/>
              <w:rPr/>
            </w:pPr>
            <w:r>
              <w:rPr/>
              <w:t>Class A ordinary shares, $0.0001 par value; 200,000,000 shares authorized at June 30, 2023 and December 31, 2022</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spacing w:before="0" w:after="0"/>
              <w:jc w:val="right"/>
              <w:rPr/>
            </w:pPr>
            <w:r>
              <w:rPr/>
              <w:t>—</w:t>
            </w:r>
          </w:p>
        </w:tc>
        <w:tc>
          <w:tcPr>
            <w:tcW w:w="88" w:type="dxa"/>
            <w:tcBorders/>
            <w:vAlign w:val="center"/>
          </w:tcPr>
          <w:p>
            <w:pPr>
              <w:pStyle w:val="TableContents"/>
              <w:bidi w:val="0"/>
              <w:spacing w:before="0" w:after="283"/>
              <w:ind w:left="0" w:right="0" w:hanging="146"/>
              <w:jc w:val="left"/>
              <w:rPr/>
            </w:pPr>
            <w:r>
              <w:rPr/>
              <w:t> </w:t>
            </w:r>
          </w:p>
        </w:tc>
      </w:tr>
      <w:tr>
        <w:trPr/>
        <w:tc>
          <w:tcPr>
            <w:tcW w:w="7165" w:type="dxa"/>
            <w:tcBorders/>
            <w:shd w:fill="CCEEFF" w:val="clear"/>
            <w:vAlign w:val="center"/>
          </w:tcPr>
          <w:p>
            <w:pPr>
              <w:pStyle w:val="TableContents"/>
              <w:bidi w:val="0"/>
              <w:spacing w:before="0" w:after="283"/>
              <w:jc w:val="left"/>
              <w:rPr/>
            </w:pPr>
            <w:r>
              <w:rPr/>
              <w:t>Class B ordinary shares, $0.0001 par value; 20,000,000 shares authorized; 8,625,000 shares issued and outstanding at June 30, 2023 and December 31, 2022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863</w:t>
            </w:r>
          </w:p>
        </w:tc>
        <w:tc>
          <w:tcPr>
            <w:tcW w:w="88" w:type="dxa"/>
            <w:tcBorders/>
            <w:shd w:fill="CCEEFF" w:val="clear"/>
            <w:vAlign w:val="center"/>
          </w:tcPr>
          <w:p>
            <w:pPr>
              <w:pStyle w:val="TableContents"/>
              <w:bidi w:val="0"/>
              <w:spacing w:before="0" w:after="283"/>
              <w:ind w:left="0" w:right="0" w:hanging="146"/>
              <w:jc w:val="left"/>
              <w:rPr/>
            </w:pPr>
            <w:r>
              <w:rPr/>
              <w:t> </w:t>
            </w:r>
          </w:p>
        </w:tc>
      </w:tr>
      <w:tr>
        <w:trPr/>
        <w:tc>
          <w:tcPr>
            <w:tcW w:w="7165" w:type="dxa"/>
            <w:tcBorders/>
            <w:vAlign w:val="center"/>
          </w:tcPr>
          <w:p>
            <w:pPr>
              <w:pStyle w:val="TableContents"/>
              <w:bidi w:val="0"/>
              <w:spacing w:before="0" w:after="283"/>
              <w:jc w:val="left"/>
              <w:rPr/>
            </w:pPr>
            <w:r>
              <w:rPr/>
              <w:t>Additional paid-in capital</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244,369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spacing w:before="0" w:after="283"/>
              <w:jc w:val="right"/>
              <w:rPr/>
            </w:pPr>
            <w:r>
              <w:rPr/>
              <w:t>6,057,438</w:t>
            </w:r>
          </w:p>
        </w:tc>
        <w:tc>
          <w:tcPr>
            <w:tcW w:w="88" w:type="dxa"/>
            <w:tcBorders/>
            <w:vAlign w:val="center"/>
          </w:tcPr>
          <w:p>
            <w:pPr>
              <w:pStyle w:val="TableContents"/>
              <w:bidi w:val="0"/>
              <w:spacing w:before="0" w:after="283"/>
              <w:ind w:left="0" w:right="0" w:hanging="146"/>
              <w:jc w:val="left"/>
              <w:rPr/>
            </w:pPr>
            <w:r>
              <w:rPr/>
              <w:t> </w:t>
            </w:r>
          </w:p>
        </w:tc>
      </w:tr>
      <w:tr>
        <w:trPr/>
        <w:tc>
          <w:tcPr>
            <w:tcW w:w="7165"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(20,033,938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6" w:type="dxa"/>
            <w:tcBorders>
              <w:bottom w:val="single" w:sz="12" w:space="0" w:color="000000"/>
            </w:tcBorders>
            <w:shd w:fill="CCEEFF" w:val="clear"/>
            <w:tcMar>
              <w:bottom w:w="28" w:type="dxa"/>
            </w:tcMar>
            <w:vAlign w:val="center"/>
          </w:tcPr>
          <w:p>
            <w:pPr>
              <w:pStyle w:val="TableContents"/>
              <w:bidi w:val="0"/>
              <w:spacing w:before="0" w:after="283"/>
              <w:jc w:val="right"/>
              <w:rPr/>
            </w:pPr>
            <w:r>
              <w:rPr/>
              <w:t>(17,548,599</w:t>
            </w:r>
          </w:p>
        </w:tc>
        <w:tc>
          <w:tcPr>
            <w:tcW w:w="88" w:type="dxa"/>
            <w:tcBorders/>
            <w:shd w:fill="CCEEFF" w:val="clear"/>
            <w:vAlign w:val="center"/>
          </w:tcPr>
          <w:p>
            <w:pPr>
              <w:pStyle w:val="TableContents"/>
              <w:bidi w:val="0"/>
              <w:spacing w:before="0" w:after="283"/>
              <w:ind w:left="0" w:right="0" w:hanging="145"/>
              <w:jc w:val="left"/>
              <w:rPr/>
            </w:pPr>
            <w:r>
              <w:rPr/>
              <w:t>)</w:t>
            </w:r>
          </w:p>
        </w:tc>
      </w:tr>
      <w:tr>
        <w:trPr/>
        <w:tc>
          <w:tcPr>
            <w:tcW w:w="7165" w:type="dxa"/>
            <w:tcBorders/>
            <w:vAlign w:val="center"/>
          </w:tcPr>
          <w:p>
            <w:pPr>
              <w:pStyle w:val="TableContents"/>
              <w:bidi w:val="0"/>
              <w:spacing w:before="0" w:after="283"/>
              <w:jc w:val="left"/>
              <w:rPr>
                <w:b/>
              </w:rPr>
            </w:pPr>
            <w:r>
              <w:rPr>
                <w:b/>
              </w:rPr>
              <w:t>Total Shareholders’ Deficit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before="0" w:after="283"/>
              <w:jc w:val="right"/>
              <w:rPr>
                <w:b/>
              </w:rPr>
            </w:pPr>
            <w:r>
              <w:rPr>
                <w:b/>
              </w:rPr>
              <w:t>(19,788,706</w:t>
            </w:r>
          </w:p>
        </w:tc>
        <w:tc>
          <w:tcPr>
            <w:tcW w:w="95" w:type="dxa"/>
            <w:tcBorders/>
            <w:vAlign w:val="center"/>
          </w:tcPr>
          <w:p>
            <w:pPr>
              <w:pStyle w:val="TableContents"/>
              <w:bidi w:val="0"/>
              <w:spacing w:before="0" w:after="283"/>
              <w:jc w:val="left"/>
              <w:rPr>
                <w:b/>
              </w:rPr>
            </w:pPr>
            <w:r>
              <w:rPr>
                <w:b/>
              </w:rPr>
              <w:t>)</w:t>
            </w:r>
          </w:p>
        </w:tc>
        <w:tc>
          <w:tcPr>
            <w:tcW w:w="60" w:type="dxa"/>
            <w:tcBorders/>
            <w:vAlign w:val="center"/>
          </w:tcPr>
          <w:p>
            <w:pPr>
              <w:pStyle w:val="TableContents"/>
              <w:bidi w:val="0"/>
              <w:spacing w:before="0" w:after="283"/>
              <w:jc w:val="left"/>
              <w:rPr/>
            </w:pPr>
            <w:r>
              <w:rPr/>
              <w:t> </w:t>
            </w:r>
          </w:p>
        </w:tc>
        <w:tc>
          <w:tcPr>
            <w:tcW w:w="1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6" w:type="dxa"/>
            <w:tcBorders>
              <w:bottom w:val="single" w:sz="12" w:space="0" w:color="000000"/>
            </w:tcBorders>
            <w:tcMar>
              <w:bottom w:w="28" w:type="dxa"/>
            </w:tcMar>
            <w:vAlign w:val="center"/>
          </w:tcPr>
          <w:p>
            <w:pPr>
              <w:pStyle w:val="TableContents"/>
              <w:bidi w:val="0"/>
              <w:spacing w:before="0" w:after="283"/>
              <w:jc w:val="right"/>
              <w:rPr>
                <w:b/>
              </w:rPr>
            </w:pPr>
            <w:r>
              <w:rPr>
                <w:b/>
              </w:rPr>
              <w:t>(11,490,298</w:t>
            </w:r>
          </w:p>
        </w:tc>
        <w:tc>
          <w:tcPr>
            <w:tcW w:w="88" w:type="dxa"/>
            <w:tcBorders/>
            <w:vAlign w:val="center"/>
          </w:tcPr>
          <w:p>
            <w:pPr>
              <w:pStyle w:val="TableContents"/>
              <w:bidi w:val="0"/>
              <w:spacing w:before="0" w:after="283"/>
              <w:ind w:left="0" w:right="0" w:hanging="145"/>
              <w:jc w:val="left"/>
              <w:rPr>
                <w:b/>
              </w:rPr>
            </w:pPr>
            <w:r>
              <w:rPr>
                <w:b/>
              </w:rPr>
              <w:t>)</w:t>
            </w:r>
          </w:p>
        </w:tc>
      </w:tr>
      <w:tr>
        <w:trPr/>
        <w:tc>
          <w:tcPr>
            <w:tcW w:w="7165" w:type="dxa"/>
            <w:tcBorders/>
            <w:shd w:fill="CCEEFF" w:val="clear"/>
            <w:vAlign w:val="center"/>
          </w:tcPr>
          <w:p>
            <w:pPr>
              <w:pStyle w:val="TableContents"/>
              <w:bidi w:val="0"/>
              <w:spacing w:before="0" w:after="283"/>
              <w:jc w:val="left"/>
              <w:rPr>
                <w:b/>
              </w:rPr>
            </w:pPr>
            <w:r>
              <w:rPr>
                <w:b/>
              </w:rPr>
              <w:t>Total Liabilities, Redeemable Ordinary Shares and Shareholders’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118,382,879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3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350,120,913</w:t>
            </w:r>
          </w:p>
        </w:tc>
        <w:tc>
          <w:tcPr>
            <w:tcW w:w="8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COMPLETE SOLARIA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 to Freedom Acquisition I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43"/>
        <w:gridCol w:w="60"/>
        <w:gridCol w:w="147"/>
        <w:gridCol w:w="1157"/>
        <w:gridCol w:w="99"/>
        <w:gridCol w:w="62"/>
        <w:gridCol w:w="147"/>
        <w:gridCol w:w="1157"/>
        <w:gridCol w:w="95"/>
        <w:gridCol w:w="60"/>
        <w:gridCol w:w="141"/>
        <w:gridCol w:w="1112"/>
        <w:gridCol w:w="96"/>
        <w:gridCol w:w="60"/>
        <w:gridCol w:w="141"/>
        <w:gridCol w:w="1112"/>
        <w:gridCol w:w="116"/>
      </w:tblGrid>
      <w:tr>
        <w:trPr/>
        <w:tc>
          <w:tcPr>
            <w:tcW w:w="444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6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16" w:type="dxa"/>
            <w:tcBorders/>
            <w:vAlign w:val="center"/>
          </w:tcPr>
          <w:p>
            <w:pPr>
              <w:pStyle w:val="TableContents"/>
              <w:bidi w:val="0"/>
              <w:spacing w:before="0" w:after="283"/>
              <w:jc w:val="left"/>
              <w:rPr/>
            </w:pPr>
            <w:r>
              <w:rPr/>
              <w:t> </w:t>
            </w:r>
          </w:p>
        </w:tc>
      </w:tr>
      <w:tr>
        <w:trPr/>
        <w:tc>
          <w:tcPr>
            <w:tcW w:w="444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6" w:type="dxa"/>
            <w:tcBorders/>
            <w:vAlign w:val="center"/>
          </w:tcPr>
          <w:p>
            <w:pPr>
              <w:pStyle w:val="TableContents"/>
              <w:bidi w:val="0"/>
              <w:spacing w:before="0" w:after="283"/>
              <w:jc w:val="left"/>
              <w:rPr/>
            </w:pPr>
            <w:r>
              <w:rPr/>
              <w:t> </w:t>
            </w:r>
          </w:p>
        </w:tc>
      </w:tr>
      <w:tr>
        <w:trPr/>
        <w:tc>
          <w:tcPr>
            <w:tcW w:w="4443" w:type="dxa"/>
            <w:tcBorders/>
            <w:shd w:fill="CCEEFF" w:val="clear"/>
            <w:vAlign w:val="center"/>
          </w:tcPr>
          <w:p>
            <w:pPr>
              <w:pStyle w:val="TableContents"/>
              <w:bidi w:val="0"/>
              <w:spacing w:before="0" w:after="283"/>
              <w:jc w:val="left"/>
              <w:rPr/>
            </w:pPr>
            <w:r>
              <w:rPr/>
              <w:t>Operating costs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57" w:type="dxa"/>
            <w:tcBorders>
              <w:bottom w:val="single" w:sz="12" w:space="0" w:color="000000"/>
            </w:tcBorders>
            <w:shd w:fill="CCEEFF" w:val="clear"/>
            <w:tcMar>
              <w:bottom w:w="28" w:type="dxa"/>
            </w:tcMar>
            <w:vAlign w:val="center"/>
          </w:tcPr>
          <w:p>
            <w:pPr>
              <w:pStyle w:val="TableContents"/>
              <w:bidi w:val="0"/>
              <w:spacing w:before="0" w:after="283"/>
              <w:jc w:val="right"/>
              <w:rPr/>
            </w:pPr>
            <w:r>
              <w:rPr/>
              <w:t>1,511,276</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57" w:type="dxa"/>
            <w:tcBorders>
              <w:bottom w:val="single" w:sz="12" w:space="0" w:color="000000"/>
            </w:tcBorders>
            <w:shd w:fill="CCEEFF" w:val="clear"/>
            <w:tcMar>
              <w:bottom w:w="28" w:type="dxa"/>
            </w:tcMar>
            <w:vAlign w:val="center"/>
          </w:tcPr>
          <w:p>
            <w:pPr>
              <w:pStyle w:val="TableContents"/>
              <w:bidi w:val="0"/>
              <w:spacing w:before="0" w:after="283"/>
              <w:jc w:val="right"/>
              <w:rPr/>
            </w:pPr>
            <w:r>
              <w:rPr/>
              <w:t>824,081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12" w:type="dxa"/>
            <w:tcBorders>
              <w:bottom w:val="single" w:sz="12" w:space="0" w:color="000000"/>
            </w:tcBorders>
            <w:shd w:fill="CCEEFF" w:val="clear"/>
            <w:tcMar>
              <w:bottom w:w="28" w:type="dxa"/>
            </w:tcMar>
            <w:vAlign w:val="center"/>
          </w:tcPr>
          <w:p>
            <w:pPr>
              <w:pStyle w:val="TableContents"/>
              <w:bidi w:val="0"/>
              <w:spacing w:before="0" w:after="283"/>
              <w:jc w:val="right"/>
              <w:rPr/>
            </w:pPr>
            <w:r>
              <w:rPr/>
              <w:t>3,131,612</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12" w:type="dxa"/>
            <w:tcBorders>
              <w:bottom w:val="single" w:sz="12" w:space="0" w:color="000000"/>
            </w:tcBorders>
            <w:shd w:fill="CCEEFF" w:val="clear"/>
            <w:tcMar>
              <w:bottom w:w="28" w:type="dxa"/>
            </w:tcMar>
            <w:vAlign w:val="center"/>
          </w:tcPr>
          <w:p>
            <w:pPr>
              <w:pStyle w:val="TableContents"/>
              <w:bidi w:val="0"/>
              <w:spacing w:before="0" w:after="283"/>
              <w:jc w:val="right"/>
              <w:rPr/>
            </w:pPr>
            <w:r>
              <w:rPr/>
              <w:t>2,022,164</w:t>
            </w:r>
          </w:p>
        </w:tc>
        <w:tc>
          <w:tcPr>
            <w:tcW w:w="116" w:type="dxa"/>
            <w:tcBorders/>
            <w:shd w:fill="CCEEFF" w:val="clear"/>
            <w:vAlign w:val="center"/>
          </w:tcPr>
          <w:p>
            <w:pPr>
              <w:pStyle w:val="TableContents"/>
              <w:bidi w:val="0"/>
              <w:spacing w:before="0" w:after="283"/>
              <w:jc w:val="left"/>
              <w:rPr/>
            </w:pPr>
            <w:r>
              <w:rPr/>
              <w:t> </w:t>
            </w:r>
          </w:p>
        </w:tc>
      </w:tr>
      <w:tr>
        <w:trPr/>
        <w:tc>
          <w:tcPr>
            <w:tcW w:w="4443" w:type="dxa"/>
            <w:tcBorders/>
            <w:vAlign w:val="center"/>
          </w:tcPr>
          <w:p>
            <w:pPr>
              <w:pStyle w:val="TableContents"/>
              <w:bidi w:val="0"/>
              <w:spacing w:before="0" w:after="283"/>
              <w:jc w:val="left"/>
              <w:rPr>
                <w:b/>
              </w:rPr>
            </w:pPr>
            <w:r>
              <w:rPr>
                <w:b/>
              </w:rPr>
              <w:t>Loss from operations</w:t>
            </w:r>
          </w:p>
        </w:tc>
        <w:tc>
          <w:tcPr>
            <w:tcW w:w="60" w:type="dxa"/>
            <w:tcBorders/>
            <w:vAlign w:val="center"/>
          </w:tcPr>
          <w:p>
            <w:pPr>
              <w:pStyle w:val="TableContents"/>
              <w:bidi w:val="0"/>
              <w:spacing w:before="0" w:after="283"/>
              <w:jc w:val="left"/>
              <w:rPr/>
            </w:pPr>
            <w:r>
              <w:rPr/>
              <w:t> </w:t>
            </w:r>
          </w:p>
        </w:tc>
        <w:tc>
          <w:tcPr>
            <w:tcW w:w="14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7" w:type="dxa"/>
            <w:tcBorders>
              <w:bottom w:val="single" w:sz="12" w:space="0" w:color="000000"/>
            </w:tcBorders>
            <w:tcMar>
              <w:bottom w:w="28" w:type="dxa"/>
            </w:tcMar>
            <w:vAlign w:val="center"/>
          </w:tcPr>
          <w:p>
            <w:pPr>
              <w:pStyle w:val="TableContents"/>
              <w:bidi w:val="0"/>
              <w:spacing w:before="0" w:after="283"/>
              <w:jc w:val="right"/>
              <w:rPr>
                <w:b/>
              </w:rPr>
            </w:pPr>
            <w:r>
              <w:rPr>
                <w:b/>
              </w:rPr>
              <w:t>(1,511,276</w:t>
            </w:r>
          </w:p>
        </w:tc>
        <w:tc>
          <w:tcPr>
            <w:tcW w:w="99" w:type="dxa"/>
            <w:tcBorders/>
            <w:vAlign w:val="center"/>
          </w:tcPr>
          <w:p>
            <w:pPr>
              <w:pStyle w:val="TableContents"/>
              <w:bidi w:val="0"/>
              <w:spacing w:before="0" w:after="283"/>
              <w:jc w:val="left"/>
              <w:rPr>
                <w:b/>
              </w:rPr>
            </w:pPr>
            <w:r>
              <w:rPr>
                <w:b/>
              </w:rPr>
              <w:t>)</w:t>
            </w:r>
          </w:p>
        </w:tc>
        <w:tc>
          <w:tcPr>
            <w:tcW w:w="62" w:type="dxa"/>
            <w:tcBorders/>
            <w:vAlign w:val="center"/>
          </w:tcPr>
          <w:p>
            <w:pPr>
              <w:pStyle w:val="TableContents"/>
              <w:bidi w:val="0"/>
              <w:spacing w:before="0" w:after="283"/>
              <w:jc w:val="left"/>
              <w:rPr/>
            </w:pPr>
            <w:r>
              <w:rPr/>
              <w:t> </w:t>
            </w:r>
          </w:p>
        </w:tc>
        <w:tc>
          <w:tcPr>
            <w:tcW w:w="14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7" w:type="dxa"/>
            <w:tcBorders>
              <w:bottom w:val="single" w:sz="12" w:space="0" w:color="000000"/>
            </w:tcBorders>
            <w:tcMar>
              <w:bottom w:w="28" w:type="dxa"/>
            </w:tcMar>
            <w:vAlign w:val="center"/>
          </w:tcPr>
          <w:p>
            <w:pPr>
              <w:pStyle w:val="TableContents"/>
              <w:bidi w:val="0"/>
              <w:spacing w:before="0" w:after="283"/>
              <w:jc w:val="right"/>
              <w:rPr>
                <w:b/>
              </w:rPr>
            </w:pPr>
            <w:r>
              <w:rPr>
                <w:b/>
              </w:rPr>
              <w:t>(824,081</w:t>
            </w:r>
          </w:p>
        </w:tc>
        <w:tc>
          <w:tcPr>
            <w:tcW w:w="95" w:type="dxa"/>
            <w:tcBorders/>
            <w:vAlign w:val="center"/>
          </w:tcPr>
          <w:p>
            <w:pPr>
              <w:pStyle w:val="TableContents"/>
              <w:bidi w:val="0"/>
              <w:spacing w:before="0" w:after="283"/>
              <w:jc w:val="left"/>
              <w:rPr>
                <w:b/>
              </w:rPr>
            </w:pPr>
            <w:r>
              <w:rPr>
                <w:b/>
              </w:rPr>
              <w:t>)</w:t>
            </w:r>
          </w:p>
        </w:tc>
        <w:tc>
          <w:tcPr>
            <w:tcW w:w="60" w:type="dxa"/>
            <w:tcBorders/>
            <w:vAlign w:val="center"/>
          </w:tcPr>
          <w:p>
            <w:pPr>
              <w:pStyle w:val="TableContents"/>
              <w:bidi w:val="0"/>
              <w:spacing w:before="0" w:after="283"/>
              <w:jc w:val="left"/>
              <w:rPr/>
            </w:pPr>
            <w:r>
              <w:rPr/>
              <w:t> </w:t>
            </w:r>
          </w:p>
        </w:tc>
        <w:tc>
          <w:tcPr>
            <w:tcW w:w="1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tcMar>
              <w:bottom w:w="28" w:type="dxa"/>
            </w:tcMar>
            <w:vAlign w:val="center"/>
          </w:tcPr>
          <w:p>
            <w:pPr>
              <w:pStyle w:val="TableContents"/>
              <w:bidi w:val="0"/>
              <w:spacing w:before="0" w:after="283"/>
              <w:jc w:val="right"/>
              <w:rPr>
                <w:b/>
              </w:rPr>
            </w:pPr>
            <w:r>
              <w:rPr>
                <w:b/>
              </w:rPr>
              <w:t>(3,131,612</w:t>
            </w:r>
          </w:p>
        </w:tc>
        <w:tc>
          <w:tcPr>
            <w:tcW w:w="96" w:type="dxa"/>
            <w:tcBorders/>
            <w:vAlign w:val="center"/>
          </w:tcPr>
          <w:p>
            <w:pPr>
              <w:pStyle w:val="TableContents"/>
              <w:bidi w:val="0"/>
              <w:spacing w:before="0" w:after="283"/>
              <w:jc w:val="left"/>
              <w:rPr>
                <w:b/>
              </w:rPr>
            </w:pPr>
            <w:r>
              <w:rPr>
                <w:b/>
              </w:rPr>
              <w:t>)</w:t>
            </w:r>
          </w:p>
        </w:tc>
        <w:tc>
          <w:tcPr>
            <w:tcW w:w="60" w:type="dxa"/>
            <w:tcBorders/>
            <w:vAlign w:val="center"/>
          </w:tcPr>
          <w:p>
            <w:pPr>
              <w:pStyle w:val="TableContents"/>
              <w:bidi w:val="0"/>
              <w:spacing w:before="0" w:after="283"/>
              <w:jc w:val="left"/>
              <w:rPr/>
            </w:pPr>
            <w:r>
              <w:rPr/>
              <w:t> </w:t>
            </w:r>
          </w:p>
        </w:tc>
        <w:tc>
          <w:tcPr>
            <w:tcW w:w="1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tcMar>
              <w:bottom w:w="28" w:type="dxa"/>
            </w:tcMar>
            <w:vAlign w:val="center"/>
          </w:tcPr>
          <w:p>
            <w:pPr>
              <w:pStyle w:val="TableContents"/>
              <w:bidi w:val="0"/>
              <w:spacing w:before="0" w:after="283"/>
              <w:jc w:val="right"/>
              <w:rPr>
                <w:b/>
              </w:rPr>
            </w:pPr>
            <w:r>
              <w:rPr>
                <w:b/>
              </w:rPr>
              <w:t>(2,022,164</w:t>
            </w:r>
          </w:p>
        </w:tc>
        <w:tc>
          <w:tcPr>
            <w:tcW w:w="116" w:type="dxa"/>
            <w:tcBorders/>
            <w:vAlign w:val="center"/>
          </w:tcPr>
          <w:p>
            <w:pPr>
              <w:pStyle w:val="TableContents"/>
              <w:bidi w:val="0"/>
              <w:spacing w:before="0" w:after="283"/>
              <w:jc w:val="left"/>
              <w:rPr>
                <w:b/>
              </w:rPr>
            </w:pPr>
            <w:r>
              <w:rPr>
                <w:b/>
              </w:rPr>
              <w:t>)</w:t>
            </w:r>
          </w:p>
        </w:tc>
      </w:tr>
      <w:tr>
        <w:trPr/>
        <w:tc>
          <w:tcPr>
            <w:tcW w:w="44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4443" w:type="dxa"/>
            <w:tcBorders/>
            <w:vAlign w:val="center"/>
          </w:tcPr>
          <w:p>
            <w:pPr>
              <w:pStyle w:val="TableContents"/>
              <w:bidi w:val="0"/>
              <w:spacing w:before="0" w:after="283"/>
              <w:jc w:val="left"/>
              <w:rPr>
                <w:b/>
              </w:rPr>
            </w:pPr>
            <w:r>
              <w:rPr>
                <w:b/>
              </w:rPr>
              <w:t>Other (expense) income:</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 </w:t>
            </w:r>
          </w:p>
        </w:tc>
        <w:tc>
          <w:tcPr>
            <w:tcW w:w="116" w:type="dxa"/>
            <w:tcBorders/>
            <w:vAlign w:val="center"/>
          </w:tcPr>
          <w:p>
            <w:pPr>
              <w:pStyle w:val="TableContents"/>
              <w:bidi w:val="0"/>
              <w:spacing w:before="0" w:after="283"/>
              <w:jc w:val="left"/>
              <w:rPr/>
            </w:pPr>
            <w:r>
              <w:rPr/>
              <w:t> </w:t>
            </w:r>
          </w:p>
        </w:tc>
      </w:tr>
      <w:tr>
        <w:trPr/>
        <w:tc>
          <w:tcPr>
            <w:tcW w:w="4443" w:type="dxa"/>
            <w:tcBorders/>
            <w:shd w:fill="CCEEFF" w:val="clear"/>
            <w:vAlign w:val="center"/>
          </w:tcPr>
          <w:p>
            <w:pPr>
              <w:pStyle w:val="TableContents"/>
              <w:bidi w:val="0"/>
              <w:spacing w:before="0" w:after="283"/>
              <w:jc w:val="left"/>
              <w:rPr/>
            </w:pPr>
            <w:r>
              <w:rPr/>
              <w:t>Foreign currency exchange gain</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157</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(21,775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179</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(20,942</w:t>
            </w:r>
          </w:p>
        </w:tc>
        <w:tc>
          <w:tcPr>
            <w:tcW w:w="116" w:type="dxa"/>
            <w:tcBorders/>
            <w:shd w:fill="CCEEFF" w:val="clear"/>
            <w:vAlign w:val="center"/>
          </w:tcPr>
          <w:p>
            <w:pPr>
              <w:pStyle w:val="TableContents"/>
              <w:bidi w:val="0"/>
              <w:spacing w:before="0" w:after="283"/>
              <w:jc w:val="left"/>
              <w:rPr/>
            </w:pPr>
            <w:r>
              <w:rPr/>
              <w:t>)</w:t>
            </w:r>
          </w:p>
        </w:tc>
      </w:tr>
      <w:tr>
        <w:trPr/>
        <w:tc>
          <w:tcPr>
            <w:tcW w:w="4443" w:type="dxa"/>
            <w:tcBorders/>
            <w:vAlign w:val="center"/>
          </w:tcPr>
          <w:p>
            <w:pPr>
              <w:pStyle w:val="TableContents"/>
              <w:bidi w:val="0"/>
              <w:spacing w:before="0" w:after="283"/>
              <w:jc w:val="left"/>
              <w:rPr/>
            </w:pPr>
            <w:r>
              <w:rPr/>
              <w:t>Interest income on operating accounts</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18</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51</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0"/>
              <w:jc w:val="right"/>
              <w:rPr/>
            </w:pPr>
            <w:r>
              <w:rPr/>
              <w:t>—</w:t>
            </w:r>
          </w:p>
        </w:tc>
        <w:tc>
          <w:tcPr>
            <w:tcW w:w="116" w:type="dxa"/>
            <w:tcBorders/>
            <w:vAlign w:val="center"/>
          </w:tcPr>
          <w:p>
            <w:pPr>
              <w:pStyle w:val="TableContents"/>
              <w:bidi w:val="0"/>
              <w:spacing w:before="0" w:after="283"/>
              <w:ind w:left="0" w:right="0" w:hanging="146"/>
              <w:jc w:val="left"/>
              <w:rPr/>
            </w:pPr>
            <w:r>
              <w:rPr/>
              <w:t> </w:t>
            </w:r>
          </w:p>
        </w:tc>
      </w:tr>
      <w:tr>
        <w:trPr/>
        <w:tc>
          <w:tcPr>
            <w:tcW w:w="4443" w:type="dxa"/>
            <w:tcBorders/>
            <w:shd w:fill="CCEEFF" w:val="clear"/>
            <w:vAlign w:val="center"/>
          </w:tcPr>
          <w:p>
            <w:pPr>
              <w:pStyle w:val="TableContents"/>
              <w:bidi w:val="0"/>
              <w:spacing w:before="0" w:after="283"/>
              <w:jc w:val="left"/>
              <w:rPr/>
            </w:pPr>
            <w:r>
              <w:rPr/>
              <w:t>Interest income on marketable securities held in Trust Account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1,408,051</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484,975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4,225,267</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594,838</w:t>
            </w:r>
          </w:p>
        </w:tc>
        <w:tc>
          <w:tcPr>
            <w:tcW w:w="116" w:type="dxa"/>
            <w:tcBorders/>
            <w:shd w:fill="CCEEFF" w:val="clear"/>
            <w:vAlign w:val="center"/>
          </w:tcPr>
          <w:p>
            <w:pPr>
              <w:pStyle w:val="TableContents"/>
              <w:bidi w:val="0"/>
              <w:spacing w:before="0" w:after="283"/>
              <w:ind w:left="0" w:right="0" w:hanging="146"/>
              <w:jc w:val="left"/>
              <w:rPr/>
            </w:pPr>
            <w:r>
              <w:rPr/>
              <w:t> </w:t>
            </w:r>
          </w:p>
        </w:tc>
      </w:tr>
      <w:tr>
        <w:trPr/>
        <w:tc>
          <w:tcPr>
            <w:tcW w:w="4443" w:type="dxa"/>
            <w:tcBorders/>
            <w:vAlign w:val="center"/>
          </w:tcPr>
          <w:p>
            <w:pPr>
              <w:pStyle w:val="TableContents"/>
              <w:bidi w:val="0"/>
              <w:spacing w:before="0" w:after="283"/>
              <w:jc w:val="left"/>
              <w:rPr/>
            </w:pPr>
            <w:r>
              <w:rPr/>
              <w:t>Change in fair value of warrant liabilities</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(2,537,572</w:t>
            </w:r>
          </w:p>
        </w:tc>
        <w:tc>
          <w:tcPr>
            <w:tcW w:w="99" w:type="dxa"/>
            <w:tcBorders/>
            <w:vAlign w:val="center"/>
          </w:tcPr>
          <w:p>
            <w:pPr>
              <w:pStyle w:val="TableContents"/>
              <w:bidi w:val="0"/>
              <w:spacing w:before="0" w:after="283"/>
              <w:jc w:val="left"/>
              <w:rPr/>
            </w:pPr>
            <w:r>
              <w:rPr/>
              <w:t>)</w:t>
            </w:r>
          </w:p>
        </w:tc>
        <w:tc>
          <w:tcPr>
            <w:tcW w:w="6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2,382,667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(3,306,627</w:t>
            </w:r>
          </w:p>
        </w:tc>
        <w:tc>
          <w:tcPr>
            <w:tcW w:w="96"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4,765,334</w:t>
            </w:r>
          </w:p>
        </w:tc>
        <w:tc>
          <w:tcPr>
            <w:tcW w:w="116" w:type="dxa"/>
            <w:tcBorders/>
            <w:vAlign w:val="center"/>
          </w:tcPr>
          <w:p>
            <w:pPr>
              <w:pStyle w:val="TableContents"/>
              <w:bidi w:val="0"/>
              <w:spacing w:before="0" w:after="283"/>
              <w:jc w:val="left"/>
              <w:rPr/>
            </w:pPr>
            <w:r>
              <w:rPr/>
              <w:t> </w:t>
            </w:r>
          </w:p>
        </w:tc>
      </w:tr>
      <w:tr>
        <w:trPr/>
        <w:tc>
          <w:tcPr>
            <w:tcW w:w="4443" w:type="dxa"/>
            <w:tcBorders/>
            <w:shd w:fill="CCEEFF" w:val="clear"/>
            <w:vAlign w:val="center"/>
          </w:tcPr>
          <w:p>
            <w:pPr>
              <w:pStyle w:val="TableContents"/>
              <w:bidi w:val="0"/>
              <w:spacing w:before="0" w:after="283"/>
              <w:jc w:val="left"/>
              <w:rPr/>
            </w:pPr>
            <w:r>
              <w:rPr/>
              <w:t>Change in fair value of convertible note</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7" w:type="dxa"/>
            <w:tcBorders>
              <w:bottom w:val="single" w:sz="12" w:space="0" w:color="000000"/>
            </w:tcBorders>
            <w:shd w:fill="CCEEFF" w:val="clear"/>
            <w:tcMar>
              <w:bottom w:w="28" w:type="dxa"/>
            </w:tcMar>
            <w:vAlign w:val="center"/>
          </w:tcPr>
          <w:p>
            <w:pPr>
              <w:pStyle w:val="TableContents"/>
              <w:bidi w:val="0"/>
              <w:spacing w:before="0" w:after="283"/>
              <w:jc w:val="right"/>
              <w:rPr/>
            </w:pPr>
            <w:r>
              <w:rPr/>
              <w:t>(14,872</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7" w:type="dxa"/>
            <w:tcBorders>
              <w:bottom w:val="single" w:sz="12" w:space="0" w:color="000000"/>
            </w:tcBorders>
            <w:shd w:fill="CCEEFF" w:val="clear"/>
            <w:tcMar>
              <w:bottom w:w="28" w:type="dxa"/>
            </w:tcMar>
            <w:vAlign w:val="center"/>
          </w:tcPr>
          <w:p>
            <w:pPr>
              <w:pStyle w:val="TableContents"/>
              <w:bidi w:val="0"/>
              <w:spacing w:before="0" w:after="283"/>
              <w:jc w:val="right"/>
              <w:rPr/>
            </w:pPr>
            <w:r>
              <w:rPr/>
              <w:t>4,200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CCEEFF" w:val="clear"/>
            <w:tcMar>
              <w:bottom w:w="28" w:type="dxa"/>
            </w:tcMar>
            <w:vAlign w:val="center"/>
          </w:tcPr>
          <w:p>
            <w:pPr>
              <w:pStyle w:val="TableContents"/>
              <w:bidi w:val="0"/>
              <w:spacing w:before="0" w:after="283"/>
              <w:jc w:val="right"/>
              <w:rPr/>
            </w:pPr>
            <w:r>
              <w:rPr/>
              <w:t>(272,597</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CCEEFF" w:val="clear"/>
            <w:tcMar>
              <w:bottom w:w="28" w:type="dxa"/>
            </w:tcMar>
            <w:vAlign w:val="center"/>
          </w:tcPr>
          <w:p>
            <w:pPr>
              <w:pStyle w:val="TableContents"/>
              <w:bidi w:val="0"/>
              <w:spacing w:before="0" w:after="283"/>
              <w:jc w:val="right"/>
              <w:rPr/>
            </w:pPr>
            <w:r>
              <w:rPr/>
              <w:t>4,200</w:t>
            </w:r>
          </w:p>
        </w:tc>
        <w:tc>
          <w:tcPr>
            <w:tcW w:w="116" w:type="dxa"/>
            <w:tcBorders/>
            <w:shd w:fill="CCEEFF" w:val="clear"/>
            <w:vAlign w:val="center"/>
          </w:tcPr>
          <w:p>
            <w:pPr>
              <w:pStyle w:val="TableContents"/>
              <w:bidi w:val="0"/>
              <w:spacing w:before="0" w:after="283"/>
              <w:jc w:val="left"/>
              <w:rPr/>
            </w:pPr>
            <w:r>
              <w:rPr/>
              <w:t> </w:t>
            </w:r>
          </w:p>
        </w:tc>
      </w:tr>
      <w:tr>
        <w:trPr/>
        <w:tc>
          <w:tcPr>
            <w:tcW w:w="4443" w:type="dxa"/>
            <w:tcBorders/>
            <w:vAlign w:val="center"/>
          </w:tcPr>
          <w:p>
            <w:pPr>
              <w:pStyle w:val="TableContents"/>
              <w:bidi w:val="0"/>
              <w:spacing w:before="0" w:after="283"/>
              <w:jc w:val="left"/>
              <w:rPr>
                <w:b/>
              </w:rPr>
            </w:pPr>
            <w:r>
              <w:rPr>
                <w:b/>
              </w:rPr>
              <w:t>Total other (expense) income, net</w:t>
            </w:r>
          </w:p>
        </w:tc>
        <w:tc>
          <w:tcPr>
            <w:tcW w:w="60" w:type="dxa"/>
            <w:tcBorders/>
            <w:vAlign w:val="center"/>
          </w:tcPr>
          <w:p>
            <w:pPr>
              <w:pStyle w:val="TableContents"/>
              <w:bidi w:val="0"/>
              <w:spacing w:before="0" w:after="283"/>
              <w:jc w:val="left"/>
              <w:rPr/>
            </w:pPr>
            <w:r>
              <w:rPr/>
              <w:t> </w:t>
            </w:r>
          </w:p>
        </w:tc>
        <w:tc>
          <w:tcPr>
            <w:tcW w:w="14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7" w:type="dxa"/>
            <w:tcBorders>
              <w:bottom w:val="single" w:sz="12" w:space="0" w:color="000000"/>
            </w:tcBorders>
            <w:tcMar>
              <w:bottom w:w="28" w:type="dxa"/>
            </w:tcMar>
            <w:vAlign w:val="center"/>
          </w:tcPr>
          <w:p>
            <w:pPr>
              <w:pStyle w:val="TableContents"/>
              <w:bidi w:val="0"/>
              <w:spacing w:before="0" w:after="283"/>
              <w:jc w:val="right"/>
              <w:rPr/>
            </w:pPr>
            <w:r>
              <w:rPr/>
              <w:t>(1,144,218</w:t>
            </w:r>
          </w:p>
        </w:tc>
        <w:tc>
          <w:tcPr>
            <w:tcW w:w="99" w:type="dxa"/>
            <w:tcBorders/>
            <w:vAlign w:val="center"/>
          </w:tcPr>
          <w:p>
            <w:pPr>
              <w:pStyle w:val="TableContents"/>
              <w:bidi w:val="0"/>
              <w:spacing w:before="0" w:after="283"/>
              <w:jc w:val="left"/>
              <w:rPr/>
            </w:pPr>
            <w:r>
              <w:rPr/>
              <w:t>)</w:t>
            </w:r>
          </w:p>
        </w:tc>
        <w:tc>
          <w:tcPr>
            <w:tcW w:w="62" w:type="dxa"/>
            <w:tcBorders/>
            <w:vAlign w:val="center"/>
          </w:tcPr>
          <w:p>
            <w:pPr>
              <w:pStyle w:val="TableContents"/>
              <w:bidi w:val="0"/>
              <w:spacing w:before="0" w:after="283"/>
              <w:jc w:val="left"/>
              <w:rPr/>
            </w:pPr>
            <w:r>
              <w:rPr/>
              <w:t> </w:t>
            </w:r>
          </w:p>
        </w:tc>
        <w:tc>
          <w:tcPr>
            <w:tcW w:w="14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7" w:type="dxa"/>
            <w:tcBorders>
              <w:bottom w:val="single" w:sz="12" w:space="0" w:color="000000"/>
            </w:tcBorders>
            <w:tcMar>
              <w:bottom w:w="28" w:type="dxa"/>
            </w:tcMar>
            <w:vAlign w:val="center"/>
          </w:tcPr>
          <w:p>
            <w:pPr>
              <w:pStyle w:val="TableContents"/>
              <w:bidi w:val="0"/>
              <w:spacing w:before="0" w:after="283"/>
              <w:jc w:val="right"/>
              <w:rPr/>
            </w:pPr>
            <w:r>
              <w:rPr/>
              <w:t>2,850,067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tcMar>
              <w:bottom w:w="28" w:type="dxa"/>
            </w:tcMar>
            <w:vAlign w:val="center"/>
          </w:tcPr>
          <w:p>
            <w:pPr>
              <w:pStyle w:val="TableContents"/>
              <w:bidi w:val="0"/>
              <w:spacing w:before="0" w:after="283"/>
              <w:jc w:val="right"/>
              <w:rPr/>
            </w:pPr>
            <w:r>
              <w:rPr/>
              <w:t>646,273</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tcMar>
              <w:bottom w:w="28" w:type="dxa"/>
            </w:tcMar>
            <w:vAlign w:val="center"/>
          </w:tcPr>
          <w:p>
            <w:pPr>
              <w:pStyle w:val="TableContents"/>
              <w:bidi w:val="0"/>
              <w:spacing w:before="0" w:after="283"/>
              <w:jc w:val="right"/>
              <w:rPr/>
            </w:pPr>
            <w:r>
              <w:rPr/>
              <w:t>5,343,430</w:t>
            </w:r>
          </w:p>
        </w:tc>
        <w:tc>
          <w:tcPr>
            <w:tcW w:w="116" w:type="dxa"/>
            <w:tcBorders/>
            <w:vAlign w:val="center"/>
          </w:tcPr>
          <w:p>
            <w:pPr>
              <w:pStyle w:val="TableContents"/>
              <w:bidi w:val="0"/>
              <w:spacing w:before="0" w:after="283"/>
              <w:jc w:val="left"/>
              <w:rPr/>
            </w:pPr>
            <w:r>
              <w:rPr/>
              <w:t> </w:t>
            </w:r>
          </w:p>
        </w:tc>
      </w:tr>
      <w:tr>
        <w:trPr/>
        <w:tc>
          <w:tcPr>
            <w:tcW w:w="44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4443" w:type="dxa"/>
            <w:tcBorders/>
            <w:vAlign w:val="center"/>
          </w:tcPr>
          <w:p>
            <w:pPr>
              <w:pStyle w:val="TableContents"/>
              <w:bidi w:val="0"/>
              <w:spacing w:before="0" w:after="283"/>
              <w:jc w:val="left"/>
              <w:rPr>
                <w:b/>
              </w:rPr>
            </w:pPr>
            <w:r>
              <w:rPr>
                <w:b/>
              </w:rPr>
              <w:t>Net (loss) income</w:t>
            </w:r>
          </w:p>
        </w:tc>
        <w:tc>
          <w:tcPr>
            <w:tcW w:w="60" w:type="dxa"/>
            <w:tcBorders/>
            <w:vAlign w:val="center"/>
          </w:tcPr>
          <w:p>
            <w:pPr>
              <w:pStyle w:val="TableContents"/>
              <w:bidi w:val="0"/>
              <w:spacing w:before="0" w:after="283"/>
              <w:jc w:val="left"/>
              <w:rPr/>
            </w:pPr>
            <w:r>
              <w:rPr/>
              <w:t> </w:t>
            </w:r>
          </w:p>
        </w:tc>
        <w:tc>
          <w:tcPr>
            <w:tcW w:w="147"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157" w:type="dxa"/>
            <w:tcBorders>
              <w:bottom w:val="double" w:sz="10" w:space="0" w:color="000000"/>
            </w:tcBorders>
            <w:tcMar>
              <w:bottom w:w="28" w:type="dxa"/>
            </w:tcMar>
            <w:vAlign w:val="center"/>
          </w:tcPr>
          <w:p>
            <w:pPr>
              <w:pStyle w:val="TableContents"/>
              <w:bidi w:val="0"/>
              <w:spacing w:before="0" w:after="283"/>
              <w:jc w:val="right"/>
              <w:rPr>
                <w:b/>
              </w:rPr>
            </w:pPr>
            <w:r>
              <w:rPr>
                <w:b/>
              </w:rPr>
              <w:t>(2,655,494</w:t>
            </w:r>
          </w:p>
        </w:tc>
        <w:tc>
          <w:tcPr>
            <w:tcW w:w="99" w:type="dxa"/>
            <w:tcBorders/>
            <w:vAlign w:val="center"/>
          </w:tcPr>
          <w:p>
            <w:pPr>
              <w:pStyle w:val="TableContents"/>
              <w:bidi w:val="0"/>
              <w:spacing w:before="0" w:after="283"/>
              <w:jc w:val="left"/>
              <w:rPr>
                <w:b/>
              </w:rPr>
            </w:pPr>
            <w:r>
              <w:rPr>
                <w:b/>
              </w:rPr>
              <w:t>)</w:t>
            </w:r>
          </w:p>
        </w:tc>
        <w:tc>
          <w:tcPr>
            <w:tcW w:w="62" w:type="dxa"/>
            <w:tcBorders/>
            <w:vAlign w:val="center"/>
          </w:tcPr>
          <w:p>
            <w:pPr>
              <w:pStyle w:val="TableContents"/>
              <w:bidi w:val="0"/>
              <w:spacing w:before="0" w:after="283"/>
              <w:jc w:val="left"/>
              <w:rPr/>
            </w:pPr>
            <w:r>
              <w:rPr/>
              <w:t> </w:t>
            </w:r>
          </w:p>
        </w:tc>
        <w:tc>
          <w:tcPr>
            <w:tcW w:w="147"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157" w:type="dxa"/>
            <w:tcBorders>
              <w:bottom w:val="double" w:sz="10" w:space="0" w:color="000000"/>
            </w:tcBorders>
            <w:tcMar>
              <w:bottom w:w="28" w:type="dxa"/>
            </w:tcMar>
            <w:vAlign w:val="center"/>
          </w:tcPr>
          <w:p>
            <w:pPr>
              <w:pStyle w:val="TableContents"/>
              <w:bidi w:val="0"/>
              <w:spacing w:before="0" w:after="283"/>
              <w:jc w:val="right"/>
              <w:rPr>
                <w:b/>
              </w:rPr>
            </w:pPr>
            <w:r>
              <w:rPr>
                <w:b/>
              </w:rPr>
              <w:t>2,025,986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112" w:type="dxa"/>
            <w:tcBorders>
              <w:bottom w:val="double" w:sz="10" w:space="0" w:color="000000"/>
            </w:tcBorders>
            <w:tcMar>
              <w:bottom w:w="28" w:type="dxa"/>
            </w:tcMar>
            <w:vAlign w:val="center"/>
          </w:tcPr>
          <w:p>
            <w:pPr>
              <w:pStyle w:val="TableContents"/>
              <w:bidi w:val="0"/>
              <w:spacing w:before="0" w:after="283"/>
              <w:jc w:val="right"/>
              <w:rPr>
                <w:b/>
              </w:rPr>
            </w:pPr>
            <w:r>
              <w:rPr>
                <w:b/>
              </w:rPr>
              <w:t>(2,485,339</w:t>
            </w:r>
          </w:p>
        </w:tc>
        <w:tc>
          <w:tcPr>
            <w:tcW w:w="96" w:type="dxa"/>
            <w:tcBorders/>
            <w:vAlign w:val="center"/>
          </w:tcPr>
          <w:p>
            <w:pPr>
              <w:pStyle w:val="TableContents"/>
              <w:bidi w:val="0"/>
              <w:spacing w:before="0" w:after="283"/>
              <w:jc w:val="left"/>
              <w:rPr>
                <w:b/>
              </w:rPr>
            </w:pPr>
            <w:r>
              <w:rPr>
                <w:b/>
              </w:rPr>
              <w:t>)</w:t>
            </w:r>
          </w:p>
        </w:tc>
        <w:tc>
          <w:tcPr>
            <w:tcW w:w="60" w:type="dxa"/>
            <w:tcBorders/>
            <w:vAlign w:val="center"/>
          </w:tcPr>
          <w:p>
            <w:pPr>
              <w:pStyle w:val="TableContents"/>
              <w:bidi w:val="0"/>
              <w:spacing w:before="0" w:after="283"/>
              <w:jc w:val="left"/>
              <w:rPr/>
            </w:pPr>
            <w:r>
              <w:rPr/>
              <w:t> </w:t>
            </w:r>
          </w:p>
        </w:tc>
        <w:tc>
          <w:tcPr>
            <w:tcW w:w="141"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112" w:type="dxa"/>
            <w:tcBorders>
              <w:bottom w:val="double" w:sz="10" w:space="0" w:color="000000"/>
            </w:tcBorders>
            <w:tcMar>
              <w:bottom w:w="28" w:type="dxa"/>
            </w:tcMar>
            <w:vAlign w:val="center"/>
          </w:tcPr>
          <w:p>
            <w:pPr>
              <w:pStyle w:val="TableContents"/>
              <w:bidi w:val="0"/>
              <w:spacing w:before="0" w:after="283"/>
              <w:jc w:val="right"/>
              <w:rPr>
                <w:b/>
              </w:rPr>
            </w:pPr>
            <w:r>
              <w:rPr>
                <w:b/>
              </w:rPr>
              <w:t>3,321,266</w:t>
            </w:r>
          </w:p>
        </w:tc>
        <w:tc>
          <w:tcPr>
            <w:tcW w:w="116" w:type="dxa"/>
            <w:tcBorders/>
            <w:vAlign w:val="center"/>
          </w:tcPr>
          <w:p>
            <w:pPr>
              <w:pStyle w:val="TableContents"/>
              <w:bidi w:val="0"/>
              <w:spacing w:before="0" w:after="283"/>
              <w:jc w:val="left"/>
              <w:rPr/>
            </w:pPr>
            <w:r>
              <w:rPr/>
              <w:t> </w:t>
            </w:r>
          </w:p>
        </w:tc>
      </w:tr>
      <w:tr>
        <w:trPr/>
        <w:tc>
          <w:tcPr>
            <w:tcW w:w="44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ind w:left="0" w:right="0" w:hanging="145"/>
              <w:jc w:val="left"/>
              <w:rPr/>
            </w:pPr>
            <w:r>
              <w:rPr/>
              <w:t> </w:t>
            </w:r>
          </w:p>
        </w:tc>
      </w:tr>
      <w:tr>
        <w:trPr/>
        <w:tc>
          <w:tcPr>
            <w:tcW w:w="4443" w:type="dxa"/>
            <w:tcBorders/>
            <w:vAlign w:val="center"/>
          </w:tcPr>
          <w:p>
            <w:pPr>
              <w:pStyle w:val="TableContents"/>
              <w:bidi w:val="0"/>
              <w:spacing w:before="0" w:after="283"/>
              <w:jc w:val="left"/>
              <w:rPr/>
            </w:pPr>
            <w:r>
              <w:rPr/>
              <w:t>Weighted average shares outstanding, Class A ordinary shares subject to possible redemption</w:t>
            </w:r>
          </w:p>
        </w:tc>
        <w:tc>
          <w:tcPr>
            <w:tcW w:w="60" w:type="dxa"/>
            <w:tcBorders/>
            <w:vAlign w:val="center"/>
          </w:tcPr>
          <w:p>
            <w:pPr>
              <w:pStyle w:val="TableContents"/>
              <w:bidi w:val="0"/>
              <w:spacing w:before="0" w:after="283"/>
              <w:jc w:val="left"/>
              <w:rPr/>
            </w:pPr>
            <w:r>
              <w:rPr/>
              <w:t> </w:t>
            </w:r>
          </w:p>
        </w:tc>
        <w:tc>
          <w:tcPr>
            <w:tcW w:w="147" w:type="dxa"/>
            <w:tcBorders>
              <w:bottom w:val="double" w:sz="10" w:space="0" w:color="000000"/>
            </w:tcBorders>
            <w:tcMar>
              <w:bottom w:w="28" w:type="dxa"/>
            </w:tcMar>
            <w:vAlign w:val="center"/>
          </w:tcPr>
          <w:p>
            <w:pPr>
              <w:pStyle w:val="TableContents"/>
              <w:bidi w:val="0"/>
              <w:spacing w:before="0" w:after="283"/>
              <w:jc w:val="left"/>
              <w:rPr/>
            </w:pPr>
            <w:r>
              <w:rPr/>
              <w:t> </w:t>
            </w:r>
          </w:p>
        </w:tc>
        <w:tc>
          <w:tcPr>
            <w:tcW w:w="1157" w:type="dxa"/>
            <w:tcBorders>
              <w:bottom w:val="double" w:sz="10" w:space="0" w:color="000000"/>
            </w:tcBorders>
            <w:tcMar>
              <w:bottom w:w="28" w:type="dxa"/>
            </w:tcMar>
            <w:vAlign w:val="center"/>
          </w:tcPr>
          <w:p>
            <w:pPr>
              <w:pStyle w:val="TableContents"/>
              <w:bidi w:val="0"/>
              <w:spacing w:before="0" w:after="283"/>
              <w:jc w:val="right"/>
              <w:rPr/>
            </w:pPr>
            <w:r>
              <w:rPr/>
              <w:t>11,243,496</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7" w:type="dxa"/>
            <w:tcBorders>
              <w:bottom w:val="double" w:sz="10" w:space="0" w:color="000000"/>
            </w:tcBorders>
            <w:tcMar>
              <w:bottom w:w="28" w:type="dxa"/>
            </w:tcMar>
            <w:vAlign w:val="center"/>
          </w:tcPr>
          <w:p>
            <w:pPr>
              <w:pStyle w:val="TableContents"/>
              <w:bidi w:val="0"/>
              <w:spacing w:before="0" w:after="283"/>
              <w:jc w:val="left"/>
              <w:rPr/>
            </w:pPr>
            <w:r>
              <w:rPr/>
              <w:t> </w:t>
            </w:r>
          </w:p>
        </w:tc>
        <w:tc>
          <w:tcPr>
            <w:tcW w:w="1157" w:type="dxa"/>
            <w:tcBorders>
              <w:bottom w:val="double" w:sz="10" w:space="0" w:color="000000"/>
            </w:tcBorders>
            <w:tcMar>
              <w:bottom w:w="28" w:type="dxa"/>
            </w:tcMar>
            <w:vAlign w:val="center"/>
          </w:tcPr>
          <w:p>
            <w:pPr>
              <w:pStyle w:val="TableContents"/>
              <w:bidi w:val="0"/>
              <w:spacing w:before="0" w:after="283"/>
              <w:jc w:val="right"/>
              <w:rPr/>
            </w:pPr>
            <w:r>
              <w:rPr/>
              <w:t>34,500,000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bottom w:val="double" w:sz="10" w:space="0" w:color="000000"/>
            </w:tcBorders>
            <w:tcMar>
              <w:bottom w:w="28" w:type="dxa"/>
            </w:tcMar>
            <w:vAlign w:val="center"/>
          </w:tcPr>
          <w:p>
            <w:pPr>
              <w:pStyle w:val="TableContents"/>
              <w:bidi w:val="0"/>
              <w:spacing w:before="0" w:after="283"/>
              <w:jc w:val="left"/>
              <w:rPr/>
            </w:pPr>
            <w:r>
              <w:rPr/>
              <w:t> </w:t>
            </w:r>
          </w:p>
        </w:tc>
        <w:tc>
          <w:tcPr>
            <w:tcW w:w="1112" w:type="dxa"/>
            <w:tcBorders>
              <w:bottom w:val="double" w:sz="10" w:space="0" w:color="000000"/>
            </w:tcBorders>
            <w:tcMar>
              <w:bottom w:w="28" w:type="dxa"/>
            </w:tcMar>
            <w:vAlign w:val="center"/>
          </w:tcPr>
          <w:p>
            <w:pPr>
              <w:pStyle w:val="TableContents"/>
              <w:bidi w:val="0"/>
              <w:spacing w:before="0" w:after="283"/>
              <w:jc w:val="right"/>
              <w:rPr/>
            </w:pPr>
            <w:r>
              <w:rPr/>
              <w:t>18,824,345</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bottom w:val="double" w:sz="10" w:space="0" w:color="000000"/>
            </w:tcBorders>
            <w:tcMar>
              <w:bottom w:w="28" w:type="dxa"/>
            </w:tcMar>
            <w:vAlign w:val="center"/>
          </w:tcPr>
          <w:p>
            <w:pPr>
              <w:pStyle w:val="TableContents"/>
              <w:bidi w:val="0"/>
              <w:spacing w:before="0" w:after="283"/>
              <w:jc w:val="left"/>
              <w:rPr/>
            </w:pPr>
            <w:r>
              <w:rPr/>
              <w:t> </w:t>
            </w:r>
          </w:p>
        </w:tc>
        <w:tc>
          <w:tcPr>
            <w:tcW w:w="1112" w:type="dxa"/>
            <w:tcBorders>
              <w:bottom w:val="double" w:sz="10" w:space="0" w:color="000000"/>
            </w:tcBorders>
            <w:tcMar>
              <w:bottom w:w="28" w:type="dxa"/>
            </w:tcMar>
            <w:vAlign w:val="center"/>
          </w:tcPr>
          <w:p>
            <w:pPr>
              <w:pStyle w:val="TableContents"/>
              <w:bidi w:val="0"/>
              <w:spacing w:before="0" w:after="283"/>
              <w:jc w:val="right"/>
              <w:rPr/>
            </w:pPr>
            <w:r>
              <w:rPr/>
              <w:t>34,500,000</w:t>
            </w:r>
          </w:p>
        </w:tc>
        <w:tc>
          <w:tcPr>
            <w:tcW w:w="116" w:type="dxa"/>
            <w:tcBorders/>
            <w:vAlign w:val="center"/>
          </w:tcPr>
          <w:p>
            <w:pPr>
              <w:pStyle w:val="TableContents"/>
              <w:bidi w:val="0"/>
              <w:spacing w:before="0" w:after="283"/>
              <w:ind w:left="0" w:right="0" w:hanging="145"/>
              <w:jc w:val="left"/>
              <w:rPr/>
            </w:pPr>
            <w:r>
              <w:rPr/>
              <w:t> </w:t>
            </w:r>
          </w:p>
        </w:tc>
      </w:tr>
      <w:tr>
        <w:trPr/>
        <w:tc>
          <w:tcPr>
            <w:tcW w:w="4443" w:type="dxa"/>
            <w:tcBorders/>
            <w:shd w:fill="CCEEFF" w:val="clear"/>
            <w:vAlign w:val="center"/>
          </w:tcPr>
          <w:p>
            <w:pPr>
              <w:pStyle w:val="TableContents"/>
              <w:bidi w:val="0"/>
              <w:spacing w:before="0" w:after="0"/>
              <w:jc w:val="left"/>
              <w:rPr>
                <w:b/>
              </w:rPr>
            </w:pPr>
            <w:r>
              <w:rPr>
                <w:b/>
              </w:rPr>
              <w:t>Basic and diluted net (loss) income per share, Class A ordinary shares subject to possible redemption</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5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(0.13</w:t>
            </w:r>
          </w:p>
        </w:tc>
        <w:tc>
          <w:tcPr>
            <w:tcW w:w="99" w:type="dxa"/>
            <w:tcBorders/>
            <w:shd w:fill="CCEEFF" w:val="clear"/>
            <w:vAlign w:val="center"/>
          </w:tcPr>
          <w:p>
            <w:pPr>
              <w:pStyle w:val="TableContents"/>
              <w:bidi w:val="0"/>
              <w:spacing w:before="0" w:after="283"/>
              <w:jc w:val="left"/>
              <w:rPr>
                <w:b/>
              </w:rPr>
            </w:pPr>
            <w:r>
              <w:rPr>
                <w:b/>
              </w:rPr>
              <w:t>)</w:t>
            </w:r>
          </w:p>
        </w:tc>
        <w:tc>
          <w:tcPr>
            <w:tcW w:w="62" w:type="dxa"/>
            <w:tcBorders/>
            <w:shd w:fill="CCEEFF" w:val="clear"/>
            <w:vAlign w:val="center"/>
          </w:tcPr>
          <w:p>
            <w:pPr>
              <w:pStyle w:val="TableContents"/>
              <w:bidi w:val="0"/>
              <w:spacing w:before="0" w:after="283"/>
              <w:jc w:val="left"/>
              <w:rPr/>
            </w:pPr>
            <w:r>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5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0.05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1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(0.09</w:t>
            </w:r>
          </w:p>
        </w:tc>
        <w:tc>
          <w:tcPr>
            <w:tcW w:w="96"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1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0.08</w:t>
            </w:r>
          </w:p>
        </w:tc>
        <w:tc>
          <w:tcPr>
            <w:tcW w:w="116" w:type="dxa"/>
            <w:tcBorders/>
            <w:shd w:fill="CCEEFF" w:val="clear"/>
            <w:vAlign w:val="center"/>
          </w:tcPr>
          <w:p>
            <w:pPr>
              <w:pStyle w:val="TableContents"/>
              <w:bidi w:val="0"/>
              <w:spacing w:before="0" w:after="283"/>
              <w:ind w:left="0" w:right="0" w:hanging="145"/>
              <w:jc w:val="left"/>
              <w:rPr/>
            </w:pPr>
            <w:r>
              <w:rPr/>
              <w:t> </w:t>
            </w:r>
          </w:p>
        </w:tc>
      </w:tr>
      <w:tr>
        <w:trPr/>
        <w:tc>
          <w:tcPr>
            <w:tcW w:w="4443" w:type="dxa"/>
            <w:tcBorders/>
            <w:vAlign w:val="center"/>
          </w:tcPr>
          <w:p>
            <w:pPr>
              <w:pStyle w:val="TableContents"/>
              <w:bidi w:val="0"/>
              <w:spacing w:before="0" w:after="283"/>
              <w:jc w:val="left"/>
              <w:rPr/>
            </w:pPr>
            <w:r>
              <w:rPr/>
              <w:t>Weighted average shares outstanding, Class B ordinary shares</w:t>
            </w:r>
          </w:p>
        </w:tc>
        <w:tc>
          <w:tcPr>
            <w:tcW w:w="60" w:type="dxa"/>
            <w:tcBorders/>
            <w:vAlign w:val="center"/>
          </w:tcPr>
          <w:p>
            <w:pPr>
              <w:pStyle w:val="TableContents"/>
              <w:bidi w:val="0"/>
              <w:spacing w:before="0" w:after="283"/>
              <w:jc w:val="left"/>
              <w:rPr/>
            </w:pPr>
            <w:r>
              <w:rPr/>
              <w:t> </w:t>
            </w:r>
          </w:p>
        </w:tc>
        <w:tc>
          <w:tcPr>
            <w:tcW w:w="147" w:type="dxa"/>
            <w:tcBorders>
              <w:bottom w:val="double" w:sz="10" w:space="0" w:color="000000"/>
            </w:tcBorders>
            <w:tcMar>
              <w:bottom w:w="28" w:type="dxa"/>
            </w:tcMar>
            <w:vAlign w:val="center"/>
          </w:tcPr>
          <w:p>
            <w:pPr>
              <w:pStyle w:val="TableContents"/>
              <w:bidi w:val="0"/>
              <w:spacing w:before="0" w:after="283"/>
              <w:jc w:val="left"/>
              <w:rPr/>
            </w:pPr>
            <w:r>
              <w:rPr/>
              <w:t> </w:t>
            </w:r>
          </w:p>
        </w:tc>
        <w:tc>
          <w:tcPr>
            <w:tcW w:w="1157" w:type="dxa"/>
            <w:tcBorders>
              <w:bottom w:val="double" w:sz="10" w:space="0" w:color="000000"/>
            </w:tcBorders>
            <w:tcMar>
              <w:bottom w:w="28" w:type="dxa"/>
            </w:tcMar>
            <w:vAlign w:val="center"/>
          </w:tcPr>
          <w:p>
            <w:pPr>
              <w:pStyle w:val="TableContents"/>
              <w:bidi w:val="0"/>
              <w:spacing w:before="0" w:after="283"/>
              <w:jc w:val="right"/>
              <w:rPr/>
            </w:pPr>
            <w:r>
              <w:rPr/>
              <w:t>8,625,000</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7" w:type="dxa"/>
            <w:tcBorders>
              <w:bottom w:val="double" w:sz="10" w:space="0" w:color="000000"/>
            </w:tcBorders>
            <w:tcMar>
              <w:bottom w:w="28" w:type="dxa"/>
            </w:tcMar>
            <w:vAlign w:val="center"/>
          </w:tcPr>
          <w:p>
            <w:pPr>
              <w:pStyle w:val="TableContents"/>
              <w:bidi w:val="0"/>
              <w:spacing w:before="0" w:after="283"/>
              <w:jc w:val="left"/>
              <w:rPr/>
            </w:pPr>
            <w:r>
              <w:rPr/>
              <w:t> </w:t>
            </w:r>
          </w:p>
        </w:tc>
        <w:tc>
          <w:tcPr>
            <w:tcW w:w="1157" w:type="dxa"/>
            <w:tcBorders>
              <w:bottom w:val="double" w:sz="10" w:space="0" w:color="000000"/>
            </w:tcBorders>
            <w:tcMar>
              <w:bottom w:w="28" w:type="dxa"/>
            </w:tcMar>
            <w:vAlign w:val="center"/>
          </w:tcPr>
          <w:p>
            <w:pPr>
              <w:pStyle w:val="TableContents"/>
              <w:bidi w:val="0"/>
              <w:spacing w:before="0" w:after="283"/>
              <w:jc w:val="right"/>
              <w:rPr/>
            </w:pPr>
            <w:r>
              <w:rPr/>
              <w:t>8,625,000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bottom w:val="double" w:sz="10" w:space="0" w:color="000000"/>
            </w:tcBorders>
            <w:tcMar>
              <w:bottom w:w="28" w:type="dxa"/>
            </w:tcMar>
            <w:vAlign w:val="center"/>
          </w:tcPr>
          <w:p>
            <w:pPr>
              <w:pStyle w:val="TableContents"/>
              <w:bidi w:val="0"/>
              <w:spacing w:before="0" w:after="283"/>
              <w:jc w:val="left"/>
              <w:rPr/>
            </w:pPr>
            <w:r>
              <w:rPr/>
              <w:t> </w:t>
            </w:r>
          </w:p>
        </w:tc>
        <w:tc>
          <w:tcPr>
            <w:tcW w:w="1112" w:type="dxa"/>
            <w:tcBorders>
              <w:bottom w:val="double" w:sz="10" w:space="0" w:color="000000"/>
            </w:tcBorders>
            <w:tcMar>
              <w:bottom w:w="28" w:type="dxa"/>
            </w:tcMar>
            <w:vAlign w:val="center"/>
          </w:tcPr>
          <w:p>
            <w:pPr>
              <w:pStyle w:val="TableContents"/>
              <w:bidi w:val="0"/>
              <w:spacing w:before="0" w:after="283"/>
              <w:jc w:val="right"/>
              <w:rPr/>
            </w:pPr>
            <w:r>
              <w:rPr/>
              <w:t>8,625,000</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bottom w:val="double" w:sz="10" w:space="0" w:color="000000"/>
            </w:tcBorders>
            <w:tcMar>
              <w:bottom w:w="28" w:type="dxa"/>
            </w:tcMar>
            <w:vAlign w:val="center"/>
          </w:tcPr>
          <w:p>
            <w:pPr>
              <w:pStyle w:val="TableContents"/>
              <w:bidi w:val="0"/>
              <w:spacing w:before="0" w:after="283"/>
              <w:jc w:val="left"/>
              <w:rPr/>
            </w:pPr>
            <w:r>
              <w:rPr/>
              <w:t> </w:t>
            </w:r>
          </w:p>
        </w:tc>
        <w:tc>
          <w:tcPr>
            <w:tcW w:w="1112" w:type="dxa"/>
            <w:tcBorders>
              <w:bottom w:val="double" w:sz="10" w:space="0" w:color="000000"/>
            </w:tcBorders>
            <w:tcMar>
              <w:bottom w:w="28" w:type="dxa"/>
            </w:tcMar>
            <w:vAlign w:val="center"/>
          </w:tcPr>
          <w:p>
            <w:pPr>
              <w:pStyle w:val="TableContents"/>
              <w:bidi w:val="0"/>
              <w:spacing w:before="0" w:after="283"/>
              <w:jc w:val="right"/>
              <w:rPr/>
            </w:pPr>
            <w:r>
              <w:rPr/>
              <w:t>8,625,000</w:t>
            </w:r>
          </w:p>
        </w:tc>
        <w:tc>
          <w:tcPr>
            <w:tcW w:w="116" w:type="dxa"/>
            <w:tcBorders/>
            <w:vAlign w:val="center"/>
          </w:tcPr>
          <w:p>
            <w:pPr>
              <w:pStyle w:val="TableContents"/>
              <w:bidi w:val="0"/>
              <w:spacing w:before="0" w:after="283"/>
              <w:ind w:left="0" w:right="0" w:hanging="145"/>
              <w:jc w:val="left"/>
              <w:rPr/>
            </w:pPr>
            <w:r>
              <w:rPr/>
              <w:t> </w:t>
            </w:r>
          </w:p>
        </w:tc>
      </w:tr>
      <w:tr>
        <w:trPr/>
        <w:tc>
          <w:tcPr>
            <w:tcW w:w="4443" w:type="dxa"/>
            <w:tcBorders/>
            <w:shd w:fill="CCEEFF" w:val="clear"/>
            <w:vAlign w:val="center"/>
          </w:tcPr>
          <w:p>
            <w:pPr>
              <w:pStyle w:val="TableContents"/>
              <w:bidi w:val="0"/>
              <w:spacing w:before="0" w:after="0"/>
              <w:jc w:val="left"/>
              <w:rPr>
                <w:b/>
              </w:rPr>
            </w:pPr>
            <w:r>
              <w:rPr>
                <w:b/>
              </w:rPr>
              <w:t>Basic and diluted net (loss) income per share, Class B ordinary shares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5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(0.13</w:t>
            </w:r>
          </w:p>
        </w:tc>
        <w:tc>
          <w:tcPr>
            <w:tcW w:w="99" w:type="dxa"/>
            <w:tcBorders/>
            <w:shd w:fill="CCEEFF" w:val="clear"/>
            <w:vAlign w:val="center"/>
          </w:tcPr>
          <w:p>
            <w:pPr>
              <w:pStyle w:val="TableContents"/>
              <w:bidi w:val="0"/>
              <w:spacing w:before="0" w:after="283"/>
              <w:jc w:val="left"/>
              <w:rPr>
                <w:b/>
              </w:rPr>
            </w:pPr>
            <w:r>
              <w:rPr>
                <w:b/>
              </w:rPr>
              <w:t>)</w:t>
            </w:r>
          </w:p>
        </w:tc>
        <w:tc>
          <w:tcPr>
            <w:tcW w:w="62" w:type="dxa"/>
            <w:tcBorders/>
            <w:shd w:fill="CCEEFF" w:val="clear"/>
            <w:vAlign w:val="center"/>
          </w:tcPr>
          <w:p>
            <w:pPr>
              <w:pStyle w:val="TableContents"/>
              <w:bidi w:val="0"/>
              <w:spacing w:before="0" w:after="283"/>
              <w:jc w:val="left"/>
              <w:rPr/>
            </w:pPr>
            <w:r>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5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0.05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1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(0.09</w:t>
            </w:r>
          </w:p>
        </w:tc>
        <w:tc>
          <w:tcPr>
            <w:tcW w:w="96"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1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0.08</w:t>
            </w:r>
          </w:p>
        </w:tc>
        <w:tc>
          <w:tcPr>
            <w:tcW w:w="11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COMPLETE SOLARIA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 to Freedom Acquisition I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CHANGE IN SHAREHOLDERS’ DEFICIT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JUNE 30, 2023</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29"/>
        <w:gridCol w:w="60"/>
        <w:gridCol w:w="133"/>
        <w:gridCol w:w="577"/>
        <w:gridCol w:w="60"/>
        <w:gridCol w:w="60"/>
        <w:gridCol w:w="301"/>
        <w:gridCol w:w="559"/>
        <w:gridCol w:w="60"/>
        <w:gridCol w:w="60"/>
        <w:gridCol w:w="60"/>
        <w:gridCol w:w="980"/>
        <w:gridCol w:w="60"/>
        <w:gridCol w:w="60"/>
        <w:gridCol w:w="231"/>
        <w:gridCol w:w="629"/>
        <w:gridCol w:w="60"/>
        <w:gridCol w:w="60"/>
        <w:gridCol w:w="140"/>
        <w:gridCol w:w="1055"/>
        <w:gridCol w:w="95"/>
        <w:gridCol w:w="60"/>
        <w:gridCol w:w="145"/>
        <w:gridCol w:w="1225"/>
        <w:gridCol w:w="95"/>
        <w:gridCol w:w="60"/>
        <w:gridCol w:w="145"/>
        <w:gridCol w:w="1234"/>
        <w:gridCol w:w="112"/>
      </w:tblGrid>
      <w:tr>
        <w:trPr/>
        <w:tc>
          <w:tcPr>
            <w:tcW w:w="182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3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9" w:type="dxa"/>
            <w:gridSpan w:val="2"/>
            <w:tcBorders/>
            <w:vAlign w:val="center"/>
          </w:tcPr>
          <w:p>
            <w:pPr>
              <w:pStyle w:val="TableContents"/>
              <w:bidi w:val="0"/>
              <w:spacing w:before="0" w:after="283"/>
              <w:jc w:val="center"/>
              <w:rPr>
                <w:b/>
              </w:rPr>
            </w:pPr>
            <w:r>
              <w:rPr>
                <w:b/>
              </w:rPr>
              <w:t>Total</w:t>
            </w:r>
          </w:p>
        </w:tc>
        <w:tc>
          <w:tcPr>
            <w:tcW w:w="112" w:type="dxa"/>
            <w:tcBorders/>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9" w:type="dxa"/>
            <w:gridSpan w:val="2"/>
            <w:tcBorders/>
            <w:vAlign w:val="center"/>
          </w:tcPr>
          <w:p>
            <w:pPr>
              <w:pStyle w:val="TableContents"/>
              <w:bidi w:val="0"/>
              <w:spacing w:before="0" w:after="283"/>
              <w:jc w:val="center"/>
              <w:rPr>
                <w:b/>
              </w:rPr>
            </w:pPr>
            <w:r>
              <w:rPr>
                <w:b/>
              </w:rPr>
              <w:t>Shareholders’</w:t>
            </w:r>
          </w:p>
        </w:tc>
        <w:tc>
          <w:tcPr>
            <w:tcW w:w="112" w:type="dxa"/>
            <w:tcBorders/>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12" w:type="dxa"/>
            <w:tcBorders/>
            <w:vAlign w:val="center"/>
          </w:tcPr>
          <w:p>
            <w:pPr>
              <w:pStyle w:val="TableContents"/>
              <w:bidi w:val="0"/>
              <w:spacing w:before="0" w:after="283"/>
              <w:ind w:left="0" w:right="0" w:hanging="145"/>
              <w:jc w:val="left"/>
              <w:rPr/>
            </w:pPr>
            <w:r>
              <w:rPr/>
              <w:t> </w:t>
            </w:r>
          </w:p>
        </w:tc>
      </w:tr>
      <w:tr>
        <w:trPr/>
        <w:tc>
          <w:tcPr>
            <w:tcW w:w="1829" w:type="dxa"/>
            <w:tcBorders/>
            <w:shd w:fill="CCEEFF" w:val="clear"/>
            <w:vAlign w:val="center"/>
          </w:tcPr>
          <w:p>
            <w:pPr>
              <w:pStyle w:val="TableContents"/>
              <w:bidi w:val="0"/>
              <w:spacing w:before="0" w:after="283"/>
              <w:jc w:val="left"/>
              <w:rPr>
                <w:b/>
              </w:rPr>
            </w:pPr>
            <w:r>
              <w:rPr>
                <w:b/>
              </w:rPr>
              <w:t>Balance as of December 31, 2022</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8,625,000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rPr>
            </w:pPr>
            <w:r>
              <w:rPr>
                <w:b/>
              </w:rPr>
              <w:t>$</w:t>
            </w:r>
          </w:p>
        </w:tc>
        <w:tc>
          <w:tcPr>
            <w:tcW w:w="629" w:type="dxa"/>
            <w:tcBorders/>
            <w:shd w:fill="CCEEFF" w:val="clear"/>
            <w:vAlign w:val="center"/>
          </w:tcPr>
          <w:p>
            <w:pPr>
              <w:pStyle w:val="TableContents"/>
              <w:bidi w:val="0"/>
              <w:spacing w:before="0" w:after="283"/>
              <w:jc w:val="right"/>
              <w:rPr>
                <w:b/>
              </w:rPr>
            </w:pPr>
            <w:r>
              <w:rPr>
                <w:b/>
              </w:rPr>
              <w:t>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6,057,438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rPr>
            </w:pPr>
            <w:r>
              <w:rPr>
                <w:b/>
              </w:rPr>
              <w:t>$</w:t>
            </w:r>
          </w:p>
        </w:tc>
        <w:tc>
          <w:tcPr>
            <w:tcW w:w="1225" w:type="dxa"/>
            <w:tcBorders/>
            <w:shd w:fill="CCEEFF" w:val="clear"/>
            <w:vAlign w:val="center"/>
          </w:tcPr>
          <w:p>
            <w:pPr>
              <w:pStyle w:val="TableContents"/>
              <w:bidi w:val="0"/>
              <w:spacing w:before="0" w:after="283"/>
              <w:jc w:val="right"/>
              <w:rPr>
                <w:b/>
              </w:rPr>
            </w:pPr>
            <w:r>
              <w:rPr>
                <w:b/>
              </w:rPr>
              <w:t>(17,548,599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rPr>
            </w:pPr>
            <w:r>
              <w:rPr>
                <w:b/>
              </w:rPr>
              <w:t>$</w:t>
            </w:r>
          </w:p>
        </w:tc>
        <w:tc>
          <w:tcPr>
            <w:tcW w:w="1234" w:type="dxa"/>
            <w:tcBorders/>
            <w:shd w:fill="CCEEFF" w:val="clear"/>
            <w:vAlign w:val="center"/>
          </w:tcPr>
          <w:p>
            <w:pPr>
              <w:pStyle w:val="TableContents"/>
              <w:bidi w:val="0"/>
              <w:spacing w:before="0" w:after="283"/>
              <w:jc w:val="right"/>
              <w:rPr>
                <w:b/>
              </w:rPr>
            </w:pPr>
            <w:r>
              <w:rPr>
                <w:b/>
              </w:rPr>
              <w:t>(11,490,298</w:t>
            </w:r>
          </w:p>
        </w:tc>
        <w:tc>
          <w:tcPr>
            <w:tcW w:w="112" w:type="dxa"/>
            <w:tcBorders/>
            <w:shd w:fill="CCEEFF" w:val="clear"/>
            <w:vAlign w:val="center"/>
          </w:tcPr>
          <w:p>
            <w:pPr>
              <w:pStyle w:val="TableContents"/>
              <w:bidi w:val="0"/>
              <w:spacing w:before="0" w:after="283"/>
              <w:ind w:left="0" w:right="0" w:hanging="145"/>
              <w:jc w:val="left"/>
              <w:rPr>
                <w:b/>
              </w:rPr>
            </w:pPr>
            <w:r>
              <w:rPr>
                <w:b/>
              </w:rPr>
              <w:t>)</w:t>
            </w:r>
          </w:p>
        </w:tc>
      </w:tr>
      <w:tr>
        <w:trPr/>
        <w:tc>
          <w:tcPr>
            <w:tcW w:w="1829" w:type="dxa"/>
            <w:tcBorders/>
            <w:vAlign w:val="center"/>
          </w:tcPr>
          <w:p>
            <w:pPr>
              <w:pStyle w:val="TableContents"/>
              <w:bidi w:val="0"/>
              <w:spacing w:before="0" w:after="283"/>
              <w:jc w:val="left"/>
              <w:rPr/>
            </w:pPr>
            <w:r>
              <w:rPr/>
              <w:t>Proceeds received on convertible note less than fair value</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12,198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34" w:type="dxa"/>
            <w:tcBorders/>
            <w:vAlign w:val="center"/>
          </w:tcPr>
          <w:p>
            <w:pPr>
              <w:pStyle w:val="TableContents"/>
              <w:bidi w:val="0"/>
              <w:spacing w:before="0" w:after="283"/>
              <w:jc w:val="right"/>
              <w:rPr/>
            </w:pPr>
            <w:r>
              <w:rPr/>
              <w:t>12,198</w:t>
            </w:r>
          </w:p>
        </w:tc>
        <w:tc>
          <w:tcPr>
            <w:tcW w:w="112" w:type="dxa"/>
            <w:tcBorders/>
            <w:vAlign w:val="center"/>
          </w:tcPr>
          <w:p>
            <w:pPr>
              <w:pStyle w:val="TableContents"/>
              <w:bidi w:val="0"/>
              <w:spacing w:before="0" w:after="283"/>
              <w:ind w:left="0" w:right="0" w:hanging="145"/>
              <w:jc w:val="left"/>
              <w:rPr/>
            </w:pPr>
            <w:r>
              <w:rPr/>
              <w:t> </w:t>
            </w:r>
          </w:p>
        </w:tc>
      </w:tr>
      <w:tr>
        <w:trPr/>
        <w:tc>
          <w:tcPr>
            <w:tcW w:w="1829" w:type="dxa"/>
            <w:tcBorders/>
            <w:shd w:fill="CCEEFF" w:val="clear"/>
            <w:vAlign w:val="center"/>
          </w:tcPr>
          <w:p>
            <w:pPr>
              <w:pStyle w:val="TableContents"/>
              <w:bidi w:val="0"/>
              <w:spacing w:before="0" w:after="283"/>
              <w:jc w:val="left"/>
              <w:rPr/>
            </w:pPr>
            <w:r>
              <w:rPr/>
              <w:t>Accretion of Class A ordinary shares subject to possible redemption</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(4,017,216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(4,017,216</w:t>
            </w:r>
          </w:p>
        </w:tc>
        <w:tc>
          <w:tcPr>
            <w:tcW w:w="112" w:type="dxa"/>
            <w:tcBorders/>
            <w:shd w:fill="CCEEFF" w:val="clear"/>
            <w:vAlign w:val="center"/>
          </w:tcPr>
          <w:p>
            <w:pPr>
              <w:pStyle w:val="TableContents"/>
              <w:bidi w:val="0"/>
              <w:spacing w:before="0" w:after="283"/>
              <w:ind w:left="0" w:right="0" w:hanging="145"/>
              <w:jc w:val="left"/>
              <w:rPr/>
            </w:pPr>
            <w:r>
              <w:rPr/>
              <w:t>)</w:t>
            </w:r>
          </w:p>
        </w:tc>
      </w:tr>
      <w:tr>
        <w:trPr/>
        <w:tc>
          <w:tcPr>
            <w:tcW w:w="1829" w:type="dxa"/>
            <w:tcBorders/>
            <w:vAlign w:val="center"/>
          </w:tcPr>
          <w:p>
            <w:pPr>
              <w:pStyle w:val="TableContents"/>
              <w:bidi w:val="0"/>
              <w:spacing w:before="0" w:after="283"/>
              <w:jc w:val="left"/>
              <w:rPr/>
            </w:pPr>
            <w:r>
              <w:rPr/>
              <w:t>Net income</w:t>
            </w:r>
          </w:p>
        </w:tc>
        <w:tc>
          <w:tcPr>
            <w:tcW w:w="60" w:type="dxa"/>
            <w:tcBorders/>
            <w:vAlign w:val="center"/>
          </w:tcPr>
          <w:p>
            <w:pPr>
              <w:pStyle w:val="TableContents"/>
              <w:bidi w:val="0"/>
              <w:spacing w:before="0" w:after="283"/>
              <w:jc w:val="left"/>
              <w:rPr/>
            </w:pPr>
            <w:r>
              <w:rPr/>
              <w:t> </w:t>
            </w:r>
          </w:p>
        </w:tc>
        <w:tc>
          <w:tcPr>
            <w:tcW w:w="133" w:type="dxa"/>
            <w:tcBorders>
              <w:bottom w:val="single" w:sz="12" w:space="0" w:color="000000"/>
            </w:tcBorders>
            <w:tcMar>
              <w:bottom w:w="28" w:type="dxa"/>
            </w:tcMar>
            <w:vAlign w:val="center"/>
          </w:tcPr>
          <w:p>
            <w:pPr>
              <w:pStyle w:val="TableContents"/>
              <w:bidi w:val="0"/>
              <w:spacing w:before="0" w:after="283"/>
              <w:jc w:val="left"/>
              <w:rPr/>
            </w:pPr>
            <w:r>
              <w:rPr/>
              <w:t> </w:t>
            </w:r>
          </w:p>
        </w:tc>
        <w:tc>
          <w:tcPr>
            <w:tcW w:w="577"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bottom w:val="single" w:sz="12" w:space="0" w:color="000000"/>
            </w:tcBorders>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bottom w:val="single" w:sz="12" w:space="0" w:color="000000"/>
            </w:tcBorders>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tcMar>
              <w:bottom w:w="28" w:type="dxa"/>
            </w:tcMar>
            <w:vAlign w:val="center"/>
          </w:tcPr>
          <w:p>
            <w:pPr>
              <w:pStyle w:val="TableContents"/>
              <w:bidi w:val="0"/>
              <w:spacing w:before="0" w:after="283"/>
              <w:jc w:val="right"/>
              <w:rPr/>
            </w:pPr>
            <w:r>
              <w:rPr/>
              <w:t>170,155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4" w:type="dxa"/>
            <w:tcBorders>
              <w:bottom w:val="single" w:sz="12" w:space="0" w:color="000000"/>
            </w:tcBorders>
            <w:tcMar>
              <w:bottom w:w="28" w:type="dxa"/>
            </w:tcMar>
            <w:vAlign w:val="center"/>
          </w:tcPr>
          <w:p>
            <w:pPr>
              <w:pStyle w:val="TableContents"/>
              <w:bidi w:val="0"/>
              <w:spacing w:before="0" w:after="283"/>
              <w:jc w:val="right"/>
              <w:rPr/>
            </w:pPr>
            <w:r>
              <w:rPr/>
              <w:t>170,155</w:t>
            </w:r>
          </w:p>
        </w:tc>
        <w:tc>
          <w:tcPr>
            <w:tcW w:w="112" w:type="dxa"/>
            <w:tcBorders/>
            <w:vAlign w:val="center"/>
          </w:tcPr>
          <w:p>
            <w:pPr>
              <w:pStyle w:val="TableContents"/>
              <w:bidi w:val="0"/>
              <w:spacing w:before="0" w:after="283"/>
              <w:ind w:left="0" w:right="0" w:hanging="145"/>
              <w:jc w:val="left"/>
              <w:rPr/>
            </w:pPr>
            <w:r>
              <w:rPr/>
              <w:t> </w:t>
            </w:r>
          </w:p>
        </w:tc>
      </w:tr>
      <w:tr>
        <w:trPr/>
        <w:tc>
          <w:tcPr>
            <w:tcW w:w="1829" w:type="dxa"/>
            <w:tcBorders/>
            <w:shd w:fill="CCEEFF" w:val="clear"/>
            <w:vAlign w:val="center"/>
          </w:tcPr>
          <w:p>
            <w:pPr>
              <w:pStyle w:val="TableContents"/>
              <w:bidi w:val="0"/>
              <w:spacing w:before="0" w:after="283"/>
              <w:jc w:val="left"/>
              <w:rPr>
                <w:b/>
              </w:rPr>
            </w:pPr>
            <w:r>
              <w:rPr>
                <w:b/>
              </w:rPr>
              <w:t>Balance as of March 31, 2023</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8,625,000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b/>
              </w:rPr>
            </w:pPr>
            <w:r>
              <w:rPr>
                <w:b/>
              </w:rPr>
              <w:t>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2,052,420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b/>
              </w:rPr>
            </w:pPr>
            <w:r>
              <w:rPr>
                <w:b/>
              </w:rPr>
              <w:t>(17,378,444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b/>
              </w:rPr>
            </w:pPr>
            <w:r>
              <w:rPr>
                <w:b/>
              </w:rPr>
              <w:t>(15,325,161</w:t>
            </w:r>
          </w:p>
        </w:tc>
        <w:tc>
          <w:tcPr>
            <w:tcW w:w="112" w:type="dxa"/>
            <w:tcBorders/>
            <w:shd w:fill="CCEEFF" w:val="clear"/>
            <w:vAlign w:val="center"/>
          </w:tcPr>
          <w:p>
            <w:pPr>
              <w:pStyle w:val="TableContents"/>
              <w:bidi w:val="0"/>
              <w:spacing w:before="0" w:after="283"/>
              <w:ind w:left="0" w:right="0" w:hanging="145"/>
              <w:jc w:val="left"/>
              <w:rPr>
                <w:b/>
              </w:rPr>
            </w:pPr>
            <w:r>
              <w:rPr>
                <w:b/>
              </w:rPr>
              <w:t>)</w:t>
            </w:r>
          </w:p>
        </w:tc>
      </w:tr>
      <w:tr>
        <w:trPr/>
        <w:tc>
          <w:tcPr>
            <w:tcW w:w="1829" w:type="dxa"/>
            <w:tcBorders/>
            <w:vAlign w:val="center"/>
          </w:tcPr>
          <w:p>
            <w:pPr>
              <w:pStyle w:val="TableContents"/>
              <w:bidi w:val="0"/>
              <w:spacing w:before="0" w:after="283"/>
              <w:jc w:val="left"/>
              <w:rPr/>
            </w:pPr>
            <w:r>
              <w:rPr/>
              <w:t>Accretion of Class A ordinary shares subject to possible redemption</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(1,808,051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34" w:type="dxa"/>
            <w:tcBorders/>
            <w:vAlign w:val="center"/>
          </w:tcPr>
          <w:p>
            <w:pPr>
              <w:pStyle w:val="TableContents"/>
              <w:bidi w:val="0"/>
              <w:spacing w:before="0" w:after="283"/>
              <w:jc w:val="right"/>
              <w:rPr/>
            </w:pPr>
            <w:r>
              <w:rPr/>
              <w:t>(1,808,051</w:t>
            </w:r>
          </w:p>
        </w:tc>
        <w:tc>
          <w:tcPr>
            <w:tcW w:w="112" w:type="dxa"/>
            <w:tcBorders/>
            <w:vAlign w:val="center"/>
          </w:tcPr>
          <w:p>
            <w:pPr>
              <w:pStyle w:val="TableContents"/>
              <w:bidi w:val="0"/>
              <w:spacing w:before="0" w:after="283"/>
              <w:ind w:left="0" w:right="0" w:hanging="145"/>
              <w:jc w:val="left"/>
              <w:rPr/>
            </w:pPr>
            <w:r>
              <w:rPr/>
              <w:t>)</w:t>
            </w:r>
          </w:p>
        </w:tc>
      </w:tr>
      <w:tr>
        <w:trPr/>
        <w:tc>
          <w:tcPr>
            <w:tcW w:w="1829"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(2,655,494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4" w:type="dxa"/>
            <w:tcBorders>
              <w:bottom w:val="single" w:sz="12" w:space="0" w:color="000000"/>
            </w:tcBorders>
            <w:shd w:fill="CCEEFF" w:val="clear"/>
            <w:tcMar>
              <w:bottom w:w="28" w:type="dxa"/>
            </w:tcMar>
            <w:vAlign w:val="center"/>
          </w:tcPr>
          <w:p>
            <w:pPr>
              <w:pStyle w:val="TableContents"/>
              <w:bidi w:val="0"/>
              <w:spacing w:before="0" w:after="283"/>
              <w:jc w:val="right"/>
              <w:rPr/>
            </w:pPr>
            <w:r>
              <w:rPr/>
              <w:t>(2,655,494</w:t>
            </w:r>
          </w:p>
        </w:tc>
        <w:tc>
          <w:tcPr>
            <w:tcW w:w="112" w:type="dxa"/>
            <w:tcBorders/>
            <w:shd w:fill="CCEEFF" w:val="clear"/>
            <w:vAlign w:val="center"/>
          </w:tcPr>
          <w:p>
            <w:pPr>
              <w:pStyle w:val="TableContents"/>
              <w:bidi w:val="0"/>
              <w:spacing w:before="0" w:after="283"/>
              <w:ind w:left="0" w:right="0" w:hanging="145"/>
              <w:jc w:val="left"/>
              <w:rPr/>
            </w:pPr>
            <w:r>
              <w:rPr/>
              <w:t>)</w:t>
            </w:r>
          </w:p>
        </w:tc>
      </w:tr>
      <w:tr>
        <w:trPr/>
        <w:tc>
          <w:tcPr>
            <w:tcW w:w="1829" w:type="dxa"/>
            <w:tcBorders/>
            <w:vAlign w:val="center"/>
          </w:tcPr>
          <w:p>
            <w:pPr>
              <w:pStyle w:val="TableContents"/>
              <w:bidi w:val="0"/>
              <w:spacing w:before="0" w:after="283"/>
              <w:jc w:val="left"/>
              <w:rPr>
                <w:b/>
              </w:rPr>
            </w:pPr>
            <w:r>
              <w:rPr>
                <w:b/>
              </w:rPr>
              <w:t>Balance as of June 30, 2023</w:t>
            </w:r>
          </w:p>
        </w:tc>
        <w:tc>
          <w:tcPr>
            <w:tcW w:w="60" w:type="dxa"/>
            <w:tcBorders/>
            <w:vAlign w:val="center"/>
          </w:tcPr>
          <w:p>
            <w:pPr>
              <w:pStyle w:val="TableContents"/>
              <w:bidi w:val="0"/>
              <w:spacing w:before="0" w:after="283"/>
              <w:jc w:val="left"/>
              <w:rPr/>
            </w:pPr>
            <w:r>
              <w:rPr/>
              <w:t> </w:t>
            </w:r>
          </w:p>
        </w:tc>
        <w:tc>
          <w:tcPr>
            <w:tcW w:w="133" w:type="dxa"/>
            <w:tcBorders>
              <w:bottom w:val="double" w:sz="10" w:space="0" w:color="000000"/>
            </w:tcBorders>
            <w:tcMar>
              <w:bottom w:w="28" w:type="dxa"/>
            </w:tcMar>
            <w:vAlign w:val="center"/>
          </w:tcPr>
          <w:p>
            <w:pPr>
              <w:pStyle w:val="TableContents"/>
              <w:bidi w:val="0"/>
              <w:spacing w:before="0" w:after="283"/>
              <w:jc w:val="left"/>
              <w:rPr/>
            </w:pPr>
            <w:r>
              <w:rPr/>
              <w:t> </w:t>
            </w:r>
          </w:p>
        </w:tc>
        <w:tc>
          <w:tcPr>
            <w:tcW w:w="577" w:type="dxa"/>
            <w:tcBorders>
              <w:bottom w:val="double" w:sz="10"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559" w:type="dxa"/>
            <w:tcBorders>
              <w:bottom w:val="double" w:sz="10"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tcMar>
              <w:bottom w:w="28" w:type="dxa"/>
            </w:tcMar>
            <w:vAlign w:val="center"/>
          </w:tcPr>
          <w:p>
            <w:pPr>
              <w:pStyle w:val="TableContents"/>
              <w:bidi w:val="0"/>
              <w:spacing w:before="0" w:after="283"/>
              <w:jc w:val="right"/>
              <w:rPr>
                <w:b/>
              </w:rPr>
            </w:pPr>
            <w:r>
              <w:rPr>
                <w:b/>
              </w:rPr>
              <w:t>8,625,000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629" w:type="dxa"/>
            <w:tcBorders>
              <w:bottom w:val="double" w:sz="10" w:space="0" w:color="000000"/>
            </w:tcBorders>
            <w:tcMar>
              <w:bottom w:w="28" w:type="dxa"/>
            </w:tcMar>
            <w:vAlign w:val="center"/>
          </w:tcPr>
          <w:p>
            <w:pPr>
              <w:pStyle w:val="TableContents"/>
              <w:bidi w:val="0"/>
              <w:spacing w:before="0" w:after="283"/>
              <w:jc w:val="right"/>
              <w:rPr>
                <w:b/>
              </w:rPr>
            </w:pPr>
            <w:r>
              <w:rPr>
                <w:b/>
              </w:rPr>
              <w:t>863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tcMar>
              <w:bottom w:w="28" w:type="dxa"/>
            </w:tcMar>
            <w:vAlign w:val="center"/>
          </w:tcPr>
          <w:p>
            <w:pPr>
              <w:pStyle w:val="TableContents"/>
              <w:bidi w:val="0"/>
              <w:spacing w:before="0" w:after="283"/>
              <w:jc w:val="right"/>
              <w:rPr>
                <w:b/>
              </w:rPr>
            </w:pPr>
            <w:r>
              <w:rPr>
                <w:b/>
              </w:rPr>
              <w:t>244,369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225" w:type="dxa"/>
            <w:tcBorders>
              <w:bottom w:val="double" w:sz="10" w:space="0" w:color="000000"/>
            </w:tcBorders>
            <w:tcMar>
              <w:bottom w:w="28" w:type="dxa"/>
            </w:tcMar>
            <w:vAlign w:val="center"/>
          </w:tcPr>
          <w:p>
            <w:pPr>
              <w:pStyle w:val="TableContents"/>
              <w:bidi w:val="0"/>
              <w:spacing w:before="0" w:after="283"/>
              <w:jc w:val="right"/>
              <w:rPr>
                <w:b/>
              </w:rPr>
            </w:pPr>
            <w:r>
              <w:rPr>
                <w:b/>
              </w:rPr>
              <w:t>(20,033,938</w:t>
            </w:r>
          </w:p>
        </w:tc>
        <w:tc>
          <w:tcPr>
            <w:tcW w:w="95" w:type="dxa"/>
            <w:tcBorders/>
            <w:vAlign w:val="center"/>
          </w:tcPr>
          <w:p>
            <w:pPr>
              <w:pStyle w:val="TableContents"/>
              <w:bidi w:val="0"/>
              <w:spacing w:before="0" w:after="283"/>
              <w:jc w:val="left"/>
              <w:rPr>
                <w:b/>
              </w:rPr>
            </w:pPr>
            <w:r>
              <w:rPr>
                <w:b/>
              </w:rPr>
              <w:t>)</w:t>
            </w:r>
          </w:p>
        </w:tc>
        <w:tc>
          <w:tcPr>
            <w:tcW w:w="60" w:type="dxa"/>
            <w:tcBorders/>
            <w:vAlign w:val="center"/>
          </w:tcPr>
          <w:p>
            <w:pPr>
              <w:pStyle w:val="TableContents"/>
              <w:bidi w:val="0"/>
              <w:spacing w:before="0" w:after="283"/>
              <w:jc w:val="left"/>
              <w:rPr/>
            </w:pPr>
            <w:r>
              <w:rPr/>
              <w:t> </w:t>
            </w:r>
          </w:p>
        </w:tc>
        <w:tc>
          <w:tcPr>
            <w:tcW w:w="145"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234" w:type="dxa"/>
            <w:tcBorders>
              <w:bottom w:val="double" w:sz="10" w:space="0" w:color="000000"/>
            </w:tcBorders>
            <w:tcMar>
              <w:bottom w:w="28" w:type="dxa"/>
            </w:tcMar>
            <w:vAlign w:val="center"/>
          </w:tcPr>
          <w:p>
            <w:pPr>
              <w:pStyle w:val="TableContents"/>
              <w:bidi w:val="0"/>
              <w:spacing w:before="0" w:after="283"/>
              <w:jc w:val="right"/>
              <w:rPr>
                <w:b/>
              </w:rPr>
            </w:pPr>
            <w:r>
              <w:rPr>
                <w:b/>
              </w:rPr>
              <w:t>(19,788,706</w:t>
            </w:r>
          </w:p>
        </w:tc>
        <w:tc>
          <w:tcPr>
            <w:tcW w:w="112" w:type="dxa"/>
            <w:tcBorders/>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COMPLETE SOLARIA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 to Freedom Acquisition I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CHANGE IN SHAREHOLDERS’ DEFICIT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JUNE 30, 2022</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3"/>
        <w:gridCol w:w="60"/>
        <w:gridCol w:w="133"/>
        <w:gridCol w:w="577"/>
        <w:gridCol w:w="60"/>
        <w:gridCol w:w="60"/>
        <w:gridCol w:w="301"/>
        <w:gridCol w:w="559"/>
        <w:gridCol w:w="60"/>
        <w:gridCol w:w="60"/>
        <w:gridCol w:w="60"/>
        <w:gridCol w:w="980"/>
        <w:gridCol w:w="60"/>
        <w:gridCol w:w="60"/>
        <w:gridCol w:w="231"/>
        <w:gridCol w:w="629"/>
        <w:gridCol w:w="60"/>
        <w:gridCol w:w="60"/>
        <w:gridCol w:w="151"/>
        <w:gridCol w:w="949"/>
        <w:gridCol w:w="95"/>
        <w:gridCol w:w="60"/>
        <w:gridCol w:w="145"/>
        <w:gridCol w:w="1225"/>
        <w:gridCol w:w="95"/>
        <w:gridCol w:w="60"/>
        <w:gridCol w:w="140"/>
        <w:gridCol w:w="1180"/>
        <w:gridCol w:w="112"/>
      </w:tblGrid>
      <w:tr>
        <w:trPr/>
        <w:tc>
          <w:tcPr>
            <w:tcW w:w="19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3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0" w:type="dxa"/>
            <w:gridSpan w:val="2"/>
            <w:tcBorders/>
            <w:vAlign w:val="center"/>
          </w:tcPr>
          <w:p>
            <w:pPr>
              <w:pStyle w:val="TableContents"/>
              <w:bidi w:val="0"/>
              <w:spacing w:before="0" w:after="283"/>
              <w:jc w:val="center"/>
              <w:rPr>
                <w:b/>
              </w:rPr>
            </w:pPr>
            <w:r>
              <w:rPr>
                <w:b/>
              </w:rPr>
              <w:t>Total</w:t>
            </w:r>
          </w:p>
        </w:tc>
        <w:tc>
          <w:tcPr>
            <w:tcW w:w="112" w:type="dxa"/>
            <w:tcBorders/>
            <w:vAlign w:val="center"/>
          </w:tcPr>
          <w:p>
            <w:pPr>
              <w:pStyle w:val="TableContents"/>
              <w:bidi w:val="0"/>
              <w:spacing w:before="0" w:after="283"/>
              <w:jc w:val="left"/>
              <w:rPr/>
            </w:pPr>
            <w:r>
              <w:rPr/>
              <w:t> </w:t>
            </w:r>
          </w:p>
        </w:tc>
      </w:tr>
      <w:tr>
        <w:trPr/>
        <w:tc>
          <w:tcPr>
            <w:tcW w:w="19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0" w:type="dxa"/>
            <w:gridSpan w:val="2"/>
            <w:tcBorders/>
            <w:vAlign w:val="center"/>
          </w:tcPr>
          <w:p>
            <w:pPr>
              <w:pStyle w:val="TableContents"/>
              <w:bidi w:val="0"/>
              <w:spacing w:before="0" w:after="283"/>
              <w:jc w:val="center"/>
              <w:rPr>
                <w:b/>
              </w:rPr>
            </w:pPr>
            <w:r>
              <w:rPr>
                <w:b/>
              </w:rPr>
              <w:t>Shareholder’</w:t>
            </w:r>
          </w:p>
        </w:tc>
        <w:tc>
          <w:tcPr>
            <w:tcW w:w="112" w:type="dxa"/>
            <w:tcBorders/>
            <w:vAlign w:val="center"/>
          </w:tcPr>
          <w:p>
            <w:pPr>
              <w:pStyle w:val="TableContents"/>
              <w:bidi w:val="0"/>
              <w:spacing w:before="0" w:after="283"/>
              <w:jc w:val="left"/>
              <w:rPr/>
            </w:pPr>
            <w:r>
              <w:rPr/>
              <w:t> </w:t>
            </w:r>
          </w:p>
        </w:tc>
      </w:tr>
      <w:tr>
        <w:trPr/>
        <w:tc>
          <w:tcPr>
            <w:tcW w:w="19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12" w:type="dxa"/>
            <w:tcBorders/>
            <w:vAlign w:val="center"/>
          </w:tcPr>
          <w:p>
            <w:pPr>
              <w:pStyle w:val="TableContents"/>
              <w:bidi w:val="0"/>
              <w:spacing w:before="0" w:after="283"/>
              <w:ind w:left="0" w:right="0" w:hanging="162"/>
              <w:jc w:val="left"/>
              <w:rPr/>
            </w:pPr>
            <w:r>
              <w:rPr/>
              <w:t> </w:t>
            </w:r>
          </w:p>
        </w:tc>
      </w:tr>
      <w:tr>
        <w:trPr/>
        <w:tc>
          <w:tcPr>
            <w:tcW w:w="1983" w:type="dxa"/>
            <w:tcBorders/>
            <w:shd w:fill="CCEEFF" w:val="clear"/>
            <w:vAlign w:val="center"/>
          </w:tcPr>
          <w:p>
            <w:pPr>
              <w:pStyle w:val="TableContents"/>
              <w:bidi w:val="0"/>
              <w:spacing w:before="0" w:after="283"/>
              <w:jc w:val="left"/>
              <w:rPr>
                <w:b/>
              </w:rPr>
            </w:pPr>
            <w:r>
              <w:rPr>
                <w:b/>
              </w:rPr>
              <w:t>Balance as of December 31, 2021</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8,625,000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rPr>
            </w:pPr>
            <w:r>
              <w:rPr>
                <w:b/>
              </w:rPr>
              <w:t>$</w:t>
            </w:r>
          </w:p>
        </w:tc>
        <w:tc>
          <w:tcPr>
            <w:tcW w:w="629" w:type="dxa"/>
            <w:tcBorders/>
            <w:shd w:fill="CCEEFF" w:val="clear"/>
            <w:vAlign w:val="center"/>
          </w:tcPr>
          <w:p>
            <w:pPr>
              <w:pStyle w:val="TableContents"/>
              <w:bidi w:val="0"/>
              <w:spacing w:before="0" w:after="283"/>
              <w:jc w:val="right"/>
              <w:rPr>
                <w:b/>
              </w:rPr>
            </w:pPr>
            <w:r>
              <w:rPr>
                <w:b/>
              </w:rPr>
              <w:t>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949"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rPr>
            </w:pPr>
            <w:r>
              <w:rPr>
                <w:b/>
              </w:rPr>
              <w:t>$</w:t>
            </w:r>
          </w:p>
        </w:tc>
        <w:tc>
          <w:tcPr>
            <w:tcW w:w="1225" w:type="dxa"/>
            <w:tcBorders/>
            <w:shd w:fill="CCEEFF" w:val="clear"/>
            <w:vAlign w:val="center"/>
          </w:tcPr>
          <w:p>
            <w:pPr>
              <w:pStyle w:val="TableContents"/>
              <w:bidi w:val="0"/>
              <w:spacing w:before="0" w:after="283"/>
              <w:jc w:val="right"/>
              <w:rPr>
                <w:b/>
              </w:rPr>
            </w:pPr>
            <w:r>
              <w:rPr>
                <w:b/>
              </w:rPr>
              <w:t>(21,923,351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80" w:type="dxa"/>
            <w:tcBorders/>
            <w:shd w:fill="CCEEFF" w:val="clear"/>
            <w:vAlign w:val="center"/>
          </w:tcPr>
          <w:p>
            <w:pPr>
              <w:pStyle w:val="TableContents"/>
              <w:bidi w:val="0"/>
              <w:spacing w:before="0" w:after="283"/>
              <w:jc w:val="right"/>
              <w:rPr>
                <w:b/>
              </w:rPr>
            </w:pPr>
            <w:r>
              <w:rPr>
                <w:b/>
              </w:rPr>
              <w:t>(21,922,488</w:t>
            </w:r>
          </w:p>
        </w:tc>
        <w:tc>
          <w:tcPr>
            <w:tcW w:w="112" w:type="dxa"/>
            <w:tcBorders/>
            <w:shd w:fill="CCEEFF" w:val="clear"/>
            <w:vAlign w:val="center"/>
          </w:tcPr>
          <w:p>
            <w:pPr>
              <w:pStyle w:val="TableContents"/>
              <w:bidi w:val="0"/>
              <w:spacing w:before="0" w:after="283"/>
              <w:ind w:left="0" w:right="0" w:hanging="162"/>
              <w:jc w:val="left"/>
              <w:rPr>
                <w:b/>
              </w:rPr>
            </w:pPr>
            <w:r>
              <w:rPr>
                <w:b/>
              </w:rPr>
              <w:t>)</w:t>
            </w:r>
          </w:p>
        </w:tc>
      </w:tr>
      <w:tr>
        <w:trPr/>
        <w:tc>
          <w:tcPr>
            <w:tcW w:w="1983" w:type="dxa"/>
            <w:tcBorders/>
            <w:vAlign w:val="center"/>
          </w:tcPr>
          <w:p>
            <w:pPr>
              <w:pStyle w:val="TableContents"/>
              <w:bidi w:val="0"/>
              <w:spacing w:before="0" w:after="283"/>
              <w:jc w:val="left"/>
              <w:rPr/>
            </w:pPr>
            <w:r>
              <w:rPr/>
              <w:t>Net income</w:t>
            </w:r>
          </w:p>
        </w:tc>
        <w:tc>
          <w:tcPr>
            <w:tcW w:w="60" w:type="dxa"/>
            <w:tcBorders/>
            <w:vAlign w:val="center"/>
          </w:tcPr>
          <w:p>
            <w:pPr>
              <w:pStyle w:val="TableContents"/>
              <w:bidi w:val="0"/>
              <w:spacing w:before="0" w:after="283"/>
              <w:jc w:val="left"/>
              <w:rPr/>
            </w:pPr>
            <w:r>
              <w:rPr/>
              <w:t> </w:t>
            </w:r>
          </w:p>
        </w:tc>
        <w:tc>
          <w:tcPr>
            <w:tcW w:w="133" w:type="dxa"/>
            <w:tcBorders>
              <w:bottom w:val="single" w:sz="12" w:space="0" w:color="000000"/>
            </w:tcBorders>
            <w:tcMar>
              <w:bottom w:w="28" w:type="dxa"/>
            </w:tcMar>
            <w:vAlign w:val="center"/>
          </w:tcPr>
          <w:p>
            <w:pPr>
              <w:pStyle w:val="TableContents"/>
              <w:bidi w:val="0"/>
              <w:spacing w:before="0" w:after="283"/>
              <w:jc w:val="left"/>
              <w:rPr/>
            </w:pPr>
            <w:r>
              <w:rPr/>
              <w:t> </w:t>
            </w:r>
          </w:p>
        </w:tc>
        <w:tc>
          <w:tcPr>
            <w:tcW w:w="577"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bottom w:val="single" w:sz="12" w:space="0" w:color="000000"/>
            </w:tcBorders>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bottom w:val="single" w:sz="12" w:space="0" w:color="000000"/>
            </w:tcBorders>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bottom w:val="single" w:sz="12" w:space="0" w:color="000000"/>
            </w:tcBorders>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tcMar>
              <w:bottom w:w="28" w:type="dxa"/>
            </w:tcMar>
            <w:vAlign w:val="center"/>
          </w:tcPr>
          <w:p>
            <w:pPr>
              <w:pStyle w:val="TableContents"/>
              <w:bidi w:val="0"/>
              <w:spacing w:before="0" w:after="283"/>
              <w:jc w:val="right"/>
              <w:rPr/>
            </w:pPr>
            <w:r>
              <w:rPr/>
              <w:t>1,295,281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tcMar>
              <w:bottom w:w="28" w:type="dxa"/>
            </w:tcMar>
            <w:vAlign w:val="center"/>
          </w:tcPr>
          <w:p>
            <w:pPr>
              <w:pStyle w:val="TableContents"/>
              <w:bidi w:val="0"/>
              <w:spacing w:before="0" w:after="283"/>
              <w:jc w:val="right"/>
              <w:rPr/>
            </w:pPr>
            <w:r>
              <w:rPr/>
              <w:t>1,295,281</w:t>
            </w:r>
          </w:p>
        </w:tc>
        <w:tc>
          <w:tcPr>
            <w:tcW w:w="112" w:type="dxa"/>
            <w:tcBorders/>
            <w:vAlign w:val="center"/>
          </w:tcPr>
          <w:p>
            <w:pPr>
              <w:pStyle w:val="TableContents"/>
              <w:bidi w:val="0"/>
              <w:spacing w:before="0" w:after="283"/>
              <w:ind w:left="0" w:right="0" w:hanging="162"/>
              <w:jc w:val="left"/>
              <w:rPr/>
            </w:pPr>
            <w:r>
              <w:rPr/>
              <w:t> </w:t>
            </w:r>
          </w:p>
        </w:tc>
      </w:tr>
      <w:tr>
        <w:trPr/>
        <w:tc>
          <w:tcPr>
            <w:tcW w:w="1983" w:type="dxa"/>
            <w:tcBorders/>
            <w:shd w:fill="CCEEFF" w:val="clear"/>
            <w:vAlign w:val="center"/>
          </w:tcPr>
          <w:p>
            <w:pPr>
              <w:pStyle w:val="TableContents"/>
              <w:bidi w:val="0"/>
              <w:spacing w:before="0" w:after="283"/>
              <w:jc w:val="left"/>
              <w:rPr>
                <w:b/>
              </w:rPr>
            </w:pPr>
            <w:r>
              <w:rPr>
                <w:b/>
              </w:rPr>
              <w:t>Balance as of March 31, 2022</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8,625,000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b/>
              </w:rPr>
            </w:pPr>
            <w:r>
              <w:rPr>
                <w:b/>
              </w:rPr>
              <w:t>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949"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b/>
              </w:rPr>
            </w:pPr>
            <w:r>
              <w:rPr>
                <w:b/>
              </w:rPr>
              <w:t>(20,628,070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b/>
              </w:rPr>
            </w:pPr>
            <w:r>
              <w:rPr>
                <w:b/>
              </w:rPr>
              <w:t>(20,627,207</w:t>
            </w:r>
          </w:p>
        </w:tc>
        <w:tc>
          <w:tcPr>
            <w:tcW w:w="112" w:type="dxa"/>
            <w:tcBorders/>
            <w:shd w:fill="CCEEFF" w:val="clear"/>
            <w:vAlign w:val="center"/>
          </w:tcPr>
          <w:p>
            <w:pPr>
              <w:pStyle w:val="TableContents"/>
              <w:bidi w:val="0"/>
              <w:spacing w:before="0" w:after="283"/>
              <w:ind w:left="0" w:right="0" w:hanging="162"/>
              <w:jc w:val="left"/>
              <w:rPr>
                <w:b/>
              </w:rPr>
            </w:pPr>
            <w:r>
              <w:rPr>
                <w:b/>
              </w:rPr>
              <w:t>)</w:t>
            </w:r>
          </w:p>
        </w:tc>
      </w:tr>
      <w:tr>
        <w:trPr/>
        <w:tc>
          <w:tcPr>
            <w:tcW w:w="1983" w:type="dxa"/>
            <w:tcBorders/>
            <w:vAlign w:val="center"/>
          </w:tcPr>
          <w:p>
            <w:pPr>
              <w:pStyle w:val="TableContents"/>
              <w:bidi w:val="0"/>
              <w:spacing w:before="0" w:after="283"/>
              <w:jc w:val="left"/>
              <w:rPr/>
            </w:pPr>
            <w:r>
              <w:rPr/>
              <w:t>Accretion of Class A ordinary shares subject to possible redemption</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right"/>
              <w:rPr/>
            </w:pPr>
            <w:r>
              <w:rPr/>
              <w:t>(180,219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(180,219</w:t>
            </w:r>
          </w:p>
        </w:tc>
        <w:tc>
          <w:tcPr>
            <w:tcW w:w="112" w:type="dxa"/>
            <w:tcBorders/>
            <w:vAlign w:val="center"/>
          </w:tcPr>
          <w:p>
            <w:pPr>
              <w:pStyle w:val="TableContents"/>
              <w:bidi w:val="0"/>
              <w:spacing w:before="0" w:after="283"/>
              <w:ind w:left="0" w:right="0" w:hanging="162"/>
              <w:jc w:val="left"/>
              <w:rPr/>
            </w:pPr>
            <w:r>
              <w:rPr/>
              <w:t>)</w:t>
            </w:r>
          </w:p>
        </w:tc>
      </w:tr>
      <w:tr>
        <w:trPr/>
        <w:tc>
          <w:tcPr>
            <w:tcW w:w="1983" w:type="dxa"/>
            <w:tcBorders/>
            <w:shd w:fill="CCEEFF" w:val="clear"/>
            <w:vAlign w:val="center"/>
          </w:tcPr>
          <w:p>
            <w:pPr>
              <w:pStyle w:val="TableContents"/>
              <w:bidi w:val="0"/>
              <w:spacing w:before="0" w:after="283"/>
              <w:jc w:val="left"/>
              <w:rPr/>
            </w:pPr>
            <w:r>
              <w:rPr/>
              <w:t>Proceeds received on convertible note less than fair value</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520,300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520,300</w:t>
            </w:r>
          </w:p>
        </w:tc>
        <w:tc>
          <w:tcPr>
            <w:tcW w:w="112" w:type="dxa"/>
            <w:tcBorders/>
            <w:shd w:fill="CCEEFF" w:val="clear"/>
            <w:vAlign w:val="center"/>
          </w:tcPr>
          <w:p>
            <w:pPr>
              <w:pStyle w:val="TableContents"/>
              <w:bidi w:val="0"/>
              <w:spacing w:before="0" w:after="283"/>
              <w:ind w:left="0" w:right="0" w:hanging="162"/>
              <w:jc w:val="left"/>
              <w:rPr/>
            </w:pPr>
            <w:r>
              <w:rPr/>
              <w:t> </w:t>
            </w:r>
          </w:p>
        </w:tc>
      </w:tr>
      <w:tr>
        <w:trPr/>
        <w:tc>
          <w:tcPr>
            <w:tcW w:w="1983" w:type="dxa"/>
            <w:tcBorders/>
            <w:vAlign w:val="center"/>
          </w:tcPr>
          <w:p>
            <w:pPr>
              <w:pStyle w:val="TableContents"/>
              <w:bidi w:val="0"/>
              <w:spacing w:before="0" w:after="283"/>
              <w:jc w:val="left"/>
              <w:rPr/>
            </w:pPr>
            <w:r>
              <w:rPr/>
              <w:t>Accretion portion net against additional paid-in capital</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(520,300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(520,300</w:t>
            </w:r>
          </w:p>
        </w:tc>
        <w:tc>
          <w:tcPr>
            <w:tcW w:w="112" w:type="dxa"/>
            <w:tcBorders/>
            <w:vAlign w:val="center"/>
          </w:tcPr>
          <w:p>
            <w:pPr>
              <w:pStyle w:val="TableContents"/>
              <w:bidi w:val="0"/>
              <w:spacing w:before="0" w:after="283"/>
              <w:ind w:left="0" w:right="0" w:hanging="162"/>
              <w:jc w:val="left"/>
              <w:rPr/>
            </w:pPr>
            <w:r>
              <w:rPr/>
              <w:t>)</w:t>
            </w:r>
          </w:p>
        </w:tc>
      </w:tr>
      <w:tr>
        <w:trPr/>
        <w:tc>
          <w:tcPr>
            <w:tcW w:w="1983"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2,025,986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2,025,986</w:t>
            </w:r>
          </w:p>
        </w:tc>
        <w:tc>
          <w:tcPr>
            <w:tcW w:w="112" w:type="dxa"/>
            <w:tcBorders/>
            <w:shd w:fill="CCEEFF" w:val="clear"/>
            <w:vAlign w:val="center"/>
          </w:tcPr>
          <w:p>
            <w:pPr>
              <w:pStyle w:val="TableContents"/>
              <w:bidi w:val="0"/>
              <w:spacing w:before="0" w:after="283"/>
              <w:ind w:left="0" w:right="0" w:hanging="162"/>
              <w:jc w:val="left"/>
              <w:rPr/>
            </w:pPr>
            <w:r>
              <w:rPr/>
              <w:t> </w:t>
            </w:r>
          </w:p>
        </w:tc>
      </w:tr>
      <w:tr>
        <w:trPr/>
        <w:tc>
          <w:tcPr>
            <w:tcW w:w="1983" w:type="dxa"/>
            <w:tcBorders/>
            <w:vAlign w:val="center"/>
          </w:tcPr>
          <w:p>
            <w:pPr>
              <w:pStyle w:val="TableContents"/>
              <w:bidi w:val="0"/>
              <w:spacing w:before="0" w:after="283"/>
              <w:jc w:val="left"/>
              <w:rPr>
                <w:b/>
              </w:rPr>
            </w:pPr>
            <w:r>
              <w:rPr>
                <w:b/>
              </w:rPr>
              <w:t>Balance as of June 30, 2022</w:t>
            </w:r>
          </w:p>
        </w:tc>
        <w:tc>
          <w:tcPr>
            <w:tcW w:w="60" w:type="dxa"/>
            <w:tcBorders/>
            <w:vAlign w:val="center"/>
          </w:tcPr>
          <w:p>
            <w:pPr>
              <w:pStyle w:val="TableContents"/>
              <w:bidi w:val="0"/>
              <w:spacing w:before="0" w:after="283"/>
              <w:jc w:val="left"/>
              <w:rPr/>
            </w:pPr>
            <w:r>
              <w:rPr/>
              <w:t> </w:t>
            </w:r>
          </w:p>
        </w:tc>
        <w:tc>
          <w:tcPr>
            <w:tcW w:w="133" w:type="dxa"/>
            <w:tcBorders>
              <w:bottom w:val="double" w:sz="10" w:space="0" w:color="000000"/>
            </w:tcBorders>
            <w:tcMar>
              <w:bottom w:w="28" w:type="dxa"/>
            </w:tcMar>
            <w:vAlign w:val="center"/>
          </w:tcPr>
          <w:p>
            <w:pPr>
              <w:pStyle w:val="TableContents"/>
              <w:bidi w:val="0"/>
              <w:spacing w:before="0" w:after="283"/>
              <w:jc w:val="left"/>
              <w:rPr/>
            </w:pPr>
            <w:r>
              <w:rPr/>
              <w:t> </w:t>
            </w:r>
          </w:p>
        </w:tc>
        <w:tc>
          <w:tcPr>
            <w:tcW w:w="577" w:type="dxa"/>
            <w:tcBorders>
              <w:bottom w:val="double" w:sz="10"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bottom w:val="double" w:sz="10" w:space="0" w:color="000000"/>
            </w:tcBorders>
            <w:tcMar>
              <w:bottom w:w="28" w:type="dxa"/>
            </w:tcMar>
            <w:vAlign w:val="center"/>
          </w:tcPr>
          <w:p>
            <w:pPr>
              <w:pStyle w:val="TableContents"/>
              <w:bidi w:val="0"/>
              <w:spacing w:before="0" w:after="283"/>
              <w:jc w:val="left"/>
              <w:rPr/>
            </w:pPr>
            <w:r>
              <w:rPr/>
              <w:t>$</w:t>
            </w:r>
          </w:p>
        </w:tc>
        <w:tc>
          <w:tcPr>
            <w:tcW w:w="559" w:type="dxa"/>
            <w:tcBorders>
              <w:bottom w:val="double" w:sz="10"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tcMar>
              <w:bottom w:w="28" w:type="dxa"/>
            </w:tcMar>
            <w:vAlign w:val="center"/>
          </w:tcPr>
          <w:p>
            <w:pPr>
              <w:pStyle w:val="TableContents"/>
              <w:bidi w:val="0"/>
              <w:spacing w:before="0" w:after="283"/>
              <w:jc w:val="right"/>
              <w:rPr>
                <w:b/>
              </w:rPr>
            </w:pPr>
            <w:r>
              <w:rPr>
                <w:b/>
              </w:rPr>
              <w:t>8,625,000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629" w:type="dxa"/>
            <w:tcBorders>
              <w:bottom w:val="double" w:sz="10" w:space="0" w:color="000000"/>
            </w:tcBorders>
            <w:tcMar>
              <w:bottom w:w="28" w:type="dxa"/>
            </w:tcMar>
            <w:vAlign w:val="center"/>
          </w:tcPr>
          <w:p>
            <w:pPr>
              <w:pStyle w:val="TableContents"/>
              <w:bidi w:val="0"/>
              <w:spacing w:before="0" w:after="283"/>
              <w:jc w:val="right"/>
              <w:rPr>
                <w:b/>
              </w:rPr>
            </w:pPr>
            <w:r>
              <w:rPr>
                <w:b/>
              </w:rPr>
              <w:t>863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bottom w:val="double" w:sz="10" w:space="0" w:color="000000"/>
            </w:tcBorders>
            <w:tcMar>
              <w:bottom w:w="28" w:type="dxa"/>
            </w:tcMar>
            <w:vAlign w:val="center"/>
          </w:tcPr>
          <w:p>
            <w:pPr>
              <w:pStyle w:val="TableContents"/>
              <w:bidi w:val="0"/>
              <w:spacing w:before="0" w:after="283"/>
              <w:jc w:val="left"/>
              <w:rPr/>
            </w:pPr>
            <w:r>
              <w:rPr/>
              <w:t>$</w:t>
            </w:r>
          </w:p>
        </w:tc>
        <w:tc>
          <w:tcPr>
            <w:tcW w:w="949" w:type="dxa"/>
            <w:tcBorders>
              <w:bottom w:val="double" w:sz="10"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225" w:type="dxa"/>
            <w:tcBorders>
              <w:bottom w:val="double" w:sz="10" w:space="0" w:color="000000"/>
            </w:tcBorders>
            <w:tcMar>
              <w:bottom w:w="28" w:type="dxa"/>
            </w:tcMar>
            <w:vAlign w:val="center"/>
          </w:tcPr>
          <w:p>
            <w:pPr>
              <w:pStyle w:val="TableContents"/>
              <w:bidi w:val="0"/>
              <w:spacing w:before="0" w:after="283"/>
              <w:jc w:val="right"/>
              <w:rPr>
                <w:b/>
              </w:rPr>
            </w:pPr>
            <w:r>
              <w:rPr>
                <w:b/>
              </w:rPr>
              <w:t>(18,782,303</w:t>
            </w:r>
          </w:p>
        </w:tc>
        <w:tc>
          <w:tcPr>
            <w:tcW w:w="95" w:type="dxa"/>
            <w:tcBorders/>
            <w:vAlign w:val="center"/>
          </w:tcPr>
          <w:p>
            <w:pPr>
              <w:pStyle w:val="TableContents"/>
              <w:bidi w:val="0"/>
              <w:spacing w:before="0" w:after="283"/>
              <w:jc w:val="left"/>
              <w:rPr>
                <w:b/>
              </w:rPr>
            </w:pPr>
            <w:r>
              <w:rPr>
                <w:b/>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180" w:type="dxa"/>
            <w:tcBorders>
              <w:bottom w:val="double" w:sz="10" w:space="0" w:color="000000"/>
            </w:tcBorders>
            <w:tcMar>
              <w:bottom w:w="28" w:type="dxa"/>
            </w:tcMar>
            <w:vAlign w:val="center"/>
          </w:tcPr>
          <w:p>
            <w:pPr>
              <w:pStyle w:val="TableContents"/>
              <w:bidi w:val="0"/>
              <w:spacing w:before="0" w:after="283"/>
              <w:jc w:val="right"/>
              <w:rPr>
                <w:b/>
              </w:rPr>
            </w:pPr>
            <w:r>
              <w:rPr>
                <w:b/>
              </w:rPr>
              <w:t>(18,781,440</w:t>
            </w:r>
          </w:p>
        </w:tc>
        <w:tc>
          <w:tcPr>
            <w:tcW w:w="112" w:type="dxa"/>
            <w:tcBorders/>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COMPLETE SOLARIA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 to Freedom Acquisition I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40"/>
        <w:gridCol w:w="60"/>
        <w:gridCol w:w="140"/>
        <w:gridCol w:w="1295"/>
        <w:gridCol w:w="95"/>
        <w:gridCol w:w="60"/>
        <w:gridCol w:w="140"/>
        <w:gridCol w:w="1055"/>
        <w:gridCol w:w="220"/>
      </w:tblGrid>
      <w:tr>
        <w:trPr/>
        <w:tc>
          <w:tcPr>
            <w:tcW w:w="7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220" w:type="dxa"/>
            <w:tcBorders/>
            <w:vAlign w:val="center"/>
          </w:tcPr>
          <w:p>
            <w:pPr>
              <w:pStyle w:val="TableContents"/>
              <w:bidi w:val="0"/>
              <w:spacing w:before="0" w:after="283"/>
              <w:jc w:val="left"/>
              <w:rPr/>
            </w:pPr>
            <w:r>
              <w:rPr/>
              <w:t> </w:t>
            </w:r>
          </w:p>
        </w:tc>
      </w:tr>
      <w:tr>
        <w:trPr/>
        <w:tc>
          <w:tcPr>
            <w:tcW w:w="7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20" w:type="dxa"/>
            <w:tcBorders/>
            <w:vAlign w:val="center"/>
          </w:tcPr>
          <w:p>
            <w:pPr>
              <w:pStyle w:val="TableContents"/>
              <w:bidi w:val="0"/>
              <w:spacing w:before="0" w:after="283"/>
              <w:jc w:val="left"/>
              <w:rPr/>
            </w:pPr>
            <w:r>
              <w:rPr/>
              <w:t> </w:t>
            </w:r>
          </w:p>
        </w:tc>
      </w:tr>
      <w:tr>
        <w:trPr/>
        <w:tc>
          <w:tcPr>
            <w:tcW w:w="714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220" w:type="dxa"/>
            <w:tcBorders/>
            <w:vAlign w:val="center"/>
          </w:tcPr>
          <w:p>
            <w:pPr>
              <w:pStyle w:val="TableContents"/>
              <w:bidi w:val="0"/>
              <w:spacing w:before="0" w:after="283"/>
              <w:ind w:left="0" w:right="0" w:hanging="145"/>
              <w:jc w:val="left"/>
              <w:rPr/>
            </w:pPr>
            <w:r>
              <w:rPr/>
              <w:t> </w:t>
            </w:r>
          </w:p>
        </w:tc>
      </w:tr>
      <w:tr>
        <w:trPr/>
        <w:tc>
          <w:tcPr>
            <w:tcW w:w="7140" w:type="dxa"/>
            <w:tcBorders/>
            <w:shd w:fill="CCEEFF" w:val="clear"/>
            <w:vAlign w:val="center"/>
          </w:tcPr>
          <w:p>
            <w:pPr>
              <w:pStyle w:val="TableContents"/>
              <w:bidi w:val="0"/>
              <w:spacing w:before="0" w:after="283"/>
              <w:jc w:val="left"/>
              <w:rPr/>
            </w:pPr>
            <w:r>
              <w:rPr/>
              <w:t>Net (loss)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(2,485,339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3,321,266</w:t>
            </w:r>
          </w:p>
        </w:tc>
        <w:tc>
          <w:tcPr>
            <w:tcW w:w="220" w:type="dxa"/>
            <w:tcBorders/>
            <w:shd w:fill="CCEEFF" w:val="clear"/>
            <w:vAlign w:val="center"/>
          </w:tcPr>
          <w:p>
            <w:pPr>
              <w:pStyle w:val="TableContents"/>
              <w:bidi w:val="0"/>
              <w:spacing w:before="0" w:after="283"/>
              <w:ind w:left="0" w:right="0" w:hanging="145"/>
              <w:jc w:val="left"/>
              <w:rPr/>
            </w:pPr>
            <w:r>
              <w:rPr/>
              <w:t> </w:t>
            </w:r>
          </w:p>
        </w:tc>
      </w:tr>
      <w:tr>
        <w:trPr/>
        <w:tc>
          <w:tcPr>
            <w:tcW w:w="7140" w:type="dxa"/>
            <w:tcBorders/>
            <w:vAlign w:val="center"/>
          </w:tcPr>
          <w:p>
            <w:pPr>
              <w:pStyle w:val="TableContents"/>
              <w:bidi w:val="0"/>
              <w:spacing w:before="0" w:after="283"/>
              <w:jc w:val="left"/>
              <w:rPr/>
            </w:pPr>
            <w:r>
              <w:rPr/>
              <w:t>Adjustments to reconcile net (loss) income to net cash used in operating activities: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220" w:type="dxa"/>
            <w:tcBorders/>
            <w:vAlign w:val="center"/>
          </w:tcPr>
          <w:p>
            <w:pPr>
              <w:pStyle w:val="TableContents"/>
              <w:bidi w:val="0"/>
              <w:spacing w:before="0" w:after="283"/>
              <w:ind w:left="0" w:right="0" w:hanging="146"/>
              <w:jc w:val="left"/>
              <w:rPr/>
            </w:pPr>
            <w:r>
              <w:rPr/>
              <w:t> </w:t>
            </w:r>
          </w:p>
        </w:tc>
      </w:tr>
      <w:tr>
        <w:trPr/>
        <w:tc>
          <w:tcPr>
            <w:tcW w:w="7140" w:type="dxa"/>
            <w:tcBorders/>
            <w:shd w:fill="CCEEFF" w:val="clear"/>
            <w:vAlign w:val="center"/>
          </w:tcPr>
          <w:p>
            <w:pPr>
              <w:pStyle w:val="TableContents"/>
              <w:bidi w:val="0"/>
              <w:spacing w:before="0" w:after="283"/>
              <w:jc w:val="left"/>
              <w:rPr/>
            </w:pPr>
            <w:r>
              <w:rPr/>
              <w:t>Interest earned on marketable securities held in Trust Account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(4,225,267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(594,838</w:t>
            </w:r>
          </w:p>
        </w:tc>
        <w:tc>
          <w:tcPr>
            <w:tcW w:w="220" w:type="dxa"/>
            <w:tcBorders/>
            <w:shd w:fill="CCEEFF" w:val="clear"/>
            <w:vAlign w:val="center"/>
          </w:tcPr>
          <w:p>
            <w:pPr>
              <w:pStyle w:val="TableContents"/>
              <w:bidi w:val="0"/>
              <w:spacing w:before="0" w:after="283"/>
              <w:ind w:left="0" w:right="0" w:hanging="146"/>
              <w:jc w:val="left"/>
              <w:rPr/>
            </w:pPr>
            <w:r>
              <w:rPr/>
              <w:t>)</w:t>
            </w:r>
          </w:p>
        </w:tc>
      </w:tr>
      <w:tr>
        <w:trPr/>
        <w:tc>
          <w:tcPr>
            <w:tcW w:w="7140" w:type="dxa"/>
            <w:tcBorders/>
            <w:vAlign w:val="center"/>
          </w:tcPr>
          <w:p>
            <w:pPr>
              <w:pStyle w:val="TableContents"/>
              <w:bidi w:val="0"/>
              <w:spacing w:before="0" w:after="283"/>
              <w:jc w:val="left"/>
              <w:rPr/>
            </w:pPr>
            <w:r>
              <w:rPr/>
              <w:t>Change in fair value of warrant liabilities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3,306,627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(4,765,334</w:t>
            </w:r>
          </w:p>
        </w:tc>
        <w:tc>
          <w:tcPr>
            <w:tcW w:w="220" w:type="dxa"/>
            <w:tcBorders/>
            <w:vAlign w:val="center"/>
          </w:tcPr>
          <w:p>
            <w:pPr>
              <w:pStyle w:val="TableContents"/>
              <w:bidi w:val="0"/>
              <w:spacing w:before="0" w:after="283"/>
              <w:ind w:left="0" w:right="0" w:hanging="146"/>
              <w:jc w:val="left"/>
              <w:rPr/>
            </w:pPr>
            <w:r>
              <w:rPr/>
              <w:t>)</w:t>
            </w:r>
          </w:p>
        </w:tc>
      </w:tr>
      <w:tr>
        <w:trPr/>
        <w:tc>
          <w:tcPr>
            <w:tcW w:w="7140" w:type="dxa"/>
            <w:tcBorders/>
            <w:shd w:fill="CCEEFF" w:val="clear"/>
            <w:vAlign w:val="center"/>
          </w:tcPr>
          <w:p>
            <w:pPr>
              <w:pStyle w:val="TableContents"/>
              <w:bidi w:val="0"/>
              <w:spacing w:before="0" w:after="283"/>
              <w:jc w:val="left"/>
              <w:rPr/>
            </w:pPr>
            <w:r>
              <w:rPr/>
              <w:t>Change in fair value of convertible note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272,597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(4,200</w:t>
            </w:r>
          </w:p>
        </w:tc>
        <w:tc>
          <w:tcPr>
            <w:tcW w:w="220" w:type="dxa"/>
            <w:tcBorders/>
            <w:shd w:fill="CCEEFF" w:val="clear"/>
            <w:vAlign w:val="center"/>
          </w:tcPr>
          <w:p>
            <w:pPr>
              <w:pStyle w:val="TableContents"/>
              <w:bidi w:val="0"/>
              <w:spacing w:before="0" w:after="283"/>
              <w:ind w:left="0" w:right="0" w:hanging="146"/>
              <w:jc w:val="left"/>
              <w:rPr/>
            </w:pPr>
            <w:r>
              <w:rPr/>
              <w:t>)</w:t>
            </w:r>
          </w:p>
        </w:tc>
      </w:tr>
      <w:tr>
        <w:trPr/>
        <w:tc>
          <w:tcPr>
            <w:tcW w:w="7140" w:type="dxa"/>
            <w:tcBorders/>
            <w:vAlign w:val="center"/>
          </w:tcPr>
          <w:p>
            <w:pPr>
              <w:pStyle w:val="TableContents"/>
              <w:bidi w:val="0"/>
              <w:spacing w:before="0" w:after="283"/>
              <w:jc w:val="left"/>
              <w:rPr/>
            </w:pPr>
            <w:r>
              <w:rPr/>
              <w:t>Changes in current assets and current liabilities: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220" w:type="dxa"/>
            <w:tcBorders/>
            <w:vAlign w:val="center"/>
          </w:tcPr>
          <w:p>
            <w:pPr>
              <w:pStyle w:val="TableContents"/>
              <w:bidi w:val="0"/>
              <w:spacing w:before="0" w:after="283"/>
              <w:jc w:val="left"/>
              <w:rPr/>
            </w:pPr>
            <w:r>
              <w:rPr/>
              <w:t> </w:t>
            </w:r>
          </w:p>
        </w:tc>
      </w:tr>
      <w:tr>
        <w:trPr/>
        <w:tc>
          <w:tcPr>
            <w:tcW w:w="7140"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120,677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306,929</w:t>
            </w:r>
          </w:p>
        </w:tc>
        <w:tc>
          <w:tcPr>
            <w:tcW w:w="220" w:type="dxa"/>
            <w:tcBorders/>
            <w:shd w:fill="CCEEFF" w:val="clear"/>
            <w:vAlign w:val="center"/>
          </w:tcPr>
          <w:p>
            <w:pPr>
              <w:pStyle w:val="TableContents"/>
              <w:bidi w:val="0"/>
              <w:spacing w:before="0" w:after="283"/>
              <w:ind w:left="0" w:right="0" w:hanging="0"/>
              <w:jc w:val="left"/>
              <w:rPr/>
            </w:pPr>
            <w:r>
              <w:rPr/>
              <w:t> </w:t>
            </w:r>
          </w:p>
        </w:tc>
      </w:tr>
      <w:tr>
        <w:trPr/>
        <w:tc>
          <w:tcPr>
            <w:tcW w:w="7140" w:type="dxa"/>
            <w:tcBorders/>
            <w:vAlign w:val="center"/>
          </w:tcPr>
          <w:p>
            <w:pPr>
              <w:pStyle w:val="TableContents"/>
              <w:bidi w:val="0"/>
              <w:spacing w:before="0" w:after="283"/>
              <w:jc w:val="left"/>
              <w:rPr/>
            </w:pPr>
            <w:r>
              <w:rPr/>
              <w:t>Accounts payable and accrued expenses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right"/>
              <w:rPr/>
            </w:pPr>
            <w:r>
              <w:rPr/>
              <w:t>2,141,033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884,539</w:t>
            </w:r>
          </w:p>
        </w:tc>
        <w:tc>
          <w:tcPr>
            <w:tcW w:w="220" w:type="dxa"/>
            <w:tcBorders/>
            <w:vAlign w:val="center"/>
          </w:tcPr>
          <w:p>
            <w:pPr>
              <w:pStyle w:val="TableContents"/>
              <w:bidi w:val="0"/>
              <w:spacing w:before="0" w:after="283"/>
              <w:ind w:left="0" w:right="0" w:hanging="146"/>
              <w:jc w:val="left"/>
              <w:rPr/>
            </w:pPr>
            <w:r>
              <w:rPr/>
              <w:t> </w:t>
            </w:r>
          </w:p>
        </w:tc>
      </w:tr>
      <w:tr>
        <w:trPr/>
        <w:tc>
          <w:tcPr>
            <w:tcW w:w="7140"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(869,672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(851,638</w:t>
            </w:r>
          </w:p>
        </w:tc>
        <w:tc>
          <w:tcPr>
            <w:tcW w:w="220" w:type="dxa"/>
            <w:tcBorders/>
            <w:shd w:fill="CCEEFF" w:val="clear"/>
            <w:vAlign w:val="center"/>
          </w:tcPr>
          <w:p>
            <w:pPr>
              <w:pStyle w:val="TableContents"/>
              <w:bidi w:val="0"/>
              <w:spacing w:before="0" w:after="283"/>
              <w:ind w:left="0" w:right="0" w:hanging="146"/>
              <w:jc w:val="left"/>
              <w:rPr>
                <w:b/>
              </w:rPr>
            </w:pPr>
            <w:r>
              <w:rPr>
                <w:b/>
              </w:rPr>
              <w:t>)</w:t>
            </w:r>
          </w:p>
        </w:tc>
      </w:tr>
      <w:tr>
        <w:trPr/>
        <w:tc>
          <w:tcPr>
            <w:tcW w:w="7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220" w:type="dxa"/>
            <w:tcBorders/>
            <w:vAlign w:val="center"/>
          </w:tcPr>
          <w:p>
            <w:pPr>
              <w:pStyle w:val="TableContents"/>
              <w:bidi w:val="0"/>
              <w:spacing w:before="0" w:after="283"/>
              <w:ind w:left="0" w:right="0" w:hanging="145"/>
              <w:jc w:val="left"/>
              <w:rPr/>
            </w:pPr>
            <w:r>
              <w:rPr/>
              <w:t> </w:t>
            </w:r>
          </w:p>
        </w:tc>
      </w:tr>
      <w:tr>
        <w:trPr/>
        <w:tc>
          <w:tcPr>
            <w:tcW w:w="714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220" w:type="dxa"/>
            <w:tcBorders/>
            <w:shd w:fill="CCEEFF" w:val="clear"/>
            <w:vAlign w:val="center"/>
          </w:tcPr>
          <w:p>
            <w:pPr>
              <w:pStyle w:val="TableContents"/>
              <w:bidi w:val="0"/>
              <w:spacing w:before="0" w:after="283"/>
              <w:ind w:left="0" w:right="0" w:hanging="145"/>
              <w:jc w:val="left"/>
              <w:rPr/>
            </w:pPr>
            <w:r>
              <w:rPr/>
              <w:t> </w:t>
            </w:r>
          </w:p>
        </w:tc>
      </w:tr>
      <w:tr>
        <w:trPr/>
        <w:tc>
          <w:tcPr>
            <w:tcW w:w="7140" w:type="dxa"/>
            <w:tcBorders/>
            <w:vAlign w:val="center"/>
          </w:tcPr>
          <w:p>
            <w:pPr>
              <w:pStyle w:val="TableContents"/>
              <w:bidi w:val="0"/>
              <w:spacing w:before="0" w:after="283"/>
              <w:jc w:val="left"/>
              <w:rPr/>
            </w:pPr>
            <w:r>
              <w:rPr/>
              <w:t>Cash withdrawn from Trust Account in connection with redemptions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236,172,952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right"/>
              <w:rPr/>
            </w:pPr>
            <w:r>
              <w:rPr/>
              <w:t>—</w:t>
            </w:r>
          </w:p>
        </w:tc>
        <w:tc>
          <w:tcPr>
            <w:tcW w:w="220" w:type="dxa"/>
            <w:tcBorders/>
            <w:vAlign w:val="center"/>
          </w:tcPr>
          <w:p>
            <w:pPr>
              <w:pStyle w:val="TableContents"/>
              <w:bidi w:val="0"/>
              <w:spacing w:before="0" w:after="283"/>
              <w:ind w:left="0" w:right="0" w:hanging="145"/>
              <w:jc w:val="left"/>
              <w:rPr/>
            </w:pPr>
            <w:r>
              <w:rPr/>
              <w:t> </w:t>
            </w:r>
          </w:p>
        </w:tc>
      </w:tr>
      <w:tr>
        <w:trPr/>
        <w:tc>
          <w:tcPr>
            <w:tcW w:w="7140" w:type="dxa"/>
            <w:tcBorders/>
            <w:shd w:fill="CCEEFF" w:val="clear"/>
            <w:vAlign w:val="center"/>
          </w:tcPr>
          <w:p>
            <w:pPr>
              <w:pStyle w:val="TableContents"/>
              <w:bidi w:val="0"/>
              <w:spacing w:before="0" w:after="283"/>
              <w:jc w:val="left"/>
              <w:rPr/>
            </w:pPr>
            <w:r>
              <w:rPr/>
              <w:t>Investment of Cash into Trust Account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(400,000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220" w:type="dxa"/>
            <w:tcBorders/>
            <w:shd w:fill="CCEEFF" w:val="clear"/>
            <w:vAlign w:val="center"/>
          </w:tcPr>
          <w:p>
            <w:pPr>
              <w:pStyle w:val="TableContents"/>
              <w:bidi w:val="0"/>
              <w:spacing w:before="0" w:after="283"/>
              <w:ind w:left="0" w:right="0" w:firstLine="145"/>
              <w:jc w:val="left"/>
              <w:rPr/>
            </w:pPr>
            <w:r>
              <w:rPr/>
              <w:t> </w:t>
            </w:r>
          </w:p>
        </w:tc>
      </w:tr>
      <w:tr>
        <w:trPr/>
        <w:tc>
          <w:tcPr>
            <w:tcW w:w="7140" w:type="dxa"/>
            <w:tcBorders/>
            <w:vAlign w:val="center"/>
          </w:tcPr>
          <w:p>
            <w:pPr>
              <w:pStyle w:val="TableContents"/>
              <w:bidi w:val="0"/>
              <w:spacing w:before="0" w:after="283"/>
              <w:jc w:val="left"/>
              <w:rPr>
                <w:b/>
              </w:rPr>
            </w:pPr>
            <w:r>
              <w:rPr>
                <w:b/>
              </w:rPr>
              <w:t>Net cash provided by investing activities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right"/>
              <w:rPr>
                <w:b/>
              </w:rPr>
            </w:pPr>
            <w:r>
              <w:rPr>
                <w:b/>
              </w:rPr>
              <w:t>235,772,952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0"/>
              <w:jc w:val="right"/>
              <w:rPr/>
            </w:pPr>
            <w:r>
              <w:rPr/>
              <w:t>—</w:t>
            </w:r>
          </w:p>
        </w:tc>
        <w:tc>
          <w:tcPr>
            <w:tcW w:w="220" w:type="dxa"/>
            <w:tcBorders/>
            <w:vAlign w:val="center"/>
          </w:tcPr>
          <w:p>
            <w:pPr>
              <w:pStyle w:val="TableContents"/>
              <w:bidi w:val="0"/>
              <w:spacing w:before="0" w:after="283"/>
              <w:ind w:left="0" w:right="0" w:hanging="146"/>
              <w:jc w:val="left"/>
              <w:rPr/>
            </w:pPr>
            <w:r>
              <w:rPr/>
              <w:t> </w:t>
            </w:r>
          </w:p>
        </w:tc>
      </w:tr>
      <w:tr>
        <w:trPr/>
        <w:tc>
          <w:tcPr>
            <w:tcW w:w="7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220" w:type="dxa"/>
            <w:tcBorders/>
            <w:shd w:fill="CCEEFF" w:val="clear"/>
            <w:vAlign w:val="center"/>
          </w:tcPr>
          <w:p>
            <w:pPr>
              <w:pStyle w:val="TableContents"/>
              <w:bidi w:val="0"/>
              <w:spacing w:before="0" w:after="283"/>
              <w:ind w:left="0" w:right="0" w:hanging="145"/>
              <w:jc w:val="left"/>
              <w:rPr/>
            </w:pPr>
            <w:r>
              <w:rPr/>
              <w:t> </w:t>
            </w:r>
          </w:p>
        </w:tc>
      </w:tr>
      <w:tr>
        <w:trPr/>
        <w:tc>
          <w:tcPr>
            <w:tcW w:w="7140" w:type="dxa"/>
            <w:tcBorders/>
            <w:vAlign w:val="center"/>
          </w:tcPr>
          <w:p>
            <w:pPr>
              <w:pStyle w:val="TableContents"/>
              <w:bidi w:val="0"/>
              <w:spacing w:before="0" w:after="283"/>
              <w:jc w:val="left"/>
              <w:rPr>
                <w:b/>
              </w:rPr>
            </w:pPr>
            <w:r>
              <w:rPr>
                <w:b/>
              </w:rPr>
              <w:t>Cash Flows from Financing Activities: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220" w:type="dxa"/>
            <w:tcBorders/>
            <w:vAlign w:val="center"/>
          </w:tcPr>
          <w:p>
            <w:pPr>
              <w:pStyle w:val="TableContents"/>
              <w:bidi w:val="0"/>
              <w:spacing w:before="0" w:after="283"/>
              <w:ind w:left="0" w:right="0" w:hanging="145"/>
              <w:jc w:val="left"/>
              <w:rPr/>
            </w:pPr>
            <w:r>
              <w:rPr/>
              <w:t> </w:t>
            </w:r>
          </w:p>
        </w:tc>
      </w:tr>
      <w:tr>
        <w:trPr/>
        <w:tc>
          <w:tcPr>
            <w:tcW w:w="7140" w:type="dxa"/>
            <w:tcBorders/>
            <w:shd w:fill="CCEEFF" w:val="clear"/>
            <w:vAlign w:val="center"/>
          </w:tcPr>
          <w:p>
            <w:pPr>
              <w:pStyle w:val="TableContents"/>
              <w:bidi w:val="0"/>
              <w:spacing w:before="0" w:after="283"/>
              <w:jc w:val="left"/>
              <w:rPr/>
            </w:pPr>
            <w:r>
              <w:rPr/>
              <w:t>Proceeds from issuance of Convertible Promissory Note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1,000,000</w:t>
            </w:r>
          </w:p>
        </w:tc>
        <w:tc>
          <w:tcPr>
            <w:tcW w:w="220" w:type="dxa"/>
            <w:tcBorders/>
            <w:shd w:fill="CCEEFF" w:val="clear"/>
            <w:vAlign w:val="center"/>
          </w:tcPr>
          <w:p>
            <w:pPr>
              <w:pStyle w:val="TableContents"/>
              <w:bidi w:val="0"/>
              <w:spacing w:before="0" w:after="283"/>
              <w:ind w:left="0" w:right="0" w:hanging="145"/>
              <w:jc w:val="left"/>
              <w:rPr/>
            </w:pPr>
            <w:r>
              <w:rPr/>
              <w:t> </w:t>
            </w:r>
          </w:p>
        </w:tc>
      </w:tr>
      <w:tr>
        <w:trPr/>
        <w:tc>
          <w:tcPr>
            <w:tcW w:w="7140" w:type="dxa"/>
            <w:tcBorders/>
            <w:vAlign w:val="center"/>
          </w:tcPr>
          <w:p>
            <w:pPr>
              <w:pStyle w:val="TableContents"/>
              <w:bidi w:val="0"/>
              <w:spacing w:before="0" w:after="283"/>
              <w:jc w:val="left"/>
              <w:rPr/>
            </w:pPr>
            <w:r>
              <w:rPr/>
              <w:t>Proceeds from issuance of Promissory Note - Related Party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2,300,000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right"/>
              <w:rPr/>
            </w:pPr>
            <w:r>
              <w:rPr/>
              <w:t>—</w:t>
            </w:r>
          </w:p>
        </w:tc>
        <w:tc>
          <w:tcPr>
            <w:tcW w:w="220" w:type="dxa"/>
            <w:tcBorders/>
            <w:vAlign w:val="center"/>
          </w:tcPr>
          <w:p>
            <w:pPr>
              <w:pStyle w:val="TableContents"/>
              <w:bidi w:val="0"/>
              <w:spacing w:before="0" w:after="283"/>
              <w:ind w:left="0" w:right="0" w:hanging="145"/>
              <w:jc w:val="left"/>
              <w:rPr/>
            </w:pPr>
            <w:r>
              <w:rPr/>
              <w:t> </w:t>
            </w:r>
          </w:p>
        </w:tc>
      </w:tr>
      <w:tr>
        <w:trPr/>
        <w:tc>
          <w:tcPr>
            <w:tcW w:w="7140" w:type="dxa"/>
            <w:tcBorders/>
            <w:shd w:fill="CCEEFF" w:val="clear"/>
            <w:vAlign w:val="center"/>
          </w:tcPr>
          <w:p>
            <w:pPr>
              <w:pStyle w:val="TableContents"/>
              <w:bidi w:val="0"/>
              <w:spacing w:before="0" w:after="283"/>
              <w:jc w:val="left"/>
              <w:rPr/>
            </w:pPr>
            <w:r>
              <w:rPr/>
              <w:t>Redemption of ordinary shares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(237,372,952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220" w:type="dxa"/>
            <w:tcBorders/>
            <w:shd w:fill="CCEEFF" w:val="clear"/>
            <w:vAlign w:val="center"/>
          </w:tcPr>
          <w:p>
            <w:pPr>
              <w:pStyle w:val="TableContents"/>
              <w:bidi w:val="0"/>
              <w:spacing w:before="0" w:after="283"/>
              <w:ind w:left="0" w:right="0" w:firstLine="145"/>
              <w:jc w:val="left"/>
              <w:rPr/>
            </w:pPr>
            <w:r>
              <w:rPr/>
              <w:t> </w:t>
            </w:r>
          </w:p>
        </w:tc>
      </w:tr>
      <w:tr>
        <w:trPr/>
        <w:tc>
          <w:tcPr>
            <w:tcW w:w="7140" w:type="dxa"/>
            <w:tcBorders/>
            <w:vAlign w:val="center"/>
          </w:tcPr>
          <w:p>
            <w:pPr>
              <w:pStyle w:val="TableContents"/>
              <w:bidi w:val="0"/>
              <w:spacing w:before="0" w:after="283"/>
              <w:jc w:val="left"/>
              <w:rPr>
                <w:b/>
              </w:rPr>
            </w:pPr>
            <w:r>
              <w:rPr>
                <w:b/>
              </w:rPr>
              <w:t>Net cash (used in) provided by financing activities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right"/>
              <w:rPr>
                <w:b/>
              </w:rPr>
            </w:pPr>
            <w:r>
              <w:rPr>
                <w:b/>
              </w:rPr>
              <w:t>(234,972,952</w:t>
            </w:r>
          </w:p>
        </w:tc>
        <w:tc>
          <w:tcPr>
            <w:tcW w:w="95" w:type="dxa"/>
            <w:tcBorders/>
            <w:vAlign w:val="center"/>
          </w:tcPr>
          <w:p>
            <w:pPr>
              <w:pStyle w:val="TableContents"/>
              <w:bidi w:val="0"/>
              <w:spacing w:before="0" w:after="283"/>
              <w:jc w:val="left"/>
              <w:rPr>
                <w:b/>
              </w:rPr>
            </w:pPr>
            <w:r>
              <w:rPr>
                <w:b/>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b/>
              </w:rPr>
            </w:pPr>
            <w:r>
              <w:rPr>
                <w:b/>
              </w:rPr>
              <w:t>1,000,000</w:t>
            </w:r>
          </w:p>
        </w:tc>
        <w:tc>
          <w:tcPr>
            <w:tcW w:w="220" w:type="dxa"/>
            <w:tcBorders/>
            <w:vAlign w:val="center"/>
          </w:tcPr>
          <w:p>
            <w:pPr>
              <w:pStyle w:val="TableContents"/>
              <w:bidi w:val="0"/>
              <w:spacing w:before="0" w:after="283"/>
              <w:ind w:left="0" w:right="0" w:hanging="146"/>
              <w:jc w:val="left"/>
              <w:rPr/>
            </w:pPr>
            <w:r>
              <w:rPr/>
              <w:t> </w:t>
            </w:r>
          </w:p>
        </w:tc>
      </w:tr>
      <w:tr>
        <w:trPr/>
        <w:tc>
          <w:tcPr>
            <w:tcW w:w="7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220" w:type="dxa"/>
            <w:tcBorders/>
            <w:shd w:fill="CCEEFF" w:val="clear"/>
            <w:vAlign w:val="center"/>
          </w:tcPr>
          <w:p>
            <w:pPr>
              <w:pStyle w:val="TableContents"/>
              <w:bidi w:val="0"/>
              <w:spacing w:before="0" w:after="283"/>
              <w:ind w:left="0" w:right="0" w:hanging="145"/>
              <w:jc w:val="left"/>
              <w:rPr/>
            </w:pPr>
            <w:r>
              <w:rPr/>
              <w:t> </w:t>
            </w:r>
          </w:p>
        </w:tc>
      </w:tr>
      <w:tr>
        <w:trPr/>
        <w:tc>
          <w:tcPr>
            <w:tcW w:w="7140" w:type="dxa"/>
            <w:tcBorders/>
            <w:vAlign w:val="center"/>
          </w:tcPr>
          <w:p>
            <w:pPr>
              <w:pStyle w:val="TableContents"/>
              <w:bidi w:val="0"/>
              <w:spacing w:before="0" w:after="283"/>
              <w:jc w:val="left"/>
              <w:rPr>
                <w:b/>
              </w:rPr>
            </w:pPr>
            <w:r>
              <w:rPr>
                <w:b/>
              </w:rPr>
              <w:t>Net Change in Cash</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b/>
              </w:rPr>
            </w:pPr>
            <w:r>
              <w:rPr>
                <w:b/>
              </w:rPr>
              <w:t>(69,672</w:t>
            </w:r>
          </w:p>
        </w:tc>
        <w:tc>
          <w:tcPr>
            <w:tcW w:w="95" w:type="dxa"/>
            <w:tcBorders/>
            <w:vAlign w:val="center"/>
          </w:tcPr>
          <w:p>
            <w:pPr>
              <w:pStyle w:val="TableContents"/>
              <w:bidi w:val="0"/>
              <w:spacing w:before="0" w:after="283"/>
              <w:jc w:val="left"/>
              <w:rPr>
                <w:b/>
              </w:rPr>
            </w:pPr>
            <w:r>
              <w:rPr>
                <w:b/>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b/>
              </w:rPr>
            </w:pPr>
            <w:r>
              <w:rPr>
                <w:b/>
              </w:rPr>
              <w:t>148,362</w:t>
            </w:r>
          </w:p>
        </w:tc>
        <w:tc>
          <w:tcPr>
            <w:tcW w:w="220" w:type="dxa"/>
            <w:tcBorders/>
            <w:vAlign w:val="center"/>
          </w:tcPr>
          <w:p>
            <w:pPr>
              <w:pStyle w:val="TableContents"/>
              <w:bidi w:val="0"/>
              <w:spacing w:before="0" w:after="283"/>
              <w:ind w:left="0" w:right="0" w:hanging="145"/>
              <w:jc w:val="left"/>
              <w:rPr/>
            </w:pPr>
            <w:r>
              <w:rPr/>
              <w:t> </w:t>
            </w:r>
          </w:p>
        </w:tc>
      </w:tr>
      <w:tr>
        <w:trPr/>
        <w:tc>
          <w:tcPr>
            <w:tcW w:w="7140" w:type="dxa"/>
            <w:tcBorders/>
            <w:shd w:fill="CCEEFF" w:val="clear"/>
            <w:vAlign w:val="center"/>
          </w:tcPr>
          <w:p>
            <w:pPr>
              <w:pStyle w:val="TableContents"/>
              <w:bidi w:val="0"/>
              <w:spacing w:before="0" w:after="283"/>
              <w:jc w:val="left"/>
              <w:rPr/>
            </w:pPr>
            <w:r>
              <w:rPr/>
              <w:t>Cash - Beginning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72,923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277,583</w:t>
            </w:r>
          </w:p>
        </w:tc>
        <w:tc>
          <w:tcPr>
            <w:tcW w:w="220" w:type="dxa"/>
            <w:tcBorders/>
            <w:shd w:fill="CCEEFF" w:val="clear"/>
            <w:vAlign w:val="center"/>
          </w:tcPr>
          <w:p>
            <w:pPr>
              <w:pStyle w:val="TableContents"/>
              <w:bidi w:val="0"/>
              <w:spacing w:before="0" w:after="283"/>
              <w:ind w:left="0" w:right="0" w:hanging="145"/>
              <w:jc w:val="left"/>
              <w:rPr/>
            </w:pPr>
            <w:r>
              <w:rPr/>
              <w:t> </w:t>
            </w:r>
          </w:p>
        </w:tc>
      </w:tr>
      <w:tr>
        <w:trPr/>
        <w:tc>
          <w:tcPr>
            <w:tcW w:w="7140" w:type="dxa"/>
            <w:tcBorders/>
            <w:vAlign w:val="center"/>
          </w:tcPr>
          <w:p>
            <w:pPr>
              <w:pStyle w:val="TableContents"/>
              <w:bidi w:val="0"/>
              <w:spacing w:before="0" w:after="283"/>
              <w:jc w:val="left"/>
              <w:rPr>
                <w:b/>
              </w:rPr>
            </w:pPr>
            <w:r>
              <w:rPr>
                <w:b/>
              </w:rPr>
              <w:t>Cash - Ending</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295" w:type="dxa"/>
            <w:tcBorders>
              <w:bottom w:val="double" w:sz="10" w:space="0" w:color="000000"/>
            </w:tcBorders>
            <w:tcMar>
              <w:bottom w:w="28" w:type="dxa"/>
            </w:tcMar>
            <w:vAlign w:val="center"/>
          </w:tcPr>
          <w:p>
            <w:pPr>
              <w:pStyle w:val="TableContents"/>
              <w:bidi w:val="0"/>
              <w:spacing w:before="0" w:after="283"/>
              <w:jc w:val="right"/>
              <w:rPr>
                <w:b/>
              </w:rPr>
            </w:pPr>
            <w:r>
              <w:rPr>
                <w:b/>
              </w:rPr>
              <w:t>3,251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tcMar>
              <w:bottom w:w="28" w:type="dxa"/>
            </w:tcMar>
            <w:vAlign w:val="center"/>
          </w:tcPr>
          <w:p>
            <w:pPr>
              <w:pStyle w:val="TableContents"/>
              <w:bidi w:val="0"/>
              <w:spacing w:before="0" w:after="283"/>
              <w:jc w:val="right"/>
              <w:rPr>
                <w:b/>
              </w:rPr>
            </w:pPr>
            <w:r>
              <w:rPr>
                <w:b/>
              </w:rPr>
              <w:t>425,945</w:t>
            </w:r>
          </w:p>
        </w:tc>
        <w:tc>
          <w:tcPr>
            <w:tcW w:w="220" w:type="dxa"/>
            <w:tcBorders/>
            <w:vAlign w:val="center"/>
          </w:tcPr>
          <w:p>
            <w:pPr>
              <w:pStyle w:val="TableContents"/>
              <w:bidi w:val="0"/>
              <w:spacing w:before="0" w:after="283"/>
              <w:ind w:left="0" w:right="0" w:hanging="145"/>
              <w:jc w:val="left"/>
              <w:rPr/>
            </w:pPr>
            <w:r>
              <w:rPr/>
              <w:t> </w:t>
            </w:r>
          </w:p>
        </w:tc>
      </w:tr>
      <w:tr>
        <w:trPr/>
        <w:tc>
          <w:tcPr>
            <w:tcW w:w="7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220" w:type="dxa"/>
            <w:tcBorders/>
            <w:shd w:fill="CCEEFF" w:val="clear"/>
            <w:vAlign w:val="center"/>
          </w:tcPr>
          <w:p>
            <w:pPr>
              <w:pStyle w:val="TableContents"/>
              <w:bidi w:val="0"/>
              <w:spacing w:before="0" w:after="283"/>
              <w:ind w:left="0" w:right="0" w:hanging="145"/>
              <w:jc w:val="left"/>
              <w:rPr/>
            </w:pPr>
            <w:r>
              <w:rPr/>
              <w:t> </w:t>
            </w:r>
          </w:p>
        </w:tc>
      </w:tr>
      <w:tr>
        <w:trPr/>
        <w:tc>
          <w:tcPr>
            <w:tcW w:w="7140" w:type="dxa"/>
            <w:tcBorders/>
            <w:vAlign w:val="center"/>
          </w:tcPr>
          <w:p>
            <w:pPr>
              <w:pStyle w:val="TableContents"/>
              <w:bidi w:val="0"/>
              <w:spacing w:before="0" w:after="283"/>
              <w:jc w:val="left"/>
              <w:rPr>
                <w:b/>
              </w:rPr>
            </w:pPr>
            <w:r>
              <w:rPr>
                <w:b/>
              </w:rPr>
              <w:t>Supplemental disclosure of noncash financing activities: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220" w:type="dxa"/>
            <w:tcBorders/>
            <w:vAlign w:val="center"/>
          </w:tcPr>
          <w:p>
            <w:pPr>
              <w:pStyle w:val="TableContents"/>
              <w:bidi w:val="0"/>
              <w:spacing w:before="0" w:after="283"/>
              <w:ind w:left="0" w:right="0" w:hanging="0"/>
              <w:jc w:val="left"/>
              <w:rPr/>
            </w:pPr>
            <w:r>
              <w:rPr/>
              <w:t> </w:t>
            </w:r>
          </w:p>
        </w:tc>
      </w:tr>
      <w:tr>
        <w:trPr/>
        <w:tc>
          <w:tcPr>
            <w:tcW w:w="714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Proceeds received in excess of initial fair value of convertible promissory note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(12,198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220" w:type="dxa"/>
            <w:tcBorders/>
            <w:shd w:fill="CCEEFF" w:val="clear"/>
            <w:vAlign w:val="center"/>
          </w:tcPr>
          <w:p>
            <w:pPr>
              <w:pStyle w:val="TableContents"/>
              <w:bidi w:val="0"/>
              <w:spacing w:before="0" w:after="283"/>
              <w:ind w:left="0" w:right="0" w:hanging="145"/>
              <w:jc w:val="left"/>
              <w:rPr/>
            </w:pPr>
            <w:r>
              <w:rPr/>
              <w:t> </w:t>
            </w:r>
          </w:p>
        </w:tc>
      </w:tr>
      <w:tr>
        <w:trPr/>
        <w:tc>
          <w:tcPr>
            <w:tcW w:w="7140" w:type="dxa"/>
            <w:tcBorders/>
            <w:vAlign w:val="center"/>
          </w:tcPr>
          <w:p>
            <w:pPr>
              <w:pStyle w:val="TableContents"/>
              <w:bidi w:val="0"/>
              <w:spacing w:before="0" w:after="283"/>
              <w:jc w:val="left"/>
              <w:rPr/>
            </w:pPr>
            <w:r>
              <w:rPr/>
              <w:t>Accretion of carrying value to redemption value</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tcMar>
              <w:bottom w:w="28" w:type="dxa"/>
            </w:tcMar>
            <w:vAlign w:val="center"/>
          </w:tcPr>
          <w:p>
            <w:pPr>
              <w:pStyle w:val="TableContents"/>
              <w:bidi w:val="0"/>
              <w:spacing w:before="0" w:after="283"/>
              <w:jc w:val="right"/>
              <w:rPr/>
            </w:pPr>
            <w:r>
              <w:rPr/>
              <w:t>5,825,267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tcMar>
              <w:bottom w:w="28" w:type="dxa"/>
            </w:tcMar>
            <w:vAlign w:val="center"/>
          </w:tcPr>
          <w:p>
            <w:pPr>
              <w:pStyle w:val="TableContents"/>
              <w:bidi w:val="0"/>
              <w:spacing w:before="0" w:after="283"/>
              <w:jc w:val="right"/>
              <w:rPr/>
            </w:pPr>
            <w:r>
              <w:rPr/>
              <w:t>700,519</w:t>
            </w:r>
          </w:p>
        </w:tc>
        <w:tc>
          <w:tcPr>
            <w:tcW w:w="22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COMPLETE SOLARIA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 to Freedom Acquisition I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Organization and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 and General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Freedom Acquisition I Corp. (the “Company” or “Freedom”) was incorporated in Cayman Islands on December 23, 2020. The Company was formed for the purpose of entering into a merger, capital share exchange, asset acquisition, share purchase, reorganization or similar business combination with one or more businesses (a “Business Combination”). 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w:t>
      </w:r>
    </w:p>
    <w:p>
      <w:pPr>
        <w:pStyle w:val="TextBody"/>
        <w:bidi w:val="0"/>
        <w:spacing w:before="0" w:after="0"/>
        <w:ind w:left="0" w:right="0" w:firstLine="32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 2022, the Company entered into a Business Combination Agreement with Jupiter Merger Sub I Corp., a Delaware corporation and a wholly owned subsidiary of the Company, Jupiter Merger Sub II LLC, a Delaware limited liability company and a wholly owned subsidiary of the Company, Complete Solar Holding Corporation, a Delaware corporation, and The Solaria Corporation, a Delaware 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sponsor is Freedom Acquisition I LLC, a Cayman Islands limited liability company (the “Sponsor”).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2023, the Company had not yet commenced any operations. All activity through June 30, 2023, relates to the Company’s formation and the Initial Public Offering (“IPO” or “Initial Public Offering”)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IPO, its operating cash account, and changes in the fair value of warrant liabilities and promissory note.</w:t>
      </w:r>
    </w:p>
    <w:p>
      <w:pPr>
        <w:pStyle w:val="TextBody"/>
        <w:bidi w:val="0"/>
        <w:spacing w:before="0" w:after="0"/>
        <w:ind w:left="0" w:right="0" w:firstLine="324"/>
        <w:jc w:val="both"/>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2023, as previously disclosed and as contemplated by the Business Combination Agreement and described in the definitive proxy statement/prospectus filed with the Securities and Exchange Commission (the “SEC”) on June 30, 2023, as supplemented by the supplement to the proxy statement/prospectus filed with the SEC on July 10, 2023 (the “Proxy Statement”) in the section titled “Proposal No. 2—Domestication Proposal” beginning on page 183 of the Proxy Statement, the Company filed an application for deregistration with the Cayman Islands Registrar of Companies, together with the necessary accompanying documents, and filed a certificate of incorporation and a certificate of corporate domestication with the Secretary of State of the State of Delaware, under which the Company was domesticated and continues as a Delaware corporation, changing its name to “Complete Solaria, Inc.” (the “Domestication”).</w:t>
      </w:r>
    </w:p>
    <w:p>
      <w:pPr>
        <w:pStyle w:val="TextBody"/>
        <w:bidi w:val="0"/>
        <w:spacing w:before="0" w:after="0"/>
        <w:ind w:left="0" w:right="0" w:firstLine="324"/>
        <w:jc w:val="both"/>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18, 2023 (the “Closing Date”) and following the approval at an extraordinary general meeting of the shareholders of the Company held on July 11, 2023 (the “Special Meeting”), as contemplated by the Business Combination Agreement and described in the Proxy Statement in the section titled “Proposal No. 1—The Business Combination Agreement” beginning on page 124 of the Proxy Statement, the parties consummated the closing of the transactions contemplated by the Business Combination Agreement (collectively, the “Business Combination”), whereby (i) First Merger Sub merged with and into Legacy Complete Solaria, with Legacy Complete Solaria surviving as a wholly-owned subsidiary of the Company (the “First Merger”), (ii) immediately thereafter and as part of the same overall transaction, Legacy Complete Solaria merged with and into Second Merger Sub, with Second Merger Sub surviving as a wholly-owned subsidiary of the Company (the “Second Merger”), and Second Merger Sub changed its name to “CS, LLC”, and (iii) immediately after the consummation of the Second Merger and as part of the same overall transaction, Solaria merged with and into a newly formed Delaware limited liability company and wholly-owned subsidiary of the Company and changed its name to “SolarCA LLC” (“Third Merger Sub”), with Third Merger Sub surviving as a wholly-owned subsidiary of the Company (the “Additional Merger”, and together with the First Merger and the Second Merger, the “Mergers”).</w:t>
      </w:r>
    </w:p>
    <w:p>
      <w:pPr>
        <w:pStyle w:val="TextBody"/>
        <w:bidi w:val="0"/>
        <w:spacing w:before="0" w:after="0"/>
        <w:ind w:left="0" w:right="0" w:firstLine="324"/>
        <w:jc w:val="both"/>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Special Meeting, holders of the Company’s Class A Ordinary Shares had the right to elect to redeem all or a portion of their Class A Ordinary Shares for a per share price calculated in accordance with the Company’s organizational documents. As of the Closing Date, holders of 7,784,739 shares of Class A Ordinary Shares had validly elected to redeem their Class A Ordinary Shares for a full pro rata portion of the trust account holding the proceeds from the Company’s initial public offering, or approximately $10.56 per share and $82,240,293 the aggregate.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for the Company’s IPO was declared effective on February 25, 2021 (the “Effective Date”). On March 2, 2021, the Company consummated the IPO of 34,500,000 units (the “Units” and, with respect to the Class A ordinary shares included in the Units being offered, the “public share”), at $10.00 per Unit, generating gross proceeds of $345,000,000, which is discussed in Note 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closing of the IPO, the Company consummated the sale of 6,266,667 warrants (the “Private Placement Warrants”), at a price of $1.50 per Private Placement Warrant, which is discussed in Note 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amounted to $19,175,922, consisting of $6,405,000 of underwriting fees, $12,075,000 of deferred underwriting fees and $695,922 of other offering costs. Of the total transaction cost, $575,278 was expensed as non-operating expenses in the consolidated statement of operations with the rest of the offering costs charged to shareholders’ deficit for the year ended December 31, 2021. The transaction costs were allocated based on the relative fair value basis, compared to the total offering proceeds, between the fair value of the public warrant liabilities and the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 Account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of the IPO on March 2, 2021, an amount of $345,000,000 from the net proceeds of the sale of the Units in the IPO and the sale of the Private Placement Warrants was placed in a trust account (the “Trust Account”). The funds in the Trust Account were, since the IPO and until the 24-month anniversary of the consummation of the IPO, invested in U.S. government securities, within the meaning set forth in Section 2(a)(16) of the Investment Company Act, with a maturity of 185 days or less or in any open-ended investment company that holds itself out as a money market fund meeting the conditions of Rule 2a-7 of the Investment Company Act, as determined by the Company. To mitigate the risk of the Company being deemed to have been operating as an unregistered investment company, prior to the 24-month anniversary of the consummation of the IPO, the Company instructed Continental Stock Transfer &amp; Trust Company, the trustee with respect to the Trust Account, to liquidate the U.S. government treasury obligations or money market funds held in the Trust Account and to hold all the funds in the Trust Account in cash in a bank deposit account. Except with respect to interest earned on the funds held in the Trust Account that may be released to the Company to pay its tax obligations, the proceeds from the IPO and the sale of the private placement units will not be released from the Trust Account until the earliest of (a) the completion of the Company’s initial Business Combination, (b) the redemption of any public shares properly submitted in connection with a shareholder vote to amend the Company’s amended and restated certificate of incorporation, and (c) the redemption of the Company’s public shares if the Company is unable to complete the initial Business Combination during the Extension Period (as defined below), subject to applicable law. The proceeds deposited in the Trust Account could become subject to the claims of the Company’s creditors, if any, which could have priority over the claims of the Company’s public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has broad discretion with respect to the specific application of the net proceeds of the IPO, although substantially all of the net proceeds are intended to be generally applied toward consummating a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Combination must be with one or more target businesses that together have a fair market value equal to at least 80% of the balance in the Trust Account (net of taxes payable) at the time of the signing an agreement to enter into a Business Combination. However,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provide its public shareholders with the opportunity to redeem all or a portion of their public shares upon the completion of the initial Business Combination either (i) in connection with a shareholder meeting called to approve the initial Business Combination or (ii) by means of a tender offer. The decision as to whether the Company will seek shareholder approval of a proposed initial Business Combination or conduct a tender offer will be made by the Company, solely in its discretion. The shareholders will be entitled to redeem their shares for a pro rata portion of the amount then on deposit in the Trust Account (initially $10.00 per share, plus any pro rata interest earned on the funds held in the Trust Account and not previously released to the Company to pay its tax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subject to redemption are recorded at redemption value and classified as temporary equity upon the completion of the IPO, in accordance with Accounting Standards Codification (“ASC”) Topic 480, “Distinguishing Liabilities from Equity.” In such case, the Company will proceed with a Business Combination if the Company has net tangible assets of at least $5,000,001 either immediately prior to or upon consummation of a Business Combination and, if the Company seeks shareholder approval, a majority of the issued and outstanding shares voted are voted in favor of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2023, the Company held an extraordinary general meeting of shareholders (the “Extraordinary General Meeting”), at which holders of 35,373,848 ordinary shares, comprised of 26,773,848 Class A ordinary shares and 8,600,000 Class B ordinary shares, were present in person or by proxy, representing approximately 82.02% of the voting power of the 43,125,000 issued and outstanding ordinary shares of the Company entitled to vote at the Extraordinary General Meeting at the close of business on January 23, 2023, which was the record date (the “Record Date”) for the Extraordinary General Meeting (such shares, the “Outstanding Shares”). The Outstanding Shares on the Record Date were comprised of 34,500,000 Class A ordinary shares and 8,625,000 Class B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Extraordinary General Meeting, the shareholders approved, by special resolution, a proposal (the “Extension Amendment Proposal”) to amend the amended and restated memorandum and articles of association to extend the date by which the Company must (i) consummate a merger, amalgamation, share exchange, asset acquisition, share purchase, reorganization or similar business combination, which Freedom refers to as its initial business combination, (ii) cease its operations except for the purpose of winding up if it fails to complete such initial business combination, and (iii) redeem all of the Class A ordinary shares, included as part of the units sold in the initial public offering, for an additional three months, from March 2, 2023 to June 2, 2023, and thereafter to up to three (3) times by an additional one month each time (or up to September 2, 2023) (the “Extension Amendment,” and such period, as may be extended, the “Extension Period”). However, if the Company is unable to complete a Business Combination within the Extension Period, the Company will redeem 100% of the outstanding public shares for a pro rata portion of the funds held in the Trust Account, equal to the aggregate amount then on deposit in the Trust Account including interest earned on the funds held in the Trust Account and not previously released to the Company, divided by the number of then outstanding public shares, subject to applicable law and as further described in the registration statement, and then seek to dissolve and liquidate.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Extension Amendment, public shareholders elected to redeem an aggregate of 23,256,504 Class A ordinary shares at a redemption price of $10.21 per share, representing approximately 67.41% of the issued and outstanding Class A ordinary shares, for an aggregate redemption amount of approximately $237,372,952. Following such redemptions, approximately $114,759,374 remained in the Trust Account and 11,243,496 Class A ordinary shares remained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Sponsor, officers and directors have agreed to (i) waive their redemption rights with respect to their founder shares, private placement shares and public shares in connection with the completion of the initial Business Combination, (ii) waive their redemption rights with respect to their founder shares and public shares in connection with a shareholder vote to approve an amendment to the Company’s amended and restated certificate of incorporation, and (iii) waive their rights to liquidating distributions from the Trust Account with respect to their founder shares and private placement shares if the Company fails to complete the initial Business Combination within the Extension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Sponsor has agreed that it will be liable to the Company if and to the extent any claims by a third-party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IPO against certain liabilities, including liabilities under the Securities Act of 1933, as amended (the “Securities Act”). However, the Company has not asked its Sponsor to reserve for such indemnification obligations, nor has the Company independently verified whether its Sponsor has sufficient funds to satisfy its indemnity obligations and believe that the Company’s Sponsor’s only assets are securities of the Company. Therefore, the Company cannot assure that its Sponsor would be able to satisfy those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2023, the Company had cash outside the Trust Account of $3,251 available for working capital needs. All remaining cash held in the Trust Account is generally unavailable for the Company’s use prior to an initial Business Combination and is restricted for use either in a Business Combination or to redeem ordinary shares. The Company may elect to withdraw from the interest income earned on the Trust Account to pay the Company’s tax obligations. For the three and six months ended June 30, 2023, the Company had $1,408,051 and $4,225,267 in interest income earned on the Trust Account,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raise additional capital through loans or additional investments from the Sponsor or an affiliate of the Sponsor or certain of its directors and officers. The Sponsor may, but is not obligated to, lend the Company funds, from time to time in whatever amounts it deems reasonable in its sole discretion, to meet the Company’s working capital needs. There can be no assurance that the Company will be able to obtain additional financing, however. Moreover, the Company may need to obtain additional financing either to complete its Business Combination or because the Company becomes obligated to redeem a significant number of its public shares upon consummation of its Business Combination, in which case the Company may issue additional securities or incur debt in connection with such Business Combination. Subject to compliance with applicable securities laws, the Company would only complete such financing simultaneously with the completion of its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assessment of going concern considerations in accordance with Accounting Standards Codification (“ASC”) Topic 205-40, “Presentation of Financial Statements – Going Concern,” management has determined that the Company has alleviated substantial doubt through consummation of a Business Combination as of July 18, 2023, as further discussed in Note 10, Subsequent Events and as such merged with Complete Solaria Inc. Complete Solaria reported substantial doubt in its ability to continue as a going concern within one year after the date the June 30, 2023 financial statements were issued. No adjustments have been made to the carrying amounts of assets or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have been prepared in accordance with accounting principles generally accepted in the United States of America (“US GAAP”) for interim financial information and in accordance with the instructions to Form 10-Q and Article 10 of Regulation S-X of the Securities and Exchange Commission (“SEC”). Certain information or footnote disclosures normally included in unaudited condensed consolidated financial statements prepared in accordance with US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should be read in conjunction with the Company’s Form 10-K for the year ended December 31, 2022 as filed with the SEC on April 6, 2023, which contains the audited consolidated financial statements and notes thereto. The interim results for the three and six months ended June 30, 2023 are not necessarily indicative of the results to be expected for the year ending December 31, 2023 or for any future interim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Principles of Consolidation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include the accounts of the Company and its wholly owned subsidiary. All significant intercompany balances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unaudited condensed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unaudited condensed consolidated financial statements in conformity with US GAAP requires management to make estimates and assumptions that affect the reported amounts of assets and liabilities and disclosure of contingent assets and liabilities at the date of the unaudited condensed consolidated financial statements and the reported amounts of expenses during the reporting period. Actual results could differ from those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made in preparing these unaudited condensed consolidated financial statements include, among other things, the fair value measurement of the Private Warrant liabilities and promissory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short-term investments with an original maturity of three months or less when purchased to be cash equivalents. The Company did not have any cash equivalents as of June 30, 2023 and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 Held in Trust Account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2023, the assets held in the Trust Account were held in a cash operating account maintained by the Trustee.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investment in the Company’s Trust Account consisted of $349,927,313 in a money market fund with a maturity of 180 days or less. Following the maturity of the U.S. Treasury securities on December 1, 2022, the Company immediately reinvested the entirety of the Trust Account into a money market fund. The money market fund is disclosed at fair value on the consolidated balance sheet. Subsequently, in March 2023, the Company moved the entirety of the Trust Account into a cash account at the Trustee. The Company considers all investments with original maturities of more than three months but less than one year to be short-term investments. The carrying value approximates the fair value due to its short-term maturity. The carrying value, excluding gross unrealized holding losses and fair value of held to maturity securities on June 30, 2023 and December 31, 2022 are as follows:</w:t>
      </w:r>
    </w:p>
    <w:p>
      <w:pPr>
        <w:pStyle w:val="TextBody"/>
        <w:bidi w:val="0"/>
        <w:spacing w:before="0" w:after="0"/>
        <w:ind w:left="0" w:right="0" w:firstLine="360"/>
        <w:jc w:val="both"/>
        <w:rPr>
          <w:caps w:val="false"/>
          <w:smallCaps w:val="false"/>
        </w:rPr>
      </w:pPr>
      <w:r>
        <w:rPr>
          <w:caps w:val="false"/>
          <w:smallCaps w:val="false"/>
        </w:rPr>
        <w:t> </w:t>
      </w:r>
    </w:p>
    <w:tbl>
      <w:tblPr>
        <w:tblW w:w="2010" w:type="dxa"/>
        <w:jc w:val="left"/>
        <w:tblInd w:w="0" w:type="dxa"/>
        <w:tblLayout w:type="fixed"/>
        <w:tblCellMar>
          <w:top w:w="0" w:type="dxa"/>
          <w:left w:w="0" w:type="dxa"/>
          <w:bottom w:w="0" w:type="dxa"/>
          <w:right w:w="0" w:type="dxa"/>
        </w:tblCellMar>
      </w:tblPr>
      <w:tblGrid>
        <w:gridCol w:w="515"/>
        <w:gridCol w:w="60"/>
        <w:gridCol w:w="140"/>
        <w:gridCol w:w="1220"/>
        <w:gridCol w:w="75"/>
      </w:tblGrid>
      <w:tr>
        <w:trPr/>
        <w:tc>
          <w:tcPr>
            <w:tcW w:w="5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br/>
              <w:t>as of</w:t>
              <w:br/>
              <w:t>June 30,</w:t>
              <w:br/>
              <w:t>2023</w:t>
            </w:r>
          </w:p>
        </w:tc>
        <w:tc>
          <w:tcPr>
            <w:tcW w:w="75" w:type="dxa"/>
            <w:tcBorders/>
            <w:vAlign w:val="center"/>
          </w:tcPr>
          <w:p>
            <w:pPr>
              <w:pStyle w:val="TableContents"/>
              <w:bidi w:val="0"/>
              <w:spacing w:before="0" w:after="283"/>
              <w:jc w:val="left"/>
              <w:rPr/>
            </w:pPr>
            <w:r>
              <w:rPr/>
              <w:t> </w:t>
            </w:r>
          </w:p>
        </w:tc>
      </w:tr>
      <w:tr>
        <w:trPr/>
        <w:tc>
          <w:tcPr>
            <w:tcW w:w="51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118,379,628</w:t>
            </w:r>
          </w:p>
        </w:tc>
        <w:tc>
          <w:tcPr>
            <w:tcW w:w="75" w:type="dxa"/>
            <w:tcBorders/>
            <w:shd w:fill="CCEEFF" w:val="clear"/>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tcMar>
              <w:bottom w:w="28" w:type="dxa"/>
            </w:tcMar>
            <w:vAlign w:val="center"/>
          </w:tcPr>
          <w:p>
            <w:pPr>
              <w:pStyle w:val="TableContents"/>
              <w:bidi w:val="0"/>
              <w:spacing w:before="0" w:after="283"/>
              <w:jc w:val="right"/>
              <w:rPr/>
            </w:pPr>
            <w:r>
              <w:rPr/>
              <w:t>118,379,628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2090"/>
        <w:gridCol w:w="60"/>
        <w:gridCol w:w="145"/>
        <w:gridCol w:w="1270"/>
        <w:gridCol w:w="75"/>
      </w:tblGrid>
      <w:tr>
        <w:trPr/>
        <w:tc>
          <w:tcPr>
            <w:tcW w:w="2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br/>
              <w:t>as of</w:t>
              <w:br/>
              <w:t>December 31,</w:t>
              <w:br/>
              <w:t>2022</w:t>
            </w:r>
          </w:p>
        </w:tc>
        <w:tc>
          <w:tcPr>
            <w:tcW w:w="75" w:type="dxa"/>
            <w:tcBorders/>
            <w:vAlign w:val="center"/>
          </w:tcPr>
          <w:p>
            <w:pPr>
              <w:pStyle w:val="TableContents"/>
              <w:bidi w:val="0"/>
              <w:spacing w:before="0" w:after="283"/>
              <w:ind w:left="0" w:right="0" w:hanging="151"/>
              <w:jc w:val="left"/>
              <w:rPr/>
            </w:pPr>
            <w:r>
              <w:rPr/>
              <w:t> </w:t>
            </w:r>
          </w:p>
        </w:tc>
      </w:tr>
      <w:tr>
        <w:trPr/>
        <w:tc>
          <w:tcPr>
            <w:tcW w:w="2090" w:type="dxa"/>
            <w:tcBorders/>
            <w:shd w:fill="CCEEFF" w:val="clear"/>
            <w:vAlign w:val="center"/>
          </w:tcPr>
          <w:p>
            <w:pPr>
              <w:pStyle w:val="TableContents"/>
              <w:bidi w:val="0"/>
              <w:spacing w:before="0" w:after="283"/>
              <w:jc w:val="left"/>
              <w:rPr/>
            </w:pPr>
            <w:r>
              <w:rPr/>
              <w:t>Money Market Funds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70" w:type="dxa"/>
            <w:tcBorders>
              <w:bottom w:val="single" w:sz="12" w:space="0" w:color="000000"/>
            </w:tcBorders>
            <w:shd w:fill="CCEEFF" w:val="clear"/>
            <w:tcMar>
              <w:bottom w:w="28" w:type="dxa"/>
            </w:tcMar>
            <w:vAlign w:val="center"/>
          </w:tcPr>
          <w:p>
            <w:pPr>
              <w:pStyle w:val="TableContents"/>
              <w:bidi w:val="0"/>
              <w:spacing w:before="0" w:after="283"/>
              <w:jc w:val="right"/>
              <w:rPr/>
            </w:pPr>
            <w:r>
              <w:rPr/>
              <w:t>349,927,313</w:t>
            </w:r>
          </w:p>
        </w:tc>
        <w:tc>
          <w:tcPr>
            <w:tcW w:w="75" w:type="dxa"/>
            <w:tcBorders/>
            <w:shd w:fill="CCEEFF" w:val="clear"/>
            <w:vAlign w:val="center"/>
          </w:tcPr>
          <w:p>
            <w:pPr>
              <w:pStyle w:val="TableContents"/>
              <w:bidi w:val="0"/>
              <w:spacing w:before="0" w:after="283"/>
              <w:ind w:left="0" w:right="0" w:hanging="151"/>
              <w:jc w:val="left"/>
              <w:rPr/>
            </w:pPr>
            <w:r>
              <w:rPr/>
              <w:t> </w:t>
            </w:r>
          </w:p>
        </w:tc>
      </w:tr>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bottom w:val="double" w:sz="10" w:space="0" w:color="000000"/>
            </w:tcBorders>
            <w:tcMar>
              <w:bottom w:w="28" w:type="dxa"/>
            </w:tcMar>
            <w:vAlign w:val="center"/>
          </w:tcPr>
          <w:p>
            <w:pPr>
              <w:pStyle w:val="TableContents"/>
              <w:bidi w:val="0"/>
              <w:spacing w:before="0" w:after="283"/>
              <w:jc w:val="left"/>
              <w:rPr/>
            </w:pPr>
            <w:r>
              <w:rPr/>
              <w:t>$</w:t>
            </w:r>
          </w:p>
        </w:tc>
        <w:tc>
          <w:tcPr>
            <w:tcW w:w="1270" w:type="dxa"/>
            <w:tcBorders>
              <w:bottom w:val="double" w:sz="10" w:space="0" w:color="000000"/>
            </w:tcBorders>
            <w:tcMar>
              <w:bottom w:w="28" w:type="dxa"/>
            </w:tcMar>
            <w:vAlign w:val="center"/>
          </w:tcPr>
          <w:p>
            <w:pPr>
              <w:pStyle w:val="TableContents"/>
              <w:bidi w:val="0"/>
              <w:spacing w:before="0" w:after="283"/>
              <w:jc w:val="right"/>
              <w:rPr/>
            </w:pPr>
            <w:r>
              <w:rPr/>
              <w:t>349,927,313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decline in the market value of held-to-maturity securities below cost that is deemed to be other than temporary results in an impairment that reduces the carrying costs to such securities’ fair value. The impairment is charged to earnings and a new cost basis for the security is established. To determine whether an impairment is other than temporary, the Company considers whether it has the ability and intent to hold the investment until a market price recovery and considers whether evidence indicating the cost of the investment is recoverable outweighs evidence to the contrary. Evidence considered in this assessment includes the reasons for the impairment, the severity and the duration of the impairment, changes in value subsequent to year-end, forecasted performance of the investee, and the general market condition in the geographic area or industry the investee operates 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Premiums and discounts are amortized or accreted over the life of the related held-to-maturity security as an adjustment to yield using the effective-interest method. Such amortization and remeasurement are included in the “interest income” line item in the condensed consolidated statements of operations. Interest income is recognized when earned.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Promissory Notes—Related Party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its convertible promissory notes under ASC 815, “Derivatives and Hedging” (“ASC 815”). Under ASC 815-15-25, the election can be at the inception of a financial instrument to account for the instrument under the fair value option under ASC 825. The Company has made such election for its convertible promissory notes. Using the fair value option, the convertible promissory notes are required to be recorded at their initial fair value on the date of issuance, each drawdown date, and each balance sheet date thereafter. Differences between the face value of the note and fair value at each drawdown date are recognized as either an expense in the condensed consolidated statements of operations (if issued at a premium) or as a capital contribution (if issued at a discount). Changes in the estimated fair value of the notes are recognized as non-cash gains or losses in the consolidated statements of operations. Changes in the estimated fair value of the note are recognized as non-cash change in the fair value of the convertible promissory notes in the condensed consolidated statements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Credit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concentrations of credit risk consist of a cash account in a financial institution, which, at times, may exceed the Federal Depository Insurance Coverage of $250,000. At June 30, 2023 and December 31, 2022, the Company has not experienced losses on this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Ordinary Shares Subject to Possible Redemption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its Class A ordinary shares subject to possible redemption in accordance with the guidance in ASC Topic 480, “Distinguishing Liabilities from Equity.” Class A ordinary shares subject to mandatory redemption (if any)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deficit. The Company’s ordinary shares feature certain redemption rights that are considered to be outside of the Company’s control and subject to the occurrence of uncertain future events. Accordingly, as of June 30, 2023 and December 31, 2022, 11,243,496 and 34,500,000 Class A ordinary shares, respectively, subject to possible redemption are presented at redemption value as temporary equity, outside of the shareholders’ deficit section of the Company’s consolidated balance sheets.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Income Per Ordinary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two classes of shares, which are referred to as Class A ordinary shares and Class B ordinary shares. Earnings and losses are shared pro rata between the two classes of shares. The 14,891,667 potential ordinary shares for outstanding warrants to purchase the Company’s shares were excluded from diluted (loss) earnings per share for the three and six months ended June 30, 2023 and 2022 because the warrants are contingently exercisable, and the contingencies have not yet been met. As a result, diluted net (loss) income per ordinary share is the same as basic net (loss) income per ordinary share for the periods. The table below presents a reconciliation of the numerator and denominator used to compute basic and diluted net (loss) income per share for each class of ordinary share: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74"/>
        <w:gridCol w:w="60"/>
        <w:gridCol w:w="161"/>
        <w:gridCol w:w="1273"/>
        <w:gridCol w:w="109"/>
        <w:gridCol w:w="68"/>
        <w:gridCol w:w="161"/>
        <w:gridCol w:w="1222"/>
        <w:gridCol w:w="95"/>
        <w:gridCol w:w="60"/>
        <w:gridCol w:w="150"/>
        <w:gridCol w:w="1185"/>
        <w:gridCol w:w="101"/>
        <w:gridCol w:w="63"/>
        <w:gridCol w:w="150"/>
        <w:gridCol w:w="1055"/>
        <w:gridCol w:w="118"/>
      </w:tblGrid>
      <w:tr>
        <w:trPr/>
        <w:tc>
          <w:tcPr>
            <w:tcW w:w="417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99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June 30, 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 2023</w:t>
            </w:r>
          </w:p>
        </w:tc>
        <w:tc>
          <w:tcPr>
            <w:tcW w:w="118" w:type="dxa"/>
            <w:tcBorders/>
            <w:vAlign w:val="center"/>
          </w:tcPr>
          <w:p>
            <w:pPr>
              <w:pStyle w:val="TableContents"/>
              <w:bidi w:val="0"/>
              <w:spacing w:before="0" w:after="283"/>
              <w:jc w:val="left"/>
              <w:rPr/>
            </w:pPr>
            <w:r>
              <w:rPr/>
              <w:t> </w:t>
            </w:r>
          </w:p>
        </w:tc>
      </w:tr>
      <w:tr>
        <w:trPr/>
        <w:tc>
          <w:tcPr>
            <w:tcW w:w="417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A</w:t>
            </w:r>
          </w:p>
        </w:tc>
        <w:tc>
          <w:tcPr>
            <w:tcW w:w="109"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38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A</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B</w:t>
            </w:r>
          </w:p>
        </w:tc>
        <w:tc>
          <w:tcPr>
            <w:tcW w:w="118" w:type="dxa"/>
            <w:tcBorders/>
            <w:vAlign w:val="center"/>
          </w:tcPr>
          <w:p>
            <w:pPr>
              <w:pStyle w:val="TableContents"/>
              <w:bidi w:val="0"/>
              <w:spacing w:before="0" w:after="283"/>
              <w:jc w:val="left"/>
              <w:rPr/>
            </w:pPr>
            <w:r>
              <w:rPr/>
              <w:t> </w:t>
            </w:r>
          </w:p>
        </w:tc>
      </w:tr>
      <w:tr>
        <w:trPr/>
        <w:tc>
          <w:tcPr>
            <w:tcW w:w="4174" w:type="dxa"/>
            <w:tcBorders/>
            <w:vAlign w:val="center"/>
          </w:tcPr>
          <w:p>
            <w:pPr>
              <w:pStyle w:val="TableContents"/>
              <w:bidi w:val="0"/>
              <w:spacing w:before="0" w:after="283"/>
              <w:jc w:val="left"/>
              <w:rPr/>
            </w:pPr>
            <w:r>
              <w:rPr/>
              <w:t>Basic and diluted net (loss) income per share:</w:t>
            </w:r>
          </w:p>
        </w:tc>
        <w:tc>
          <w:tcPr>
            <w:tcW w:w="60" w:type="dxa"/>
            <w:tcBorders/>
            <w:vAlign w:val="center"/>
          </w:tcPr>
          <w:p>
            <w:pPr>
              <w:pStyle w:val="TableContents"/>
              <w:bidi w:val="0"/>
              <w:spacing w:before="0" w:after="283"/>
              <w:jc w:val="left"/>
              <w:rPr/>
            </w:pPr>
            <w:r>
              <w:rPr/>
              <w:t> </w:t>
            </w:r>
          </w:p>
        </w:tc>
        <w:tc>
          <w:tcPr>
            <w:tcW w:w="1434" w:type="dxa"/>
            <w:gridSpan w:val="2"/>
            <w:tcBorders/>
            <w:vAlign w:val="center"/>
          </w:tcPr>
          <w:p>
            <w:pPr>
              <w:pStyle w:val="TableContents"/>
              <w:bidi w:val="0"/>
              <w:spacing w:before="0" w:after="283"/>
              <w:jc w:val="right"/>
              <w:rPr/>
            </w:pPr>
            <w:r>
              <w:rPr/>
              <w:t> </w:t>
            </w:r>
          </w:p>
        </w:tc>
        <w:tc>
          <w:tcPr>
            <w:tcW w:w="109"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383"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5" w:type="dxa"/>
            <w:gridSpan w:val="2"/>
            <w:tcBorders/>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right"/>
              <w:rPr/>
            </w:pPr>
            <w:r>
              <w:rPr/>
              <w:t> </w:t>
            </w:r>
          </w:p>
        </w:tc>
        <w:tc>
          <w:tcPr>
            <w:tcW w:w="118" w:type="dxa"/>
            <w:tcBorders/>
            <w:vAlign w:val="center"/>
          </w:tcPr>
          <w:p>
            <w:pPr>
              <w:pStyle w:val="TableContents"/>
              <w:bidi w:val="0"/>
              <w:spacing w:before="0" w:after="283"/>
              <w:jc w:val="left"/>
              <w:rPr/>
            </w:pPr>
            <w:r>
              <w:rPr/>
              <w:t> </w:t>
            </w:r>
          </w:p>
        </w:tc>
      </w:tr>
      <w:tr>
        <w:trPr/>
        <w:tc>
          <w:tcPr>
            <w:tcW w:w="4174" w:type="dxa"/>
            <w:tcBorders/>
            <w:vAlign w:val="center"/>
          </w:tcPr>
          <w:p>
            <w:pPr>
              <w:pStyle w:val="TableContents"/>
              <w:bidi w:val="0"/>
              <w:spacing w:before="0" w:after="283"/>
              <w:jc w:val="left"/>
              <w:rPr/>
            </w:pPr>
            <w:r>
              <w:rPr/>
              <w:t>Numerator:</w:t>
            </w:r>
          </w:p>
        </w:tc>
        <w:tc>
          <w:tcPr>
            <w:tcW w:w="60" w:type="dxa"/>
            <w:tcBorders/>
            <w:vAlign w:val="center"/>
          </w:tcPr>
          <w:p>
            <w:pPr>
              <w:pStyle w:val="TableContents"/>
              <w:bidi w:val="0"/>
              <w:spacing w:before="0" w:after="283"/>
              <w:jc w:val="left"/>
              <w:rPr/>
            </w:pPr>
            <w:r>
              <w:rPr/>
              <w:t> </w:t>
            </w:r>
          </w:p>
        </w:tc>
        <w:tc>
          <w:tcPr>
            <w:tcW w:w="1434" w:type="dxa"/>
            <w:gridSpan w:val="2"/>
            <w:tcBorders/>
            <w:vAlign w:val="center"/>
          </w:tcPr>
          <w:p>
            <w:pPr>
              <w:pStyle w:val="TableContents"/>
              <w:bidi w:val="0"/>
              <w:spacing w:before="0" w:after="283"/>
              <w:jc w:val="right"/>
              <w:rPr/>
            </w:pPr>
            <w:r>
              <w:rPr/>
              <w:t> </w:t>
            </w:r>
          </w:p>
        </w:tc>
        <w:tc>
          <w:tcPr>
            <w:tcW w:w="109"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383"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5" w:type="dxa"/>
            <w:gridSpan w:val="2"/>
            <w:tcBorders/>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right"/>
              <w:rPr/>
            </w:pPr>
            <w:r>
              <w:rPr/>
              <w:t> </w:t>
            </w:r>
          </w:p>
        </w:tc>
        <w:tc>
          <w:tcPr>
            <w:tcW w:w="118" w:type="dxa"/>
            <w:tcBorders/>
            <w:vAlign w:val="center"/>
          </w:tcPr>
          <w:p>
            <w:pPr>
              <w:pStyle w:val="TableContents"/>
              <w:bidi w:val="0"/>
              <w:spacing w:before="0" w:after="283"/>
              <w:jc w:val="left"/>
              <w:rPr/>
            </w:pPr>
            <w:r>
              <w:rPr/>
              <w:t> </w:t>
            </w:r>
          </w:p>
        </w:tc>
      </w:tr>
      <w:tr>
        <w:trPr/>
        <w:tc>
          <w:tcPr>
            <w:tcW w:w="4174" w:type="dxa"/>
            <w:tcBorders/>
            <w:shd w:fill="CCEEFF" w:val="clear"/>
            <w:vAlign w:val="center"/>
          </w:tcPr>
          <w:p>
            <w:pPr>
              <w:pStyle w:val="TableContents"/>
              <w:bidi w:val="0"/>
              <w:spacing w:before="0" w:after="283"/>
              <w:jc w:val="both"/>
              <w:rPr/>
            </w:pPr>
            <w:r>
              <w:rPr/>
              <w:t>Allocation of net (loss) income</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73" w:type="dxa"/>
            <w:tcBorders>
              <w:bottom w:val="single" w:sz="12" w:space="0" w:color="000000"/>
            </w:tcBorders>
            <w:shd w:fill="CCEEFF" w:val="clear"/>
            <w:tcMar>
              <w:bottom w:w="28" w:type="dxa"/>
            </w:tcMar>
            <w:vAlign w:val="center"/>
          </w:tcPr>
          <w:p>
            <w:pPr>
              <w:pStyle w:val="TableContents"/>
              <w:bidi w:val="0"/>
              <w:spacing w:before="0" w:after="283"/>
              <w:jc w:val="right"/>
              <w:rPr/>
            </w:pPr>
            <w:r>
              <w:rPr/>
              <w:t>(1,502,733</w:t>
            </w:r>
          </w:p>
        </w:tc>
        <w:tc>
          <w:tcPr>
            <w:tcW w:w="109"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22" w:type="dxa"/>
            <w:tcBorders>
              <w:bottom w:val="single" w:sz="12" w:space="0" w:color="000000"/>
            </w:tcBorders>
            <w:shd w:fill="CCEEFF" w:val="clear"/>
            <w:tcMar>
              <w:bottom w:w="28" w:type="dxa"/>
            </w:tcMar>
            <w:vAlign w:val="center"/>
          </w:tcPr>
          <w:p>
            <w:pPr>
              <w:pStyle w:val="TableContents"/>
              <w:bidi w:val="0"/>
              <w:spacing w:before="0" w:after="283"/>
              <w:jc w:val="right"/>
              <w:rPr/>
            </w:pPr>
            <w:r>
              <w:rPr/>
              <w:t>(1,152,761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(1,704,408</w:t>
            </w:r>
          </w:p>
        </w:tc>
        <w:tc>
          <w:tcPr>
            <w:tcW w:w="101"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(780,931</w:t>
            </w:r>
          </w:p>
        </w:tc>
        <w:tc>
          <w:tcPr>
            <w:tcW w:w="118" w:type="dxa"/>
            <w:tcBorders/>
            <w:shd w:fill="CCEEFF" w:val="clear"/>
            <w:vAlign w:val="center"/>
          </w:tcPr>
          <w:p>
            <w:pPr>
              <w:pStyle w:val="TableContents"/>
              <w:bidi w:val="0"/>
              <w:spacing w:before="0" w:after="283"/>
              <w:jc w:val="left"/>
              <w:rPr/>
            </w:pPr>
            <w:r>
              <w:rPr/>
              <w:t>)</w:t>
            </w:r>
          </w:p>
        </w:tc>
      </w:tr>
      <w:tr>
        <w:trPr/>
        <w:tc>
          <w:tcPr>
            <w:tcW w:w="4174" w:type="dxa"/>
            <w:tcBorders/>
            <w:vAlign w:val="center"/>
          </w:tcPr>
          <w:p>
            <w:pPr>
              <w:pStyle w:val="TableContents"/>
              <w:bidi w:val="0"/>
              <w:spacing w:before="0" w:after="283"/>
              <w:jc w:val="both"/>
              <w:rPr/>
            </w:pPr>
            <w:r>
              <w:rPr/>
              <w:t>Denominator:</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 </w:t>
            </w:r>
          </w:p>
        </w:tc>
        <w:tc>
          <w:tcPr>
            <w:tcW w:w="109"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18" w:type="dxa"/>
            <w:tcBorders/>
            <w:vAlign w:val="center"/>
          </w:tcPr>
          <w:p>
            <w:pPr>
              <w:pStyle w:val="TableContents"/>
              <w:bidi w:val="0"/>
              <w:spacing w:before="0" w:after="283"/>
              <w:jc w:val="left"/>
              <w:rPr/>
            </w:pPr>
            <w:r>
              <w:rPr/>
              <w:t> </w:t>
            </w:r>
          </w:p>
        </w:tc>
      </w:tr>
      <w:tr>
        <w:trPr/>
        <w:tc>
          <w:tcPr>
            <w:tcW w:w="4174" w:type="dxa"/>
            <w:tcBorders/>
            <w:shd w:fill="CCEEFF" w:val="clear"/>
            <w:vAlign w:val="center"/>
          </w:tcPr>
          <w:p>
            <w:pPr>
              <w:pStyle w:val="TableContents"/>
              <w:bidi w:val="0"/>
              <w:spacing w:before="0" w:after="283"/>
              <w:jc w:val="both"/>
              <w:rPr/>
            </w:pPr>
            <w:r>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3" w:type="dxa"/>
            <w:tcBorders>
              <w:bottom w:val="single" w:sz="12" w:space="0" w:color="000000"/>
            </w:tcBorders>
            <w:shd w:fill="CCEEFF" w:val="clear"/>
            <w:tcMar>
              <w:bottom w:w="28" w:type="dxa"/>
            </w:tcMar>
            <w:vAlign w:val="center"/>
          </w:tcPr>
          <w:p>
            <w:pPr>
              <w:pStyle w:val="TableContents"/>
              <w:bidi w:val="0"/>
              <w:spacing w:before="0" w:after="283"/>
              <w:jc w:val="right"/>
              <w:rPr/>
            </w:pPr>
            <w:r>
              <w:rPr/>
              <w:t>11,243,496</w:t>
            </w:r>
          </w:p>
        </w:tc>
        <w:tc>
          <w:tcPr>
            <w:tcW w:w="10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2" w:type="dxa"/>
            <w:tcBorders>
              <w:bottom w:val="single" w:sz="12" w:space="0" w:color="000000"/>
            </w:tcBorders>
            <w:shd w:fill="CCEEFF" w:val="clear"/>
            <w:tcMar>
              <w:bottom w:w="28" w:type="dxa"/>
            </w:tcMar>
            <w:vAlign w:val="center"/>
          </w:tcPr>
          <w:p>
            <w:pPr>
              <w:pStyle w:val="TableContents"/>
              <w:bidi w:val="0"/>
              <w:spacing w:before="0" w:after="283"/>
              <w:jc w:val="right"/>
              <w:rPr/>
            </w:pPr>
            <w:r>
              <w:rPr/>
              <w:t>8,625,000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18,824,345</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8,625,000</w:t>
            </w:r>
          </w:p>
        </w:tc>
        <w:tc>
          <w:tcPr>
            <w:tcW w:w="118" w:type="dxa"/>
            <w:tcBorders/>
            <w:shd w:fill="CCEEFF" w:val="clear"/>
            <w:vAlign w:val="center"/>
          </w:tcPr>
          <w:p>
            <w:pPr>
              <w:pStyle w:val="TableContents"/>
              <w:bidi w:val="0"/>
              <w:spacing w:before="0" w:after="283"/>
              <w:jc w:val="left"/>
              <w:rPr/>
            </w:pPr>
            <w:r>
              <w:rPr/>
              <w:t> </w:t>
            </w:r>
          </w:p>
        </w:tc>
      </w:tr>
      <w:tr>
        <w:trPr/>
        <w:tc>
          <w:tcPr>
            <w:tcW w:w="4174" w:type="dxa"/>
            <w:tcBorders/>
            <w:vAlign w:val="center"/>
          </w:tcPr>
          <w:p>
            <w:pPr>
              <w:pStyle w:val="TableContents"/>
              <w:bidi w:val="0"/>
              <w:spacing w:before="0" w:after="0"/>
              <w:jc w:val="both"/>
              <w:rPr/>
            </w:pPr>
            <w:r>
              <w:rPr/>
              <w:t>Basic and diluted net (loss) income per share</w:t>
            </w:r>
          </w:p>
        </w:tc>
        <w:tc>
          <w:tcPr>
            <w:tcW w:w="60" w:type="dxa"/>
            <w:tcBorders/>
            <w:vAlign w:val="center"/>
          </w:tcPr>
          <w:p>
            <w:pPr>
              <w:pStyle w:val="TableContents"/>
              <w:bidi w:val="0"/>
              <w:spacing w:before="0" w:after="283"/>
              <w:jc w:val="left"/>
              <w:rPr/>
            </w:pPr>
            <w:r>
              <w:rPr/>
              <w:t> </w:t>
            </w:r>
          </w:p>
        </w:tc>
        <w:tc>
          <w:tcPr>
            <w:tcW w:w="161" w:type="dxa"/>
            <w:tcBorders>
              <w:bottom w:val="single" w:sz="12" w:space="0" w:color="000000"/>
            </w:tcBorders>
            <w:tcMar>
              <w:bottom w:w="28" w:type="dxa"/>
            </w:tcMar>
            <w:vAlign w:val="center"/>
          </w:tcPr>
          <w:p>
            <w:pPr>
              <w:pStyle w:val="TableContents"/>
              <w:bidi w:val="0"/>
              <w:spacing w:before="0" w:after="283"/>
              <w:jc w:val="left"/>
              <w:rPr/>
            </w:pPr>
            <w:r>
              <w:rPr/>
              <w:t>$</w:t>
            </w:r>
          </w:p>
        </w:tc>
        <w:tc>
          <w:tcPr>
            <w:tcW w:w="1273" w:type="dxa"/>
            <w:tcBorders>
              <w:bottom w:val="single" w:sz="12" w:space="0" w:color="000000"/>
            </w:tcBorders>
            <w:tcMar>
              <w:bottom w:w="28" w:type="dxa"/>
            </w:tcMar>
            <w:vAlign w:val="center"/>
          </w:tcPr>
          <w:p>
            <w:pPr>
              <w:pStyle w:val="TableContents"/>
              <w:bidi w:val="0"/>
              <w:spacing w:before="0" w:after="283"/>
              <w:jc w:val="right"/>
              <w:rPr/>
            </w:pPr>
            <w:r>
              <w:rPr/>
              <w:t>(0.13</w:t>
            </w:r>
          </w:p>
        </w:tc>
        <w:tc>
          <w:tcPr>
            <w:tcW w:w="109" w:type="dxa"/>
            <w:tcBorders/>
            <w:vAlign w:val="center"/>
          </w:tcPr>
          <w:p>
            <w:pPr>
              <w:pStyle w:val="TableContents"/>
              <w:bidi w:val="0"/>
              <w:spacing w:before="0" w:after="283"/>
              <w:jc w:val="left"/>
              <w:rPr/>
            </w:pPr>
            <w:r>
              <w:rPr/>
              <w:t>)</w:t>
            </w:r>
          </w:p>
        </w:tc>
        <w:tc>
          <w:tcPr>
            <w:tcW w:w="68" w:type="dxa"/>
            <w:tcBorders/>
            <w:vAlign w:val="center"/>
          </w:tcPr>
          <w:p>
            <w:pPr>
              <w:pStyle w:val="TableContents"/>
              <w:bidi w:val="0"/>
              <w:spacing w:before="0" w:after="283"/>
              <w:jc w:val="left"/>
              <w:rPr/>
            </w:pPr>
            <w:r>
              <w:rPr/>
              <w:t> </w:t>
            </w:r>
          </w:p>
        </w:tc>
        <w:tc>
          <w:tcPr>
            <w:tcW w:w="161" w:type="dxa"/>
            <w:tcBorders>
              <w:bottom w:val="single" w:sz="12" w:space="0" w:color="000000"/>
            </w:tcBorders>
            <w:tcMar>
              <w:bottom w:w="28" w:type="dxa"/>
            </w:tcMar>
            <w:vAlign w:val="center"/>
          </w:tcPr>
          <w:p>
            <w:pPr>
              <w:pStyle w:val="TableContents"/>
              <w:bidi w:val="0"/>
              <w:spacing w:before="0" w:after="283"/>
              <w:jc w:val="left"/>
              <w:rPr/>
            </w:pPr>
            <w:r>
              <w:rPr/>
              <w:t>$</w:t>
            </w:r>
          </w:p>
        </w:tc>
        <w:tc>
          <w:tcPr>
            <w:tcW w:w="1222" w:type="dxa"/>
            <w:tcBorders>
              <w:bottom w:val="single" w:sz="12" w:space="0" w:color="000000"/>
            </w:tcBorders>
            <w:tcMar>
              <w:bottom w:w="28" w:type="dxa"/>
            </w:tcMar>
            <w:vAlign w:val="center"/>
          </w:tcPr>
          <w:p>
            <w:pPr>
              <w:pStyle w:val="TableContents"/>
              <w:bidi w:val="0"/>
              <w:spacing w:before="0" w:after="283"/>
              <w:jc w:val="right"/>
              <w:rPr/>
            </w:pPr>
            <w:r>
              <w:rPr/>
              <w:t>(0.13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w:t>
            </w:r>
          </w:p>
        </w:tc>
        <w:tc>
          <w:tcPr>
            <w:tcW w:w="1185" w:type="dxa"/>
            <w:tcBorders>
              <w:bottom w:val="single" w:sz="12" w:space="0" w:color="000000"/>
            </w:tcBorders>
            <w:tcMar>
              <w:bottom w:w="28" w:type="dxa"/>
            </w:tcMar>
            <w:vAlign w:val="center"/>
          </w:tcPr>
          <w:p>
            <w:pPr>
              <w:pStyle w:val="TableContents"/>
              <w:bidi w:val="0"/>
              <w:spacing w:before="0" w:after="283"/>
              <w:jc w:val="right"/>
              <w:rPr/>
            </w:pPr>
            <w:r>
              <w:rPr/>
              <w:t>(0.09</w:t>
            </w:r>
          </w:p>
        </w:tc>
        <w:tc>
          <w:tcPr>
            <w:tcW w:w="101" w:type="dxa"/>
            <w:tcBorders/>
            <w:vAlign w:val="center"/>
          </w:tcPr>
          <w:p>
            <w:pPr>
              <w:pStyle w:val="TableContents"/>
              <w:bidi w:val="0"/>
              <w:spacing w:before="0" w:after="283"/>
              <w:jc w:val="left"/>
              <w:rPr/>
            </w:pPr>
            <w:r>
              <w:rPr/>
              <w:t>)</w:t>
            </w:r>
          </w:p>
        </w:tc>
        <w:tc>
          <w:tcPr>
            <w:tcW w:w="63"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(0.09</w:t>
            </w:r>
          </w:p>
        </w:tc>
        <w:tc>
          <w:tcPr>
            <w:tcW w:w="118"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9729" w:type="dxa"/>
        <w:jc w:val="left"/>
        <w:tblInd w:w="0" w:type="dxa"/>
        <w:tblLayout w:type="fixed"/>
        <w:tblCellMar>
          <w:top w:w="0" w:type="dxa"/>
          <w:left w:w="0" w:type="dxa"/>
          <w:bottom w:w="0" w:type="dxa"/>
          <w:right w:w="0" w:type="dxa"/>
        </w:tblCellMar>
      </w:tblPr>
      <w:tblGrid>
        <w:gridCol w:w="3740"/>
        <w:gridCol w:w="60"/>
        <w:gridCol w:w="170"/>
        <w:gridCol w:w="1339"/>
        <w:gridCol w:w="73"/>
        <w:gridCol w:w="73"/>
        <w:gridCol w:w="170"/>
        <w:gridCol w:w="1193"/>
        <w:gridCol w:w="60"/>
        <w:gridCol w:w="60"/>
        <w:gridCol w:w="153"/>
        <w:gridCol w:w="1206"/>
        <w:gridCol w:w="65"/>
        <w:gridCol w:w="65"/>
        <w:gridCol w:w="153"/>
        <w:gridCol w:w="1074"/>
        <w:gridCol w:w="75"/>
      </w:tblGrid>
      <w:tr>
        <w:trPr/>
        <w:tc>
          <w:tcPr>
            <w:tcW w:w="37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0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June 30, 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 2022</w:t>
            </w:r>
          </w:p>
        </w:tc>
        <w:tc>
          <w:tcPr>
            <w:tcW w:w="75"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A</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A</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B</w:t>
            </w:r>
          </w:p>
        </w:tc>
        <w:tc>
          <w:tcPr>
            <w:tcW w:w="75"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Basic and diluted net income per share:</w:t>
            </w:r>
          </w:p>
        </w:tc>
        <w:tc>
          <w:tcPr>
            <w:tcW w:w="60" w:type="dxa"/>
            <w:tcBorders/>
            <w:vAlign w:val="center"/>
          </w:tcPr>
          <w:p>
            <w:pPr>
              <w:pStyle w:val="TableContents"/>
              <w:bidi w:val="0"/>
              <w:spacing w:before="0" w:after="283"/>
              <w:jc w:val="left"/>
              <w:rPr/>
            </w:pPr>
            <w:r>
              <w:rPr/>
              <w:t> </w:t>
            </w:r>
          </w:p>
        </w:tc>
        <w:tc>
          <w:tcPr>
            <w:tcW w:w="1509" w:type="dxa"/>
            <w:gridSpan w:val="2"/>
            <w:tcBorders/>
            <w:vAlign w:val="center"/>
          </w:tcPr>
          <w:p>
            <w:pPr>
              <w:pStyle w:val="TableContents"/>
              <w:bidi w:val="0"/>
              <w:spacing w:before="0" w:after="283"/>
              <w:jc w:val="righ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63"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9" w:type="dxa"/>
            <w:gridSpan w:val="2"/>
            <w:tcBorders/>
            <w:vAlign w:val="center"/>
          </w:tcPr>
          <w:p>
            <w:pPr>
              <w:pStyle w:val="TableContents"/>
              <w:bidi w:val="0"/>
              <w:spacing w:before="0" w:after="283"/>
              <w:jc w:val="righ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27"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Numerator:</w:t>
            </w:r>
          </w:p>
        </w:tc>
        <w:tc>
          <w:tcPr>
            <w:tcW w:w="60" w:type="dxa"/>
            <w:tcBorders/>
            <w:vAlign w:val="center"/>
          </w:tcPr>
          <w:p>
            <w:pPr>
              <w:pStyle w:val="TableContents"/>
              <w:bidi w:val="0"/>
              <w:spacing w:before="0" w:after="283"/>
              <w:jc w:val="left"/>
              <w:rPr/>
            </w:pPr>
            <w:r>
              <w:rPr/>
              <w:t> </w:t>
            </w:r>
          </w:p>
        </w:tc>
        <w:tc>
          <w:tcPr>
            <w:tcW w:w="1509" w:type="dxa"/>
            <w:gridSpan w:val="2"/>
            <w:tcBorders/>
            <w:vAlign w:val="center"/>
          </w:tcPr>
          <w:p>
            <w:pPr>
              <w:pStyle w:val="TableContents"/>
              <w:bidi w:val="0"/>
              <w:spacing w:before="0" w:after="283"/>
              <w:jc w:val="righ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63"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9" w:type="dxa"/>
            <w:gridSpan w:val="2"/>
            <w:tcBorders/>
            <w:vAlign w:val="center"/>
          </w:tcPr>
          <w:p>
            <w:pPr>
              <w:pStyle w:val="TableContents"/>
              <w:bidi w:val="0"/>
              <w:spacing w:before="0" w:after="283"/>
              <w:jc w:val="righ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27"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both"/>
              <w:rPr/>
            </w:pPr>
            <w:r>
              <w:rPr/>
              <w:t>Allocation of net income</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39" w:type="dxa"/>
            <w:tcBorders>
              <w:bottom w:val="single" w:sz="12" w:space="0" w:color="000000"/>
            </w:tcBorders>
            <w:shd w:fill="CCEEFF" w:val="clear"/>
            <w:tcMar>
              <w:bottom w:w="28" w:type="dxa"/>
            </w:tcMar>
            <w:vAlign w:val="center"/>
          </w:tcPr>
          <w:p>
            <w:pPr>
              <w:pStyle w:val="TableContents"/>
              <w:bidi w:val="0"/>
              <w:spacing w:before="0" w:after="283"/>
              <w:jc w:val="right"/>
              <w:rPr/>
            </w:pPr>
            <w:r>
              <w:rPr/>
              <w:t>1,620,789</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93" w:type="dxa"/>
            <w:tcBorders>
              <w:bottom w:val="single" w:sz="12" w:space="0" w:color="000000"/>
            </w:tcBorders>
            <w:shd w:fill="CCEEFF" w:val="clear"/>
            <w:tcMar>
              <w:bottom w:w="28" w:type="dxa"/>
            </w:tcMar>
            <w:vAlign w:val="center"/>
          </w:tcPr>
          <w:p>
            <w:pPr>
              <w:pStyle w:val="TableContents"/>
              <w:bidi w:val="0"/>
              <w:spacing w:before="0" w:after="283"/>
              <w:jc w:val="right"/>
              <w:rPr/>
            </w:pPr>
            <w:r>
              <w:rPr/>
              <w:t>405,197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06" w:type="dxa"/>
            <w:tcBorders>
              <w:bottom w:val="single" w:sz="12" w:space="0" w:color="000000"/>
            </w:tcBorders>
            <w:shd w:fill="CCEEFF" w:val="clear"/>
            <w:tcMar>
              <w:bottom w:w="28" w:type="dxa"/>
            </w:tcMar>
            <w:vAlign w:val="center"/>
          </w:tcPr>
          <w:p>
            <w:pPr>
              <w:pStyle w:val="TableContents"/>
              <w:bidi w:val="0"/>
              <w:spacing w:before="0" w:after="283"/>
              <w:jc w:val="right"/>
              <w:rPr/>
            </w:pPr>
            <w:r>
              <w:rPr/>
              <w:t>2,657,013</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74" w:type="dxa"/>
            <w:tcBorders>
              <w:bottom w:val="single" w:sz="12" w:space="0" w:color="000000"/>
            </w:tcBorders>
            <w:shd w:fill="CCEEFF" w:val="clear"/>
            <w:tcMar>
              <w:bottom w:w="28" w:type="dxa"/>
            </w:tcMar>
            <w:vAlign w:val="center"/>
          </w:tcPr>
          <w:p>
            <w:pPr>
              <w:pStyle w:val="TableContents"/>
              <w:bidi w:val="0"/>
              <w:spacing w:before="0" w:after="283"/>
              <w:jc w:val="right"/>
              <w:rPr/>
            </w:pPr>
            <w:r>
              <w:rPr/>
              <w:t>664,253</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both"/>
              <w:rPr/>
            </w:pPr>
            <w:r>
              <w:rPr/>
              <w:t>Denominator:</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283"/>
              <w:jc w:val="righ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206" w:type="dxa"/>
            <w:tcBorders/>
            <w:vAlign w:val="center"/>
          </w:tcPr>
          <w:p>
            <w:pPr>
              <w:pStyle w:val="TableContents"/>
              <w:bidi w:val="0"/>
              <w:spacing w:before="0" w:after="283"/>
              <w:jc w:val="righ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both"/>
              <w:rPr/>
            </w:pPr>
            <w:r>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CCEEFF" w:val="clear"/>
            <w:tcMar>
              <w:bottom w:w="28" w:type="dxa"/>
            </w:tcMar>
            <w:vAlign w:val="center"/>
          </w:tcPr>
          <w:p>
            <w:pPr>
              <w:pStyle w:val="TableContents"/>
              <w:bidi w:val="0"/>
              <w:spacing w:before="0" w:after="283"/>
              <w:jc w:val="right"/>
              <w:rPr/>
            </w:pPr>
            <w:r>
              <w:rPr/>
              <w:t>34,500,000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12" w:space="0" w:color="000000"/>
            </w:tcBorders>
            <w:shd w:fill="CCEEFF" w:val="clear"/>
            <w:tcMar>
              <w:bottom w:w="28" w:type="dxa"/>
            </w:tcMar>
            <w:vAlign w:val="center"/>
          </w:tcPr>
          <w:p>
            <w:pPr>
              <w:pStyle w:val="TableContents"/>
              <w:bidi w:val="0"/>
              <w:spacing w:before="0" w:after="283"/>
              <w:jc w:val="right"/>
              <w:rPr/>
            </w:pPr>
            <w:r>
              <w:rPr/>
              <w:t>8,625,000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6" w:type="dxa"/>
            <w:tcBorders>
              <w:bottom w:val="single" w:sz="12" w:space="0" w:color="000000"/>
            </w:tcBorders>
            <w:shd w:fill="CCEEFF" w:val="clear"/>
            <w:tcMar>
              <w:bottom w:w="28" w:type="dxa"/>
            </w:tcMar>
            <w:vAlign w:val="center"/>
          </w:tcPr>
          <w:p>
            <w:pPr>
              <w:pStyle w:val="TableContents"/>
              <w:bidi w:val="0"/>
              <w:spacing w:before="0" w:after="283"/>
              <w:jc w:val="right"/>
              <w:rPr/>
            </w:pPr>
            <w:r>
              <w:rPr/>
              <w:t>34,500,000</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center"/>
          </w:tcPr>
          <w:p>
            <w:pPr>
              <w:pStyle w:val="TableContents"/>
              <w:bidi w:val="0"/>
              <w:spacing w:before="0" w:after="283"/>
              <w:jc w:val="right"/>
              <w:rPr/>
            </w:pPr>
            <w:r>
              <w:rPr/>
              <w:t>8,625,000</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0"/>
              <w:jc w:val="both"/>
              <w:rPr/>
            </w:pPr>
            <w:r>
              <w:rPr/>
              <w:t>Basic and diluted net income per share</w:t>
            </w:r>
          </w:p>
        </w:tc>
        <w:tc>
          <w:tcPr>
            <w:tcW w:w="6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339" w:type="dxa"/>
            <w:tcBorders>
              <w:bottom w:val="single" w:sz="12" w:space="0" w:color="000000"/>
            </w:tcBorders>
            <w:tcMar>
              <w:bottom w:w="28" w:type="dxa"/>
            </w:tcMar>
            <w:vAlign w:val="center"/>
          </w:tcPr>
          <w:p>
            <w:pPr>
              <w:pStyle w:val="TableContents"/>
              <w:bidi w:val="0"/>
              <w:spacing w:before="0" w:after="283"/>
              <w:jc w:val="right"/>
              <w:rPr/>
            </w:pPr>
            <w:r>
              <w:rPr/>
              <w:t>0.05</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93" w:type="dxa"/>
            <w:tcBorders>
              <w:bottom w:val="single" w:sz="12" w:space="0" w:color="000000"/>
            </w:tcBorders>
            <w:tcMar>
              <w:bottom w:w="28" w:type="dxa"/>
            </w:tcMar>
            <w:vAlign w:val="center"/>
          </w:tcPr>
          <w:p>
            <w:pPr>
              <w:pStyle w:val="TableContents"/>
              <w:bidi w:val="0"/>
              <w:spacing w:before="0" w:after="283"/>
              <w:jc w:val="right"/>
              <w:rPr/>
            </w:pPr>
            <w:r>
              <w:rPr/>
              <w:t>0.05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bottom w:val="single" w:sz="12" w:space="0" w:color="000000"/>
            </w:tcBorders>
            <w:tcMar>
              <w:bottom w:w="28" w:type="dxa"/>
            </w:tcMar>
            <w:vAlign w:val="center"/>
          </w:tcPr>
          <w:p>
            <w:pPr>
              <w:pStyle w:val="TableContents"/>
              <w:bidi w:val="0"/>
              <w:spacing w:before="0" w:after="283"/>
              <w:jc w:val="left"/>
              <w:rPr/>
            </w:pPr>
            <w:r>
              <w:rPr/>
              <w:t>$</w:t>
            </w:r>
          </w:p>
        </w:tc>
        <w:tc>
          <w:tcPr>
            <w:tcW w:w="1206" w:type="dxa"/>
            <w:tcBorders>
              <w:bottom w:val="single" w:sz="12" w:space="0" w:color="000000"/>
            </w:tcBorders>
            <w:tcMar>
              <w:bottom w:w="28" w:type="dxa"/>
            </w:tcMar>
            <w:vAlign w:val="center"/>
          </w:tcPr>
          <w:p>
            <w:pPr>
              <w:pStyle w:val="TableContents"/>
              <w:bidi w:val="0"/>
              <w:spacing w:before="0" w:after="283"/>
              <w:jc w:val="right"/>
              <w:rPr/>
            </w:pPr>
            <w:r>
              <w:rPr/>
              <w:t>0.08</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3" w:type="dxa"/>
            <w:tcBorders>
              <w:bottom w:val="single" w:sz="12" w:space="0" w:color="000000"/>
            </w:tcBorders>
            <w:tcMar>
              <w:bottom w:w="28" w:type="dxa"/>
            </w:tcMar>
            <w:vAlign w:val="center"/>
          </w:tcPr>
          <w:p>
            <w:pPr>
              <w:pStyle w:val="TableContents"/>
              <w:bidi w:val="0"/>
              <w:spacing w:before="0" w:after="283"/>
              <w:jc w:val="left"/>
              <w:rPr/>
            </w:pPr>
            <w:r>
              <w:rPr/>
              <w:t>$</w:t>
            </w:r>
          </w:p>
        </w:tc>
        <w:tc>
          <w:tcPr>
            <w:tcW w:w="1074" w:type="dxa"/>
            <w:tcBorders>
              <w:bottom w:val="single" w:sz="12" w:space="0" w:color="000000"/>
            </w:tcBorders>
            <w:tcMar>
              <w:bottom w:w="28" w:type="dxa"/>
            </w:tcMar>
            <w:vAlign w:val="center"/>
          </w:tcPr>
          <w:p>
            <w:pPr>
              <w:pStyle w:val="TableContents"/>
              <w:bidi w:val="0"/>
              <w:spacing w:before="0" w:after="283"/>
              <w:jc w:val="right"/>
              <w:rPr/>
            </w:pPr>
            <w:r>
              <w:rPr/>
              <w:t>0.08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Offering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the requirements of the ASC 340-10-S99-1 and SEC Staff Accounting Bulletin (“SAB”) Topic 5A - “Expenses of Offering”. Offering costs consist principally of professional and registration fees incurred through the balance sheet date that are related to the Public Offering and that were charged to temporary equity upon the completion of the IPO. Accordingly, on December 31, 2022, offering costs totaling $19,175,922 have been charged to temporary equity (consisting of $6,405,000 of underwriting fees, $12,075,000 of deferred underwriting fees and $695,922 of other offering costs). Of the total transaction cost, $575,278 was recorded as a non-operating expense in the consolidated statements of operations, with the rest of the offering cost charged to temporary equity. The transaction costs were allocated based on the relative fair value basis, compared to the total offering proceeds, between the fair value of the public warrant liabilities and the Class A ordinary shares. As of October 25, 2022, and November 2, 2022, respectively, J.P. Morgan Securities LLC and Deutsche Bank Securities Inc. have waived their portions of the deferred underwriting fee which is reflected in the consolidated statement of operations and the consolidated statement of change in shareholders’ deficit as a reduction of transaction costs incurred in connection with the IPO. Therefore, the deferred underwriting fee was reduced by $9,056,250, of which $271,687 is shown in the consolidated statement of operations as a reduction of transaction costs incurred in connection with the IPO and $8,784,563 is charged to additional paid-in capital in the consolidated statement of change in shareholders’ deficit. As a result of the reductions, the outstanding deferred underwriting fee payable was reduced to $3,018,750.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Financial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assets and liabilities, which qualify as financial instruments under the Financial Accounting Standards Board (“FASB”) ASC 820, “Fair Value Measurements,” approximates the carrying amounts represented in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Derivative Warrant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use derivative instruments to hedge exposures to cash flow, market, or foreign currency risks. The Company evaluates all of its financial instruments, including issued share purchase warrants, to determine if such instruments are derivatives or contain features that qualify as embedded derivatives, pursuant to ASC 480 and ASC 815-15. The classification of derivative instruments, including whether such instruments should be recorded as liabilities or as equity, is re-assessed at the end of each reporting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its 14,891,667 ordinary shares warrants issued in connection with its Initial Public Offering (8,625,000) and Private Placement (6,266,667) as derivative warrant liabilities in accordance with ASC 815-40. Accordingly, the Company recognizes the warrant instruments as liabilities at fair value and adjusts the instruments to fair value at each reporting period. The liabilities are subject to re-measurement at each balance sheet date until exercised, and any change in fair value is recognized in the Company’s consolidated statements of operations. The fair value of the Private Placement Warrants has been estimated using Monte Carlo simulations at each measurement date. The fair value of the Public Warrants was initially estimated using Monte Carlo simulations. After the Public Warrants were separately traded, the measurement of the Public Warrants used an observable market quote in an active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June 30, 2023 and December 31, 2022. The Company is currently not aware of any issues under review that could result in significant payments, accruals or material deviation from its position. The Company is subject to income tax examinations by major taxing authorities since inception.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currently no taxation imposed on income by the Government of the Cayman Islands. In accordance with federal income tax regulations, income taxes are not levied on the Company, but rather on the individual owners. United States (“U.S.”) taxation would occur on the individual owners if certain tax elections are made by U.S. owners and the Company were treated as a passive foreign investment company. The Company believes that it was a passive foreign investment company for the 2023 and 2022 taxable years. Additionally, U.S. taxation could occur to the Company itself if the Company is engaged in a U.S. trade or business. The Company is not expected to be treated as engaged in a U.S. trade or business at this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Standards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2020, the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2024 and should be applied on a full or modified retrospective basis, with early adoption permitted beginning on January 1, 2021. The guidance was adopted starting January 1, 2022. Adoption of the ASU did not impact the Company’s financial position, results of operations or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2016, the FASB issued ASU 2016-13 “Financial Instruments – Credit Losses (Topic 326): Measurement of Credit Losses on Financial Instruments” (“ASU 2016-13”)</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This update requires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 Since June 2016, the FASB issued clarifying updates to the new standard including changing the effective date for smaller reporting companies. The guidance is effective for fiscal years beginning after December 15, 2022, and interim periods within those fiscal years, with early adoption permitted. The Company adopted ASU 2016-13 on January 1, 2023. The adoption of ASU 2016-13 did not have a material impact on its condensed consolidated financial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believe that any recently issued, but not effective, accounting standards, if currently adopted, would have a material effect on the Company’s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Initial Public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Initial Public Offering, the Company sold 34,500,000 Units, (at a price of $10.00 per Unit. Each Unit consists of one share of Class A Ordinary shares, par value $0.0001 per share one-fourth of one redeemable warrant (“Public Warrant”). Each whole Public Warrant entitles the holder to purchase one share of Class A Ordinary shares at a price of $11.50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34,500,000 Class A ordinary share sold as part of the Units in the IPO contain a redemption feature which allows for the redemption of such public shares in connection with the Company’s liquidation, if there is a shareholder vote or tender offer in connection with the Business Combination and in connection with certain amendments to the Company’s certificate of incorporation. In accordance with SEC and its staff’s guidance on redeemable equity instruments, which has been codified in ASC 480-10-S99, redemption provisions not solely within the control of the Company require ordinary shares subject to redemption to be classified outside of permanent equity.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 is subject to SEC and its staff’s guidance on redeemable equity instruments, which has been codified in ASC 480-10-S99. If it is probable that the equity instrument will become redeemable, the Company has the option to either accrete changes in the redemption value over the period from the date of issuance (or from the date that it becomes probable that the instrument will become redeemable, if later) to the earliest redemption date of the instrument or to recognize changes in the redemption value immediately as they occur and adjust the carrying amount of the instrument to equal the redemption value at the end of each reporting period. The Company recognizes changes in redemption value immediately as they occur. Immediately upon the closing of the IPO, the Company recognized the remeasurement from initial book value to redemption amount value. The change in the carrying value of redeemable ordinary shares resulted in charges against additional paid-in capital and accumulated deficit.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2023 and December 31, 2022, the ordinary share reflected on the condensed consolidated balance sheets are reconciled in the following table:</w:t>
      </w:r>
    </w:p>
    <w:p>
      <w:pPr>
        <w:pStyle w:val="TextBody"/>
        <w:bidi w:val="0"/>
        <w:spacing w:before="0" w:after="0"/>
        <w:ind w:left="0" w:right="0" w:firstLine="360"/>
        <w:jc w:val="both"/>
        <w:rPr>
          <w:caps w:val="false"/>
          <w:smallCaps w:val="false"/>
        </w:rPr>
      </w:pPr>
      <w:r>
        <w:rPr>
          <w:caps w:val="false"/>
          <w:smallCaps w:val="false"/>
        </w:rPr>
        <w:t> </w:t>
      </w:r>
    </w:p>
    <w:tbl>
      <w:tblPr>
        <w:tblW w:w="8375" w:type="dxa"/>
        <w:jc w:val="left"/>
        <w:tblInd w:w="0" w:type="dxa"/>
        <w:tblLayout w:type="fixed"/>
        <w:tblCellMar>
          <w:top w:w="0" w:type="dxa"/>
          <w:left w:w="0" w:type="dxa"/>
          <w:bottom w:w="0" w:type="dxa"/>
          <w:right w:w="0" w:type="dxa"/>
        </w:tblCellMar>
      </w:tblPr>
      <w:tblGrid>
        <w:gridCol w:w="6770"/>
        <w:gridCol w:w="60"/>
        <w:gridCol w:w="140"/>
        <w:gridCol w:w="1295"/>
        <w:gridCol w:w="110"/>
      </w:tblGrid>
      <w:tr>
        <w:trPr/>
        <w:tc>
          <w:tcPr>
            <w:tcW w:w="6770" w:type="dxa"/>
            <w:tcBorders/>
            <w:shd w:fill="CCEEFF" w:val="clear"/>
            <w:vAlign w:val="center"/>
          </w:tcPr>
          <w:p>
            <w:pPr>
              <w:pStyle w:val="TableContents"/>
              <w:bidi w:val="0"/>
              <w:spacing w:before="0" w:after="283"/>
              <w:jc w:val="left"/>
              <w:rPr/>
            </w:pPr>
            <w:r>
              <w:rPr/>
              <w:t>Gross proceeds from IPO</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345,000,000</w:t>
            </w:r>
          </w:p>
        </w:tc>
        <w:tc>
          <w:tcPr>
            <w:tcW w:w="110" w:type="dxa"/>
            <w:tcBorders/>
            <w:shd w:fill="CCEEFF" w:val="clear"/>
            <w:vAlign w:val="center"/>
          </w:tcPr>
          <w:p>
            <w:pPr>
              <w:pStyle w:val="TableContents"/>
              <w:bidi w:val="0"/>
              <w:spacing w:before="0" w:after="283"/>
              <w:ind w:left="0" w:right="0" w:hanging="151"/>
              <w:jc w:val="left"/>
              <w:rPr/>
            </w:pPr>
            <w:r>
              <w:rPr/>
              <w:t> </w:t>
            </w:r>
          </w:p>
        </w:tc>
      </w:tr>
      <w:tr>
        <w:trPr/>
        <w:tc>
          <w:tcPr>
            <w:tcW w:w="6770" w:type="dxa"/>
            <w:tcBorders/>
            <w:vAlign w:val="center"/>
          </w:tcPr>
          <w:p>
            <w:pPr>
              <w:pStyle w:val="TableContents"/>
              <w:bidi w:val="0"/>
              <w:spacing w:before="0" w:after="283"/>
              <w:jc w:val="left"/>
              <w:rPr/>
            </w:pPr>
            <w:r>
              <w:rPr/>
              <w:t>Less: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51"/>
              <w:jc w:val="left"/>
              <w:rPr/>
            </w:pPr>
            <w:r>
              <w:rPr/>
              <w:t> </w:t>
            </w:r>
          </w:p>
        </w:tc>
      </w:tr>
      <w:tr>
        <w:trPr/>
        <w:tc>
          <w:tcPr>
            <w:tcW w:w="6770" w:type="dxa"/>
            <w:tcBorders/>
            <w:shd w:fill="CCEEFF" w:val="clear"/>
            <w:vAlign w:val="center"/>
          </w:tcPr>
          <w:p>
            <w:pPr>
              <w:pStyle w:val="TableContents"/>
              <w:bidi w:val="0"/>
              <w:spacing w:before="0" w:after="283"/>
              <w:jc w:val="left"/>
              <w:rPr/>
            </w:pPr>
            <w:r>
              <w:rPr/>
              <w:t>Proceeds allocated to Public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(10,350,000</w:t>
            </w:r>
          </w:p>
        </w:tc>
        <w:tc>
          <w:tcPr>
            <w:tcW w:w="110" w:type="dxa"/>
            <w:tcBorders/>
            <w:shd w:fill="CCEEFF" w:val="clear"/>
            <w:vAlign w:val="center"/>
          </w:tcPr>
          <w:p>
            <w:pPr>
              <w:pStyle w:val="TableContents"/>
              <w:bidi w:val="0"/>
              <w:spacing w:before="0" w:after="283"/>
              <w:ind w:left="0" w:right="0" w:hanging="141"/>
              <w:jc w:val="left"/>
              <w:rPr/>
            </w:pPr>
            <w:r>
              <w:rPr/>
              <w:t>)</w:t>
            </w:r>
          </w:p>
        </w:tc>
      </w:tr>
      <w:tr>
        <w:trPr/>
        <w:tc>
          <w:tcPr>
            <w:tcW w:w="6770" w:type="dxa"/>
            <w:tcBorders/>
            <w:vAlign w:val="center"/>
          </w:tcPr>
          <w:p>
            <w:pPr>
              <w:pStyle w:val="TableContents"/>
              <w:bidi w:val="0"/>
              <w:spacing w:before="0" w:after="283"/>
              <w:jc w:val="left"/>
              <w:rPr/>
            </w:pPr>
            <w:r>
              <w:rPr/>
              <w:t>Ordinary share issuance costs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(18,600,644</w:t>
            </w:r>
          </w:p>
        </w:tc>
        <w:tc>
          <w:tcPr>
            <w:tcW w:w="110" w:type="dxa"/>
            <w:tcBorders/>
            <w:vAlign w:val="center"/>
          </w:tcPr>
          <w:p>
            <w:pPr>
              <w:pStyle w:val="TableContents"/>
              <w:bidi w:val="0"/>
              <w:spacing w:before="0" w:after="283"/>
              <w:ind w:left="0" w:right="0" w:hanging="151"/>
              <w:jc w:val="left"/>
              <w:rPr/>
            </w:pPr>
            <w:r>
              <w:rPr/>
              <w:t>)</w:t>
            </w:r>
          </w:p>
        </w:tc>
      </w:tr>
      <w:tr>
        <w:trPr/>
        <w:tc>
          <w:tcPr>
            <w:tcW w:w="6770" w:type="dxa"/>
            <w:tcBorders/>
            <w:shd w:fill="CCEEFF" w:val="clear"/>
            <w:vAlign w:val="center"/>
          </w:tcPr>
          <w:p>
            <w:pPr>
              <w:pStyle w:val="TableContents"/>
              <w:bidi w:val="0"/>
              <w:spacing w:before="0" w:after="283"/>
              <w:jc w:val="left"/>
              <w:rPr/>
            </w:pPr>
            <w:r>
              <w:rPr/>
              <w:t>Plus: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41"/>
              <w:jc w:val="left"/>
              <w:rPr/>
            </w:pPr>
            <w:r>
              <w:rPr/>
              <w:t> </w:t>
            </w:r>
          </w:p>
        </w:tc>
      </w:tr>
      <w:tr>
        <w:trPr/>
        <w:tc>
          <w:tcPr>
            <w:tcW w:w="6770" w:type="dxa"/>
            <w:tcBorders/>
            <w:vAlign w:val="center"/>
          </w:tcPr>
          <w:p>
            <w:pPr>
              <w:pStyle w:val="TableContents"/>
              <w:bidi w:val="0"/>
              <w:spacing w:before="0" w:after="283"/>
              <w:jc w:val="left"/>
              <w:rPr/>
            </w:pPr>
            <w:r>
              <w:rPr/>
              <w:t>Accretion of carrying value to redemption value</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right"/>
              <w:rPr/>
            </w:pPr>
            <w:r>
              <w:rPr/>
              <w:t>33,877,957</w:t>
            </w:r>
          </w:p>
        </w:tc>
        <w:tc>
          <w:tcPr>
            <w:tcW w:w="110" w:type="dxa"/>
            <w:tcBorders/>
            <w:vAlign w:val="center"/>
          </w:tcPr>
          <w:p>
            <w:pPr>
              <w:pStyle w:val="TableContents"/>
              <w:bidi w:val="0"/>
              <w:spacing w:before="0" w:after="283"/>
              <w:ind w:left="0" w:right="0" w:hanging="151"/>
              <w:jc w:val="left"/>
              <w:rPr/>
            </w:pPr>
            <w:r>
              <w:rPr/>
              <w:t> </w:t>
            </w:r>
          </w:p>
        </w:tc>
      </w:tr>
      <w:tr>
        <w:trPr/>
        <w:tc>
          <w:tcPr>
            <w:tcW w:w="6770" w:type="dxa"/>
            <w:tcBorders/>
            <w:shd w:fill="CCEEFF" w:val="clear"/>
            <w:vAlign w:val="center"/>
          </w:tcPr>
          <w:p>
            <w:pPr>
              <w:pStyle w:val="TableContents"/>
              <w:bidi w:val="0"/>
              <w:spacing w:before="0" w:after="283"/>
              <w:jc w:val="left"/>
              <w:rPr>
                <w:b/>
              </w:rPr>
            </w:pPr>
            <w:r>
              <w:rPr>
                <w:b/>
              </w:rPr>
              <w:t>Contingently redeemable ordinary shares as of December 31, 2022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349,927,313</w:t>
            </w:r>
          </w:p>
        </w:tc>
        <w:tc>
          <w:tcPr>
            <w:tcW w:w="110" w:type="dxa"/>
            <w:tcBorders/>
            <w:shd w:fill="CCEEFF" w:val="clear"/>
            <w:vAlign w:val="center"/>
          </w:tcPr>
          <w:p>
            <w:pPr>
              <w:pStyle w:val="TableContents"/>
              <w:bidi w:val="0"/>
              <w:spacing w:before="0" w:after="283"/>
              <w:ind w:left="0" w:right="0" w:hanging="151"/>
              <w:jc w:val="left"/>
              <w:rPr/>
            </w:pPr>
            <w:r>
              <w:rPr/>
              <w:t> </w:t>
            </w:r>
          </w:p>
        </w:tc>
      </w:tr>
      <w:tr>
        <w:trPr/>
        <w:tc>
          <w:tcPr>
            <w:tcW w:w="6770" w:type="dxa"/>
            <w:tcBorders/>
            <w:vAlign w:val="center"/>
          </w:tcPr>
          <w:p>
            <w:pPr>
              <w:pStyle w:val="TableContents"/>
              <w:bidi w:val="0"/>
              <w:spacing w:before="0" w:after="283"/>
              <w:jc w:val="left"/>
              <w:rPr/>
            </w:pPr>
            <w:r>
              <w:rPr/>
              <w:t>Less: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41"/>
              <w:jc w:val="left"/>
              <w:rPr/>
            </w:pPr>
            <w:r>
              <w:rPr/>
              <w:t> </w:t>
            </w:r>
          </w:p>
        </w:tc>
      </w:tr>
      <w:tr>
        <w:trPr/>
        <w:tc>
          <w:tcPr>
            <w:tcW w:w="6770" w:type="dxa"/>
            <w:tcBorders/>
            <w:shd w:fill="CCEEFF" w:val="clear"/>
            <w:vAlign w:val="center"/>
          </w:tcPr>
          <w:p>
            <w:pPr>
              <w:pStyle w:val="TableContents"/>
              <w:bidi w:val="0"/>
              <w:spacing w:before="0" w:after="283"/>
              <w:jc w:val="left"/>
              <w:rPr/>
            </w:pPr>
            <w:r>
              <w:rPr/>
              <w:t>Redemptions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(237,372,952</w:t>
            </w:r>
          </w:p>
        </w:tc>
        <w:tc>
          <w:tcPr>
            <w:tcW w:w="110" w:type="dxa"/>
            <w:tcBorders/>
            <w:shd w:fill="CCEEFF" w:val="clear"/>
            <w:vAlign w:val="center"/>
          </w:tcPr>
          <w:p>
            <w:pPr>
              <w:pStyle w:val="TableContents"/>
              <w:bidi w:val="0"/>
              <w:spacing w:before="0" w:after="283"/>
              <w:ind w:left="0" w:right="0" w:hanging="151"/>
              <w:jc w:val="left"/>
              <w:rPr/>
            </w:pPr>
            <w:r>
              <w:rPr/>
              <w:t>)</w:t>
            </w:r>
          </w:p>
        </w:tc>
      </w:tr>
      <w:tr>
        <w:trPr/>
        <w:tc>
          <w:tcPr>
            <w:tcW w:w="6770" w:type="dxa"/>
            <w:tcBorders/>
            <w:vAlign w:val="center"/>
          </w:tcPr>
          <w:p>
            <w:pPr>
              <w:pStyle w:val="TableContents"/>
              <w:bidi w:val="0"/>
              <w:spacing w:before="0" w:after="283"/>
              <w:jc w:val="left"/>
              <w:rPr/>
            </w:pPr>
            <w:r>
              <w:rPr/>
              <w:t>Plus: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41"/>
              <w:jc w:val="left"/>
              <w:rPr/>
            </w:pPr>
            <w:r>
              <w:rPr/>
              <w:t> </w:t>
            </w:r>
          </w:p>
        </w:tc>
      </w:tr>
      <w:tr>
        <w:trPr/>
        <w:tc>
          <w:tcPr>
            <w:tcW w:w="6770" w:type="dxa"/>
            <w:tcBorders/>
            <w:shd w:fill="CCEEFF" w:val="clear"/>
            <w:vAlign w:val="center"/>
          </w:tcPr>
          <w:p>
            <w:pPr>
              <w:pStyle w:val="TableContents"/>
              <w:bidi w:val="0"/>
              <w:spacing w:before="0" w:after="283"/>
              <w:jc w:val="left"/>
              <w:rPr/>
            </w:pPr>
            <w:r>
              <w:rPr/>
              <w:t>Accretion of carrying value to redemption value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5,825,267</w:t>
            </w:r>
          </w:p>
        </w:tc>
        <w:tc>
          <w:tcPr>
            <w:tcW w:w="110" w:type="dxa"/>
            <w:tcBorders/>
            <w:shd w:fill="CCEEFF" w:val="clear"/>
            <w:vAlign w:val="center"/>
          </w:tcPr>
          <w:p>
            <w:pPr>
              <w:pStyle w:val="TableContents"/>
              <w:bidi w:val="0"/>
              <w:spacing w:before="0" w:after="283"/>
              <w:ind w:left="0" w:right="0" w:hanging="151"/>
              <w:jc w:val="left"/>
              <w:rPr/>
            </w:pPr>
            <w:r>
              <w:rPr/>
              <w:t> </w:t>
            </w:r>
          </w:p>
        </w:tc>
      </w:tr>
      <w:tr>
        <w:trPr/>
        <w:tc>
          <w:tcPr>
            <w:tcW w:w="6770" w:type="dxa"/>
            <w:tcBorders/>
            <w:vAlign w:val="center"/>
          </w:tcPr>
          <w:p>
            <w:pPr>
              <w:pStyle w:val="TableContents"/>
              <w:bidi w:val="0"/>
              <w:spacing w:before="0" w:after="283"/>
              <w:jc w:val="left"/>
              <w:rPr>
                <w:b/>
              </w:rPr>
            </w:pPr>
            <w:r>
              <w:rPr>
                <w:b/>
              </w:rPr>
              <w:t>Contingently redeemable ordinary shares as of June 30, 2023</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tcMar>
              <w:bottom w:w="28" w:type="dxa"/>
            </w:tcMar>
            <w:vAlign w:val="center"/>
          </w:tcPr>
          <w:p>
            <w:pPr>
              <w:pStyle w:val="TableContents"/>
              <w:bidi w:val="0"/>
              <w:spacing w:before="0" w:after="283"/>
              <w:jc w:val="right"/>
              <w:rPr/>
            </w:pPr>
            <w:r>
              <w:rPr/>
              <w:t>118,379,628</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Private Placement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closing of the IPO, the Sponsor purchased an aggregate of 6,266,667 Private Placement Warrants at a price of $1.50 per warrant ($9,400,000 in the aggregate), each Private Placement Warrant is exercisable to purchase one share of Class A ordinary shares at a price of $11.50 per share. A portion of the purchase price of the Private Placement Warrants was added to the proceeds from our Initial Public Offering to be held in the Trust Account.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Warrants are identical to the warrants sold in the IPO except that the Private Placement Warrants, so long as they are held by the Sponsor or its permitted transferees, (i) will not be redeemable by the Company, (ii) may not (including the Class A ordinary shares issuable upon exercise of these warrants), subject to certain limited exceptions, be transferred, assigned or sold by the holders until 30 days after the completion of the initial Business Combination, (iii) may be exercised by the holders on a cashless basis and (iv) will be entitled to 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Founder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2020, the Sponsor paid $25,000, or approximately $0.003 per share, to cover certain offering costs in consideration for 7,187,500 Class B ordinary shares, par value $0.0001 per share (the “Founder Shares”). On February 25, 2021, the Company effected a share dividend whereby the Company issued 1,437,500 Class B ordinary shares, resulting in an aggregate of 8,625,000 Class B ordinary shares outstanding. All share and per-share amounts have been retroactively restated to reflect the share dividend.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initial shareholders have agreed not to transfer, assign or sell any of their Founder Shares and any Class A ordinary shares issuable upon conversion thereof until the earlier to occur of: (i) one year after the completion of the initial Business Combination or (ii) the date on which the Company completes a liquidation, merger, share exchange or other similar transaction after the initial Business Combination that results in all of its shareholders having the right to exchange their Class A ordinary shares for cash, securities or other property; except to certain permitted transferees and under certain circumstances (the “Lock-up”). Any permitted transferees will be subject to the same restrictions and other agreements of the initial shareholders with respect to any Founder Shares. Notwithstanding the foregoing, if (1) the closing price of the Company’s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(2) if the Company consummates a transaction after the initial Business Combination which results in its shareholders having the right to exchange their shares for cash, securities or other property, the Founder Shares will be released from the Lock-up.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16, 2022, the Sponsor transferred 25,000 shares to one of the Company’s directors following the departure of a previous director. The transfer of the Founders Shares is in the scope of FASB ASC Topic 718, “Compensation-Stock Compensation” (“ASC 718”). Under ASC 718, stock-based compensation associated with equity-classified awards is measured at fair value upon the grant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of Founders Shares to the Company’s director, as described above, is within the scope of ASC 718, as such, the fair value of the 25,000 shares transferred to the Company’s director was $123,750 or $4.95 per share. The transfer of the shares was granted subject to a performance condition (i.e., the occurrence of a Business Combination). Compensation expense related to the Founders Shares is recognized only when the performance condition is probable of occurrence under the applicable accounting literature in this circumstance. Stock-based compensation would be recognized at the date a Business Combination is considered probable in an amount equal to the number of Founders Shares times the transfer date fair value per share (unless subsequently modified). Founder Shares will automatically convert into Class A shares at a one-to-one ratio upon completion of a Business Combination. The Founder Shares will receive no distributions if the Company is liquidated prior to a Business Combination. In addition, the holders of the Founder Shares are restricted from transferring the Founder Shares and the Class A shares received upon conversion until nine months to a year after a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Promissory Note — Related 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2023, the Company issued an unsecured promissory note in the amount of up to $2,100,000 to the Sponsor. The note is non-interest bearing and is to be utilized for general working capital purposes. As of June 30, 2023, there was $2,000,000 amount outstanding under the promissory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31, 2023, the Company issued an unsecured promissory note in the amount of up to $300,000 to the Sponsor. The note is non-interest bearing and is to be utilized for general working capital purposes. As of June 30, 2023, there was $300,000 amount outstanding under the promissory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Working Capital Loans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order to finance transaction costs in connection with an intended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In the event that a Business Combination does not close, the Company may use a portion of the working capital held outside the Trust Account to repay the Working Capital Loans but no proceeds held in the Trust Account would be used to repay the Working Capital Loans. After giving effect to the Notes described below, up to $675,000 of additional Working Capital Loans may be convertible into Private Placement Warrants of the post Business Combination entity at a price of $1.50 per warrant at the option of the lender. Such warrants would be identical to the Private Placement Warrants. Prior to the completion of the initial Business Combination, the Company does not expect to seek loans from parties other than the Sponsor or an affiliate of the Sponsor as the Company does not believe third parties will be willing to loan such funds and provide a waiver against any and all rights to seek access to funds in the Company’s Trust Account.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2022 and June 6, 2022, the Company issued unsecured promissory notes in the amounts of up to $500,000 and $500,000, respectively, to the Sponsor. On December 14, 2022, the Company issued an unsecured promissory note in the amount of up to $325,000 to Tidjane Thiam, the Company’s Executive Chairman, Adam Gishen, the Company’s Chief Executive Officer, Edward Zeng, a director of the Company, and Abhishek Bhatia, a board observer of the Company (collectively, the “Payees”) (such promissory note, together with the unsecured promissory notes issued on April 1, 2022 and June 6, 2022, the “Notes”). The Notes bear no interest and are payable in full upon the earlier to occur of (i) twenty-four (24) months from the closing of the Initial Public Offering (or such later date as may be extended in accordance with the terms of our amended and restated memorandum and articles of association) or (ii) the consummation of the Business Combination. A failure to pay the principal within five business days of the date specified above or the commencement of a voluntary or involuntary bankruptcy action shall be deemed an event of default, in which case the Notes may be accelerated. Prior to the Company’s first payment of all or any portion of the principal balance of the Notes in cash, the Sponsor and the Payees, as applicable, have the option to convert all, but not less than all, of the principal balance of the Notes into private placement warrants (the “Conversion Warrants”), each warrant exercisable for one ordinary share of the Company at an exercise price of $1.50 per share. The terms of the Conversion Warrants would be identical to the Private Placement Warrants. The Sponsor and the Payees shall be entitled to certain registration rights relating to the Conversion Warrants. The issuances of the Notes were made pursuant to the exemption from registration contained in Section 4(a)(2) of the Securities Act. As of June 30, 2023 and December 31, 2022, the Company had an aggregate of $1,188,999 and $828,600 borrowed, respectively, related to the Notes of which $100,000 had been drawn within the six months ended, June 30,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Administrative Support Service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Commencing on the date of the IPO, the Company agreed to pay the Sponsor up to $10,000 per month for office space and administrative support services. These were paid on a monthly basis via invoices, and there was no amount due under the Administrative Services Agreement as of June 30, 2023 and December 31, 2022.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(i) Founder Shares, which were issued in a private placement prior to the closing of the IPO, (ii) Private Placement Warrants, which will be issued in a private placement simultaneously with the closing of the IPO and the Class A ordinary shares underlying such Private Placement Warrants and (iii) Private Placement Warrants that may be issued upon conversion of Working Capital Loans will have registration rights to require the Company to register a sale of any of its securities held by them pursuant to a registration rights agreement.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its initial Business Combination. The Company will bear the expenses incurred in connection with the filing of any such registration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Underwriters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 2021, the Company paid a fixed underwriting discount of $6,405,000. Additionally, a deferred underwriting discount of $0.35 per Unit, or $12,075,000 in the aggregate, will be payable to the underwriters from the amounts held in the Trust Account solely in the event that the Company completes an initial Business Combination, subject to the terms of the underwriting agreement. As of October 25, 2022, and November 2, 2022, respectively, J.P. Morgan Securities LLC and Deutsche Bank Securities Inc. have waived their portions of the deferred underwriting fee which is reflected in the consolidated statement of operations and the consolidated statement of change in shareholders’ deficit as a reduction of transaction costs incurred in connection with IPO. Therefore, the deferred underwriting fee was reduced by $9,056,250, of which $271,687 is shown in the consolidated statement of operations as a reduction of transaction costs incurred in connection with the IPO and $8,784,563 is charged to additional paid-in capital in the consolidated statement of change in shareholders’ deficit. As a result of the reductions, the outstanding deferred underwriting fee payable was reduced to $3,018,750.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Mergers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provides that, among other things and upon the terms and subject to the conditions thereof, the following transactions will occur (together with the other agreements and transactions contemplated by the Business Combination Agreement, the “Business Combination”):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the closing of the transactions contemplated by the Business Combination Agreement (the “Closing”), upon the terms and subject to the conditions thereof, and in accordance with the Delaware General Corporation Law, as amended, (i) First Merger Sub will merge with and into Complete Solaria, with Complete Solaria surviving as a wholly owned subsidiary of the Company, (ii) immediately thereafter and as part of the same overall transaction, Complete Solaria will merge with and into Second Merger Sub, with Second Merger Sub surviving as a wholly owned subsidiary of the Company, and (iii) immediately after the consummation of the Second Merger and as part of the same overall transaction, Solaria will merge with and into a newly formed Delaware limited liability company and wholly-owned subsidiary of the Company (“Third Merger Sub”), with Third Merger Sub surviving as a wholly-owned subsidiary of the Company;</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the Closing, all outstanding shares of capital stock of Complete Solaria (subject to certain restrictions) and all options and warrants to acquire shares of capital stock of Complete Solaria will convert into the right to receive shares of common stock, par value $0.0001 per share, of the Company (“Freedom Common Stock”) or comparable equity awards that are settled or are exercisable for shares of Freedom Common Stock; and</w:t>
            </w:r>
          </w:p>
        </w:tc>
      </w:tr>
    </w:tbl>
    <w:p>
      <w:pPr>
        <w:pStyle w:val="TextBody"/>
        <w:bidi w:val="0"/>
        <w:spacing w:before="0" w:after="0"/>
        <w:ind w:left="0" w:right="0" w:firstLine="360"/>
        <w:jc w:val="both"/>
        <w:rPr>
          <w:caps w:val="false"/>
          <w:smallCaps w:val="false"/>
        </w:rPr>
      </w:pPr>
      <w:r>
        <w:rPr>
          <w:caps w:val="false"/>
          <w:smallCaps w:val="false"/>
        </w:rPr>
        <w:t> </w:t>
      </w:r>
    </w:p>
    <w:tbl>
      <w:tblPr>
        <w:tblW w:w="5928" w:type="dxa"/>
        <w:jc w:val="left"/>
        <w:tblInd w:w="0" w:type="dxa"/>
        <w:tblLayout w:type="fixed"/>
        <w:tblCellMar>
          <w:top w:w="0" w:type="dxa"/>
          <w:left w:w="0" w:type="dxa"/>
          <w:bottom w:w="0" w:type="dxa"/>
          <w:right w:w="0" w:type="dxa"/>
        </w:tblCellMar>
      </w:tblPr>
      <w:tblGrid>
        <w:gridCol w:w="38"/>
        <w:gridCol w:w="170"/>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the Closing, the Company will be renamed “Complete Solaria, Inc.”</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 2022 and October 3, 2022, respectively, a special committee (the “Freedom Special Committee”) of the board of directors of the Company (the “Board”) and the Board (i) approved the Business Combination Agreement and the Business Combination and (ii) resolved to recommend that the shareholders of the Company approve the Business Combination Agreement and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First Amendment to the Business Combination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26, 2022, the Company, Complete Solaria, First Merger Sub and Second Merger Sub entered into that certain First Amendment to Business Combination Agreement (the “First Amendment”) amending the Business Combination Agreement, dated as of October 3, 2022, by and among the Company, Complete Solaria, First Merger Sub and Second Merger Sub.</w:t>
      </w:r>
    </w:p>
    <w:p>
      <w:pPr>
        <w:pStyle w:val="TextBody"/>
        <w:bidi w:val="0"/>
        <w:spacing w:before="0" w:after="0"/>
        <w:ind w:left="583"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Amendment deletes the following provisions in the Business Combination Agreement: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condition to the obligation of Complete Solaria to consummate the Business Combination that there be, as of the Closing, at least $100,000,000 in Available Acquiror Cash (as such term is defined in the Business Combination Agreement);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obligation of each of the Company and Complete Solaria to use reasonable best efforts to cause the Available Acquiror Cash to equal or exceed $100,000,000 as of immediately prior to the Closing;</w:t>
            </w:r>
          </w:p>
        </w:tc>
      </w:tr>
    </w:tbl>
    <w:p>
      <w:pPr>
        <w:pStyle w:val="TextBody"/>
        <w:bidi w:val="0"/>
        <w:spacing w:before="0" w:after="0"/>
        <w:ind w:left="0" w:right="0" w:firstLine="360"/>
        <w:jc w:val="both"/>
        <w:rPr>
          <w:caps w:val="false"/>
          <w:smallCaps w:val="false"/>
        </w:rPr>
      </w:pPr>
      <w:r>
        <w:rPr>
          <w:caps w:val="false"/>
          <w:smallCaps w:val="false"/>
        </w:rPr>
        <w:t> </w:t>
      </w:r>
    </w:p>
    <w:tbl>
      <w:tblPr>
        <w:tblW w:w="7023" w:type="dxa"/>
        <w:jc w:val="left"/>
        <w:tblInd w:w="0" w:type="dxa"/>
        <w:tblLayout w:type="fixed"/>
        <w:tblCellMar>
          <w:top w:w="0" w:type="dxa"/>
          <w:left w:w="0" w:type="dxa"/>
          <w:bottom w:w="0" w:type="dxa"/>
          <w:right w:w="0" w:type="dxa"/>
        </w:tblCellMar>
      </w:tblPr>
      <w:tblGrid>
        <w:gridCol w:w="38"/>
        <w:gridCol w:w="170"/>
        <w:gridCol w:w="6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right of Complete Solaria to terminate the Business Combination Agreement if:</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Complete Solaria has not consummated the issuances of convertible note investments in Complete Solaria for an aggregate purchase price of at least $10,000,000 on or before January 16, 2023; or</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a meeting of shareholders of the Company to extend the deadline by which the Company is required to consummate the Business Combination under its organizational documents, a number of shareholders of the Company elect to redeem their ordinary shares such that the amount remaining in the Company’s trust account after processing such redemptions, when taken together with the amounts included in prongs (ii), (iii), (iv) and (v) of the definition of Available Acquiror Cash (as described above) is less than $100 million;</w:t>
            </w:r>
          </w:p>
        </w:tc>
      </w:tr>
    </w:tbl>
    <w:p>
      <w:pPr>
        <w:pStyle w:val="TextBody"/>
        <w:bidi w:val="0"/>
        <w:spacing w:before="0" w:after="0"/>
        <w:ind w:left="0" w:right="0" w:firstLine="360"/>
        <w:jc w:val="both"/>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170"/>
        <w:gridCol w:w="8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obligation of the Company and Complete Solaria to make termination payments in certain circumstances.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Second Amendment to the Business Combination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17, 2023, the Company, Complete Solaria, First Merger Sub and Second Merger Sub entered into that certain Second Amendment to Business Combination Agreement (the “Second Amendment”) amending the Business Combination Agreement, dated as of October 3, 2022, by and among the Company, Complete Solaria, First Merger Sub and Second Merger Sub, as amended by the First Amendment.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Amendment provides that, if the Company and Complete Solaria determine in good faith by January 1, 2023 that it is probable that the Business Combination will be consummated after March 1, 2023, the Company will be required to prepare (with the reasonable cooperation of Complete Solaria) and file with the SEC a proxy statement pursuant to which it will seek the approval of its shareholders for proposals to amend the Company’s organizational documents to extend the time period for the Company to consummate its initial business combination for (x) up to an additional six (6) months, from March 2, 2023 to September 2, 2023 (the original Business Combination Agreement provided for an extension from March 1, 2023 to September 2, 2023) or (y) such other period of time as the Company and Complete Solaria may mutually agree (the original Business Combination Agreement contemplated no such prong (y)). In addition, the Second Amendment amends the Business Combination Agreement by changing the latest permitted Agreement End Date (as defined in the Business Combination Agreement) from September 1, 2023 to September 2,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Shareholders’ Deficit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Preference shares </w:t>
      </w:r>
      <w:r>
        <w:rPr>
          <w:rFonts w:ascii="Times New Roman;Times;Serif" w:hAnsi="Times New Roman;Times;Serif"/>
          <w:b w:val="false"/>
          <w:i w:val="false"/>
          <w:caps w:val="false"/>
          <w:smallCaps w:val="false"/>
          <w:sz w:val="20"/>
        </w:rPr>
        <w:t>— The Company is authorized to issue a total of 1,000,000 preference shares at par value of $0.0001 each. At June 30, 2023 and December 31, 2022, there were no preference shares issued or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Class A Ordinary shares </w:t>
      </w:r>
      <w:r>
        <w:rPr>
          <w:rFonts w:ascii="Times New Roman;Times;Serif" w:hAnsi="Times New Roman;Times;Serif"/>
          <w:b w:val="false"/>
          <w:i w:val="false"/>
          <w:caps w:val="false"/>
          <w:smallCaps w:val="false"/>
          <w:sz w:val="20"/>
        </w:rPr>
        <w:t>— The Company is authorized to issue a total of 200,000,000 Class A ordinary shares at par value of $0.0001 each. At June 30, 2023 and December 31, 2022, there were 11,243,496 and 34,500,000 Class A ordinary shares outstanding, all of which is subject to possible redemption,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Class B Ordinary shares </w:t>
      </w:r>
      <w:r>
        <w:rPr>
          <w:rFonts w:ascii="Times New Roman;Times;Serif" w:hAnsi="Times New Roman;Times;Serif"/>
          <w:b w:val="false"/>
          <w:i w:val="false"/>
          <w:caps w:val="false"/>
          <w:smallCaps w:val="false"/>
          <w:sz w:val="20"/>
        </w:rPr>
        <w:t>— The Company is authorized to issue a total of 20,000,000 Class B ordinary shares at par value of $0.0001 each. At June 30, 2023 and December 31, 2022, there were 8,625,000 Class B ordinary shares issued and outstanding,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2020, the Sponsor paid $25,000, or approximately $0.003 per share, to cover certain offering costs in consideration for 7,187,500 Class B ordinary shares, par value $0.0001 per share. On February 25, 2021, the Company effected a share dividend whereby the Company issued 1,437,500 Class B ordinary shares, resulting in an aggregate of 8,625,000 Class B ordinary shares outstanding. All share and per-share amounts have been retroactively restated to reflect the share dividend.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Class A ordinary shares and holders of the Class B ordinary shares will vote together as a single class on all matters submitted to a vote of the Company’s shareholders, except as required by law; provided that only holders of Class B ordinary shares will have the right to appoint and remove directors in any general meeting held prior to or in connection with the completion of an initial Business Combination. Unless specified in the Company’s amended and restated memorandum and articles of association, or as required by applicable provisions of the Companies Act or applicable stock exchange rules, the affirmative vote of a majority of the Company’s ordinary shares that are voted is required to approve any such matter voted on by its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B ordinary shares will automatically convert into Class A ordinary shares concurrently with or immediately following the consummation of the initial Business Combination on a one-for-one basis, subject to adjustment for share sub-divisions, share capitalizations, reorganizations, recapitalizations and the like, and subject to further adjustment as provided herein. In the case that additional Class A ordinary shares or equity-linked securities are issued or deemed issued in connection with the initial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the Sponsor, officers or directors upon conversion of Working Capital Loans; provided that such conversion of Founder Shares will never occur on a less than one-for-one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will become exercisable at $11.50 per share on the later of one year from the closing of the IPO and 30 days after the completion of the initial Business Combination; provided in each case that the Company has an effective registration statement under the Securities Act covering the Class A ordinary shares issuable upon exercise of the warrants and a current prospectus relating to them is available (or the Company permits holders to exercise their warrants on a cashless basis under the circumstances specified in the warrant agreement) and such shares are registered, qualified or exempt from registration under the securities, or blue sky, laws of the state of residence of the holder. The warrants will expire five years after the completion of a Business Combination or earlier upon redemption or 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agreed that as soon as practicable, but in no event later than 15 business days after the closing of the initial Business Combination, it will use commercially reasonable efforts to file with the SEC a registration statement for the registration, under the Securities Act, of the Class A ordinary shares issuable upon exercise of the warrants. The Company will use its commercially reasonable efforts to cause the same to become effective and to maintain the effectiveness of such registration statement, and a current prospectus relating thereto, until the expiration or redemption of the warrants in accordance with the provisions of the warrant agreement.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Company’s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it will not be required to file or maintain in effect a registration statement, and in the event the Company does not so elect, it will use its commercially reasonable efforts to register or qualify the shares under applicable blue sky laws to the extent an exemption is not available. In such event, each holder would pay the exercise price by surrendering each such warrant for that number of Class A ordinary shares equal to the lesser of (A) the quotient obtained by dividing (x) the product of the number of Class A ordinary shares underlying the warrants, multiplied by the excess of the “fair market value” (defined below) less the exercise price of the warrants by (y) the fair market value and (B) 0.361. The “fair market value” as used in this paragraph shall mean the volume weighted average price of the Class A ordinary shares for the 10 trading days ending on the trading day prior to the date on which the notice of exercise is received by the warrant agent.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number of shares issuable upon exercise of the warrants may be adjusted in certain circumstances including in the event of a share dividend or recapitalization, reorganization, merger or consolidation. In addition, if (x) the Company issues additional Class A ordinary shares or equity-linked securities for capital raising purposes in connection with the closing of the initial Business Combination at an issue price or effective issue price of less than $9.20 per Class A ordinary share (with such issue price or effective issue price to be determined in good faith by the Board and in the case of any such issuance to the Company’s Sponsors or their affiliates, without taking into account any Founder Shares held by the Company’s initial shareholders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completion of the initial Business Combination (net of redemptions), and (z) the volume-weighted average trading price of the Company’s Class A ordinary shares during the 20 trading day period starting on the trading day prior to the day on which the Company consummates its initial Business Combination (such price, the “Market Value”) is below $9.20 per share, then the exercise price of the warrants will be adjusted (to the nearest cent) to be equal to 115% of the higher of the Market Value and the Newly Issued Price, and the $10.00 and $18.00 per share redemption trigger prices described below under “Redemption of warrants when the price per Class A ordinary share equals or exceeds $10.00” and “Redemption of warrants when the price per Class A ordinary share equals or exceeds $18.00” will be adjusted (to the nearest cent) to be equal to 100% and 180% of the higher of the Market Value and the Newly Issued Price, respectively.</w:t>
      </w:r>
    </w:p>
    <w:p>
      <w:pPr>
        <w:pStyle w:val="TextBody"/>
        <w:bidi w:val="0"/>
        <w:spacing w:before="0" w:after="0"/>
        <w:ind w:left="291"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of Warrants When the Price per Class A Ordinary Share Equals or Exceeds $18.00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warrants become exercisable, the Company may redeem the outstanding warrants (except with respect to the Private Placement Warrants):</w:t>
      </w:r>
    </w:p>
    <w:p>
      <w:pPr>
        <w:pStyle w:val="TextBody"/>
        <w:bidi w:val="0"/>
        <w:spacing w:before="0" w:after="0"/>
        <w:ind w:left="0" w:right="0" w:firstLine="360"/>
        <w:jc w:val="both"/>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38"/>
        <w:gridCol w:w="17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whole and not in part;</w:t>
            </w:r>
          </w:p>
        </w:tc>
      </w:tr>
    </w:tbl>
    <w:p>
      <w:pPr>
        <w:pStyle w:val="TextBody"/>
        <w:bidi w:val="0"/>
        <w:spacing w:before="0" w:after="0"/>
        <w:ind w:left="0" w:right="0" w:hanging="0"/>
        <w:jc w:val="both"/>
        <w:rPr>
          <w:caps w:val="false"/>
          <w:smallCaps w:val="false"/>
        </w:rPr>
      </w:pPr>
      <w:r>
        <w:rPr>
          <w:caps w:val="false"/>
          <w:smallCaps w:val="false"/>
        </w:rPr>
        <w:t> </w:t>
      </w:r>
    </w:p>
    <w:tbl>
      <w:tblPr>
        <w:tblW w:w="2703" w:type="dxa"/>
        <w:jc w:val="left"/>
        <w:tblInd w:w="0" w:type="dxa"/>
        <w:tblLayout w:type="fixed"/>
        <w:tblCellMar>
          <w:top w:w="0" w:type="dxa"/>
          <w:left w:w="0" w:type="dxa"/>
          <w:bottom w:w="0" w:type="dxa"/>
          <w:right w:w="0" w:type="dxa"/>
        </w:tblCellMar>
      </w:tblPr>
      <w:tblGrid>
        <w:gridCol w:w="38"/>
        <w:gridCol w:w="170"/>
        <w:gridCol w:w="2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a price of $0.01 per warrant;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not less than 30 days’ prior written notice of redemption (the “30-day redemption period”) to each warrant holder; and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and only if, the last reported sale price of the Class A ordinary shares for any 20 trading days within a 30-trading day period ending three business days before the Company sends to the notice of redemption to the warrant holders (the “Reference Value”) equals or exceeds $18.00 per share (as adjusted for share sub-divisions, share capitalizations, reorganizations, recapitalizations and the like).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of Warrants When the Price per Class A Ordinary Share Equals or Exceeds $10.00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warrants become exercisable, the Company may redeem the outstanding warrants:</w:t>
      </w:r>
    </w:p>
    <w:p>
      <w:pPr>
        <w:pStyle w:val="TextBody"/>
        <w:bidi w:val="0"/>
        <w:spacing w:before="0" w:after="0"/>
        <w:ind w:left="0" w:right="0" w:firstLine="360"/>
        <w:jc w:val="both"/>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38"/>
        <w:gridCol w:w="17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whole and not in part;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the Class A ordinary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and only if, the Reference Value equals or exceeds $10.00 per share (as adjusted for share sub-divisions, share capitalizations, reorganizations, recapitalizations and the like);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Reference Value is less than $18.00 per share (as adjusted for share sub-divisions, share capitalizations, reorganizations, recapitalizations and the like) the Private Placement Warrants must also be concurrently called for redemption on the same terms as the outstanding public warrants, as described above.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Fair Value Measurements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pStyle w:val="TextBody"/>
        <w:bidi w:val="0"/>
        <w:spacing w:before="0" w:after="0"/>
        <w:ind w:left="0" w:right="0" w:firstLine="360"/>
        <w:jc w:val="both"/>
        <w:rPr>
          <w:caps w:val="false"/>
          <w:smallCaps w:val="false"/>
        </w:rPr>
      </w:pPr>
      <w:r>
        <w:rPr>
          <w:caps w:val="false"/>
          <w:smallCaps w:val="false"/>
        </w:rPr>
        <w:t> </w:t>
      </w:r>
    </w:p>
    <w:tbl>
      <w:tblPr>
        <w:tblW w:w="9603" w:type="dxa"/>
        <w:jc w:val="left"/>
        <w:tblInd w:w="0" w:type="dxa"/>
        <w:tblLayout w:type="fixed"/>
        <w:tblCellMar>
          <w:top w:w="0" w:type="dxa"/>
          <w:left w:w="0" w:type="dxa"/>
          <w:bottom w:w="0" w:type="dxa"/>
          <w:right w:w="0" w:type="dxa"/>
        </w:tblCellMar>
      </w:tblPr>
      <w:tblGrid>
        <w:gridCol w:w="38"/>
        <w:gridCol w:w="17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1, defined as observable inputs such as quoted prices (unadjusted) for identical instruments in active markets;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14" w:right="14"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2023, the remainder of the U.S. Treasury securities held in the Trust Account after redemptions were deposited into the cash operating account maintained by the trustee. The following table presents information about the Company’s assets and liabilities that are measured at fair value on a recurring basis at June 30, 2023 and December 31, 2022 and indicates the fair value hierarchy of the valuation inputs the Company utilized to determine such fair value:</w:t>
      </w:r>
    </w:p>
    <w:p>
      <w:pPr>
        <w:pStyle w:val="TextBody"/>
        <w:bidi w:val="0"/>
        <w:spacing w:before="0" w:after="0"/>
        <w:ind w:left="14" w:right="14" w:firstLine="360"/>
        <w:jc w:val="both"/>
        <w:rPr>
          <w:caps w:val="false"/>
          <w:smallCaps w:val="false"/>
        </w:rPr>
      </w:pPr>
      <w:r>
        <w:rPr>
          <w:caps w:val="false"/>
          <w:smallCaps w:val="false"/>
        </w:rPr>
        <w:t> </w:t>
      </w:r>
    </w:p>
    <w:tbl>
      <w:tblPr>
        <w:tblW w:w="8414" w:type="dxa"/>
        <w:jc w:val="left"/>
        <w:tblInd w:w="0" w:type="dxa"/>
        <w:tblLayout w:type="fixed"/>
        <w:tblCellMar>
          <w:top w:w="0" w:type="dxa"/>
          <w:left w:w="0" w:type="dxa"/>
          <w:bottom w:w="0" w:type="dxa"/>
          <w:right w:w="0" w:type="dxa"/>
        </w:tblCellMar>
      </w:tblPr>
      <w:tblGrid>
        <w:gridCol w:w="3215"/>
        <w:gridCol w:w="125"/>
        <w:gridCol w:w="135"/>
        <w:gridCol w:w="920"/>
        <w:gridCol w:w="60"/>
        <w:gridCol w:w="125"/>
        <w:gridCol w:w="97"/>
        <w:gridCol w:w="1107"/>
        <w:gridCol w:w="60"/>
        <w:gridCol w:w="125"/>
        <w:gridCol w:w="128"/>
        <w:gridCol w:w="867"/>
        <w:gridCol w:w="60"/>
        <w:gridCol w:w="125"/>
        <w:gridCol w:w="153"/>
        <w:gridCol w:w="1037"/>
        <w:gridCol w:w="75"/>
      </w:tblGrid>
      <w:tr>
        <w:trPr/>
        <w:tc>
          <w:tcPr>
            <w:tcW w:w="3215" w:type="dxa"/>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Quoted Prices</w:t>
              <w:br/>
              <w:t>In Active</w:t>
              <w:br/>
              <w:t>Markets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Significant</w:t>
              <w:br/>
              <w:t>Other</w:t>
              <w:br/>
              <w:t>Observable</w:t>
              <w:br/>
              <w:t>Inputs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Significant</w:t>
              <w:br/>
              <w:t>Other</w:t>
              <w:br/>
              <w:t>Unobservable</w:t>
              <w:br/>
              <w:t>Inputs</w:t>
            </w:r>
          </w:p>
        </w:tc>
        <w:tc>
          <w:tcPr>
            <w:tcW w:w="7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1)</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2)</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3)</w:t>
            </w:r>
          </w:p>
        </w:tc>
        <w:tc>
          <w:tcPr>
            <w:tcW w:w="7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Description</w:t>
            </w:r>
          </w:p>
        </w:tc>
        <w:tc>
          <w:tcPr>
            <w:tcW w:w="125"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Assets:</w:t>
            </w:r>
          </w:p>
        </w:tc>
        <w:tc>
          <w:tcPr>
            <w:tcW w:w="125"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gridSpan w:val="2"/>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118,379,628</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4" w:type="dxa"/>
            <w:gridSpan w:val="2"/>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118,379,628</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5" w:type="dxa"/>
            <w:gridSpan w:val="2"/>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90" w:type="dxa"/>
            <w:gridSpan w:val="2"/>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assets</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gridSpan w:val="2"/>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118,379,628</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4" w:type="dxa"/>
            <w:gridSpan w:val="2"/>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118,379,628</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 </w:t>
            </w:r>
          </w:p>
        </w:tc>
        <w:tc>
          <w:tcPr>
            <w:tcW w:w="125" w:type="dxa"/>
            <w:tcBorders>
              <w:top w:val="double" w:sz="12" w:space="0" w:color="000000"/>
            </w:tcBorders>
            <w:shd w:fill="CCEEFF" w:val="clear"/>
            <w:tcMar>
              <w:top w:w="28" w:type="dxa"/>
            </w:tcMar>
            <w:vAlign w:val="center"/>
          </w:tcPr>
          <w:p>
            <w:pPr>
              <w:pStyle w:val="TableContents"/>
              <w:bidi w:val="0"/>
              <w:spacing w:before="0" w:after="283"/>
              <w:jc w:val="left"/>
              <w:rPr/>
            </w:pPr>
            <w:r>
              <w:rPr/>
              <w:t> </w:t>
            </w:r>
          </w:p>
        </w:tc>
        <w:tc>
          <w:tcPr>
            <w:tcW w:w="135" w:type="dxa"/>
            <w:tcBorders>
              <w:top w:val="double" w:sz="12" w:space="0" w:color="000000"/>
            </w:tcBorders>
            <w:shd w:fill="CCEEFF" w:val="clear"/>
            <w:tcMar>
              <w:top w:w="28" w:type="dxa"/>
            </w:tcMar>
            <w:vAlign w:val="center"/>
          </w:tcPr>
          <w:p>
            <w:pPr>
              <w:pStyle w:val="TableContents"/>
              <w:bidi w:val="0"/>
              <w:spacing w:before="0" w:after="283"/>
              <w:jc w:val="left"/>
              <w:rPr/>
            </w:pPr>
            <w:r>
              <w:rPr/>
              <w:t> </w:t>
            </w:r>
          </w:p>
        </w:tc>
        <w:tc>
          <w:tcPr>
            <w:tcW w:w="920" w:type="dxa"/>
            <w:tcBorders>
              <w:top w:val="double" w:sz="12" w:space="0" w:color="000000"/>
            </w:tcBorders>
            <w:shd w:fill="CCEEFF" w:val="clear"/>
            <w:tcMar>
              <w:top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7" w:type="dxa"/>
            <w:tcBorders>
              <w:top w:val="double" w:sz="12" w:space="0" w:color="000000"/>
            </w:tcBorders>
            <w:shd w:fill="CCEEFF" w:val="clear"/>
            <w:tcMar>
              <w:top w:w="28" w:type="dxa"/>
            </w:tcMar>
            <w:vAlign w:val="center"/>
          </w:tcPr>
          <w:p>
            <w:pPr>
              <w:pStyle w:val="TableContents"/>
              <w:bidi w:val="0"/>
              <w:spacing w:before="0" w:after="283"/>
              <w:jc w:val="left"/>
              <w:rPr/>
            </w:pPr>
            <w:r>
              <w:rPr/>
              <w:t> </w:t>
            </w:r>
          </w:p>
        </w:tc>
        <w:tc>
          <w:tcPr>
            <w:tcW w:w="1107" w:type="dxa"/>
            <w:tcBorders>
              <w:top w:val="double" w:sz="12" w:space="0" w:color="000000"/>
            </w:tcBorders>
            <w:shd w:fill="CCEEFF" w:val="clear"/>
            <w:tcMar>
              <w:top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8" w:type="dxa"/>
            <w:tcBorders>
              <w:top w:val="double" w:sz="12" w:space="0" w:color="000000"/>
            </w:tcBorders>
            <w:shd w:fill="CCEEFF" w:val="clear"/>
            <w:tcMar>
              <w:top w:w="28" w:type="dxa"/>
            </w:tcMar>
            <w:vAlign w:val="center"/>
          </w:tcPr>
          <w:p>
            <w:pPr>
              <w:pStyle w:val="TableContents"/>
              <w:bidi w:val="0"/>
              <w:spacing w:before="0" w:after="283"/>
              <w:jc w:val="left"/>
              <w:rPr/>
            </w:pPr>
            <w:r>
              <w:rPr/>
              <w:t> </w:t>
            </w:r>
          </w:p>
        </w:tc>
        <w:tc>
          <w:tcPr>
            <w:tcW w:w="867" w:type="dxa"/>
            <w:tcBorders>
              <w:top w:val="double" w:sz="12" w:space="0" w:color="000000"/>
            </w:tcBorders>
            <w:shd w:fill="CCEEFF" w:val="clear"/>
            <w:tcMar>
              <w:top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53" w:type="dxa"/>
            <w:tcBorders>
              <w:top w:val="double" w:sz="12" w:space="0" w:color="000000"/>
            </w:tcBorders>
            <w:shd w:fill="CCEEFF" w:val="clear"/>
            <w:tcMar>
              <w:top w:w="28" w:type="dxa"/>
            </w:tcMar>
            <w:vAlign w:val="center"/>
          </w:tcPr>
          <w:p>
            <w:pPr>
              <w:pStyle w:val="TableContents"/>
              <w:bidi w:val="0"/>
              <w:spacing w:before="0" w:after="283"/>
              <w:jc w:val="left"/>
              <w:rPr/>
            </w:pPr>
            <w:r>
              <w:rPr/>
              <w:t> </w:t>
            </w:r>
          </w:p>
        </w:tc>
        <w:tc>
          <w:tcPr>
            <w:tcW w:w="1037" w:type="dxa"/>
            <w:tcBorders>
              <w:top w:val="double" w:sz="12" w:space="0" w:color="000000"/>
            </w:tcBorders>
            <w:shd w:fill="CCEEFF" w:val="clear"/>
            <w:tcMar>
              <w:top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 liabilities – Public warrants</w:t>
            </w:r>
          </w:p>
        </w:tc>
        <w:tc>
          <w:tcPr>
            <w:tcW w:w="12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3,622,500</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3,622,500</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7"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 liabilities – Private warrants</w:t>
            </w:r>
          </w:p>
        </w:tc>
        <w:tc>
          <w:tcPr>
            <w:tcW w:w="12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2,662,460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2,662,460</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Convertible Note – April 1, 2022</w:t>
            </w:r>
          </w:p>
        </w:tc>
        <w:tc>
          <w:tcPr>
            <w:tcW w:w="12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448,680</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448,680</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Convertible Note – June 6, 2022</w:t>
            </w:r>
          </w:p>
        </w:tc>
        <w:tc>
          <w:tcPr>
            <w:tcW w:w="12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448,680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448,680</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Convertible Note – December 14, 2022</w:t>
            </w:r>
          </w:p>
        </w:tc>
        <w:tc>
          <w:tcPr>
            <w:tcW w:w="125" w:type="dxa"/>
            <w:tcBorders/>
            <w:vAlign w:val="center"/>
          </w:tcPr>
          <w:p>
            <w:pPr>
              <w:pStyle w:val="TableContents"/>
              <w:bidi w:val="0"/>
              <w:spacing w:before="0" w:after="283"/>
              <w:jc w:val="left"/>
              <w:rPr/>
            </w:pPr>
            <w:r>
              <w:rPr/>
              <w:t> </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c>
          <w:tcPr>
            <w:tcW w:w="92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291,639</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7"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28" w:type="dxa"/>
            <w:tcBorders>
              <w:bottom w:val="single" w:sz="12" w:space="0" w:color="000000"/>
            </w:tcBorders>
            <w:tcMar>
              <w:bottom w:w="28" w:type="dxa"/>
            </w:tcMar>
            <w:vAlign w:val="center"/>
          </w:tcPr>
          <w:p>
            <w:pPr>
              <w:pStyle w:val="TableContents"/>
              <w:bidi w:val="0"/>
              <w:spacing w:before="0" w:after="283"/>
              <w:jc w:val="left"/>
              <w:rPr/>
            </w:pPr>
            <w:r>
              <w:rPr/>
              <w:t> </w:t>
            </w:r>
          </w:p>
        </w:tc>
        <w:tc>
          <w:tcPr>
            <w:tcW w:w="867"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5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291,639</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Warrant liabilities</w:t>
            </w:r>
          </w:p>
        </w:tc>
        <w:tc>
          <w:tcPr>
            <w:tcW w:w="125" w:type="dxa"/>
            <w:tcBorders/>
            <w:shd w:fill="CCEEFF" w:val="clear"/>
            <w:vAlign w:val="center"/>
          </w:tcPr>
          <w:p>
            <w:pPr>
              <w:pStyle w:val="TableContents"/>
              <w:bidi w:val="0"/>
              <w:spacing w:before="0" w:after="283"/>
              <w:jc w:val="left"/>
              <w:rPr/>
            </w:pPr>
            <w:r>
              <w:rPr/>
              <w:t> </w:t>
            </w:r>
          </w:p>
        </w:tc>
        <w:tc>
          <w:tcPr>
            <w:tcW w:w="13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0"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7,473,959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7"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1107" w:type="dxa"/>
            <w:tcBorders>
              <w:bottom w:val="doub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8"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3,622,500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53"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7"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3,851,459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4" w:right="14"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81"/>
        <w:gridCol w:w="60"/>
        <w:gridCol w:w="143"/>
        <w:gridCol w:w="1256"/>
        <w:gridCol w:w="60"/>
        <w:gridCol w:w="60"/>
        <w:gridCol w:w="145"/>
        <w:gridCol w:w="1276"/>
        <w:gridCol w:w="60"/>
        <w:gridCol w:w="60"/>
        <w:gridCol w:w="146"/>
        <w:gridCol w:w="1029"/>
        <w:gridCol w:w="60"/>
        <w:gridCol w:w="60"/>
        <w:gridCol w:w="178"/>
        <w:gridCol w:w="1252"/>
        <w:gridCol w:w="79"/>
      </w:tblGrid>
      <w:tr>
        <w:trPr/>
        <w:tc>
          <w:tcPr>
            <w:tcW w:w="428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1" w:type="dxa"/>
            <w:gridSpan w:val="2"/>
            <w:tcBorders/>
            <w:vAlign w:val="center"/>
          </w:tcPr>
          <w:p>
            <w:pPr>
              <w:pStyle w:val="TableContents"/>
              <w:bidi w:val="0"/>
              <w:spacing w:before="0" w:after="283"/>
              <w:jc w:val="center"/>
              <w:rPr>
                <w:b/>
              </w:rPr>
            </w:pPr>
            <w:r>
              <w:rPr>
                <w:b/>
              </w:rPr>
              <w:t>Quoted Prices</w:t>
              <w:br/>
              <w:t>In Active</w:t>
              <w:br/>
              <w:t>Markets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rPr>
            </w:pPr>
            <w:r>
              <w:rPr>
                <w:b/>
              </w:rPr>
              <w:t>Significant</w:t>
              <w:br/>
              <w:t>Other</w:t>
              <w:br/>
              <w:t>Observable</w:t>
              <w:br/>
              <w:t>Inputs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b/>
              </w:rPr>
            </w:pPr>
            <w:r>
              <w:rPr>
                <w:b/>
              </w:rPr>
              <w:t>Significant</w:t>
              <w:br/>
              <w:t>Other</w:t>
              <w:br/>
              <w:t>Unobservable</w:t>
              <w:br/>
              <w:t>Inputs</w:t>
            </w:r>
          </w:p>
        </w:tc>
        <w:tc>
          <w:tcPr>
            <w:tcW w:w="79" w:type="dxa"/>
            <w:tcBorders/>
            <w:vAlign w:val="center"/>
          </w:tcPr>
          <w:p>
            <w:pPr>
              <w:pStyle w:val="TableContents"/>
              <w:bidi w:val="0"/>
              <w:spacing w:before="0" w:after="283"/>
              <w:jc w:val="left"/>
              <w:rPr/>
            </w:pPr>
            <w:r>
              <w:rPr/>
              <w:t> </w:t>
            </w:r>
          </w:p>
        </w:tc>
      </w:tr>
      <w:tr>
        <w:trPr/>
        <w:tc>
          <w:tcPr>
            <w:tcW w:w="428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79" w:type="dxa"/>
            <w:tcBorders/>
            <w:vAlign w:val="center"/>
          </w:tcPr>
          <w:p>
            <w:pPr>
              <w:pStyle w:val="TableContents"/>
              <w:bidi w:val="0"/>
              <w:spacing w:before="0" w:after="283"/>
              <w:jc w:val="left"/>
              <w:rPr/>
            </w:pPr>
            <w:r>
              <w:rPr/>
              <w:t> </w:t>
            </w:r>
          </w:p>
        </w:tc>
      </w:tr>
      <w:tr>
        <w:trPr/>
        <w:tc>
          <w:tcPr>
            <w:tcW w:w="4281" w:type="dxa"/>
            <w:tcBorders/>
            <w:vAlign w:val="center"/>
          </w:tcPr>
          <w:p>
            <w:pPr>
              <w:pStyle w:val="TableContents"/>
              <w:bidi w:val="0"/>
              <w:spacing w:before="0" w:after="283"/>
              <w:jc w:val="left"/>
              <w:rPr/>
            </w:pPr>
            <w:r>
              <w:rPr/>
              <w:t>Description</w:t>
            </w:r>
          </w:p>
        </w:tc>
        <w:tc>
          <w:tcPr>
            <w:tcW w:w="6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1"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right"/>
              <w:rPr/>
            </w:pPr>
            <w:r>
              <w:rPr/>
              <w:t> </w:t>
            </w:r>
          </w:p>
        </w:tc>
        <w:tc>
          <w:tcPr>
            <w:tcW w:w="79" w:type="dxa"/>
            <w:tcBorders/>
            <w:vAlign w:val="center"/>
          </w:tcPr>
          <w:p>
            <w:pPr>
              <w:pStyle w:val="TableContents"/>
              <w:bidi w:val="0"/>
              <w:spacing w:before="0" w:after="283"/>
              <w:ind w:left="0" w:right="0" w:hanging="151"/>
              <w:jc w:val="left"/>
              <w:rPr/>
            </w:pPr>
            <w:r>
              <w:rPr/>
              <w:t> </w:t>
            </w:r>
          </w:p>
        </w:tc>
      </w:tr>
      <w:tr>
        <w:trPr/>
        <w:tc>
          <w:tcPr>
            <w:tcW w:w="4281" w:type="dxa"/>
            <w:tcBorders/>
            <w:shd w:fill="CCEEFF" w:val="clear"/>
            <w:vAlign w:val="center"/>
          </w:tcPr>
          <w:p>
            <w:pPr>
              <w:pStyle w:val="TableContents"/>
              <w:bidi w:val="0"/>
              <w:spacing w:before="0" w:after="283"/>
              <w:jc w:val="left"/>
              <w:rPr/>
            </w:pPr>
            <w:r>
              <w:rPr/>
              <w:t>Investments held in trust account- Money Market Funds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CCEEFF" w:val="clear"/>
            <w:tcMar>
              <w:bottom w:w="28" w:type="dxa"/>
            </w:tcMar>
            <w:vAlign w:val="center"/>
          </w:tcPr>
          <w:p>
            <w:pPr>
              <w:pStyle w:val="TableContents"/>
              <w:bidi w:val="0"/>
              <w:spacing w:before="0" w:after="283"/>
              <w:jc w:val="right"/>
              <w:rPr/>
            </w:pPr>
            <w:r>
              <w:rPr/>
              <w:t>349,927,313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12" w:space="0" w:color="000000"/>
            </w:tcBorders>
            <w:shd w:fill="CCEEFF" w:val="clear"/>
            <w:tcMar>
              <w:bottom w:w="28" w:type="dxa"/>
            </w:tcMar>
            <w:vAlign w:val="center"/>
          </w:tcPr>
          <w:p>
            <w:pPr>
              <w:pStyle w:val="TableContents"/>
              <w:bidi w:val="0"/>
              <w:spacing w:before="0" w:after="283"/>
              <w:jc w:val="right"/>
              <w:rPr/>
            </w:pPr>
            <w:r>
              <w:rPr/>
              <w:t>349,927,313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79" w:type="dxa"/>
            <w:tcBorders/>
            <w:shd w:fill="CCEEFF" w:val="clear"/>
            <w:vAlign w:val="center"/>
          </w:tcPr>
          <w:p>
            <w:pPr>
              <w:pStyle w:val="TableContents"/>
              <w:bidi w:val="0"/>
              <w:spacing w:before="0" w:after="283"/>
              <w:ind w:left="0" w:right="0" w:hanging="151"/>
              <w:jc w:val="left"/>
              <w:rPr/>
            </w:pPr>
            <w:r>
              <w:rPr/>
              <w:t> </w:t>
            </w:r>
          </w:p>
        </w:tc>
      </w:tr>
      <w:tr>
        <w:trPr/>
        <w:tc>
          <w:tcPr>
            <w:tcW w:w="4281" w:type="dxa"/>
            <w:tcBorders/>
            <w:vAlign w:val="center"/>
          </w:tcPr>
          <w:p>
            <w:pPr>
              <w:pStyle w:val="TableContents"/>
              <w:bidi w:val="0"/>
              <w:spacing w:before="0" w:after="283"/>
              <w:jc w:val="left"/>
              <w:rPr/>
            </w:pPr>
            <w:r>
              <w:rPr/>
              <w:t>Total Investments held in Trust Account</w:t>
            </w:r>
          </w:p>
        </w:tc>
        <w:tc>
          <w:tcPr>
            <w:tcW w:w="60" w:type="dxa"/>
            <w:tcBorders/>
            <w:vAlign w:val="center"/>
          </w:tcPr>
          <w:p>
            <w:pPr>
              <w:pStyle w:val="TableContents"/>
              <w:bidi w:val="0"/>
              <w:spacing w:before="0" w:after="283"/>
              <w:jc w:val="left"/>
              <w:rPr/>
            </w:pPr>
            <w:r>
              <w:rPr/>
              <w:t> </w:t>
            </w:r>
          </w:p>
        </w:tc>
        <w:tc>
          <w:tcPr>
            <w:tcW w:w="143" w:type="dxa"/>
            <w:tcBorders>
              <w:bottom w:val="double" w:sz="10" w:space="0" w:color="000000"/>
            </w:tcBorders>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tcMar>
              <w:bottom w:w="28" w:type="dxa"/>
            </w:tcMar>
            <w:vAlign w:val="center"/>
          </w:tcPr>
          <w:p>
            <w:pPr>
              <w:pStyle w:val="TableContents"/>
              <w:bidi w:val="0"/>
              <w:spacing w:before="0" w:after="283"/>
              <w:jc w:val="right"/>
              <w:rPr/>
            </w:pPr>
            <w:r>
              <w:rPr/>
              <w:t>349,927,313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bottom w:val="double" w:sz="10" w:space="0" w:color="000000"/>
            </w:tcBorders>
            <w:tcMar>
              <w:bottom w:w="28" w:type="dxa"/>
            </w:tcMar>
            <w:vAlign w:val="center"/>
          </w:tcPr>
          <w:p>
            <w:pPr>
              <w:pStyle w:val="TableContents"/>
              <w:bidi w:val="0"/>
              <w:spacing w:before="0" w:after="283"/>
              <w:jc w:val="left"/>
              <w:rPr/>
            </w:pPr>
            <w:r>
              <w:rPr/>
              <w:t>$</w:t>
            </w:r>
          </w:p>
        </w:tc>
        <w:tc>
          <w:tcPr>
            <w:tcW w:w="1276" w:type="dxa"/>
            <w:tcBorders>
              <w:bottom w:val="double" w:sz="10" w:space="0" w:color="000000"/>
            </w:tcBorders>
            <w:tcMar>
              <w:bottom w:w="28" w:type="dxa"/>
            </w:tcMar>
            <w:vAlign w:val="center"/>
          </w:tcPr>
          <w:p>
            <w:pPr>
              <w:pStyle w:val="TableContents"/>
              <w:bidi w:val="0"/>
              <w:spacing w:before="0" w:after="283"/>
              <w:jc w:val="right"/>
              <w:rPr/>
            </w:pPr>
            <w:r>
              <w:rPr/>
              <w:t>349,927,313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bottom w:val="double" w:sz="10" w:space="0" w:color="000000"/>
            </w:tcBorders>
            <w:tcMar>
              <w:bottom w:w="28" w:type="dxa"/>
            </w:tcMar>
            <w:vAlign w:val="center"/>
          </w:tcPr>
          <w:p>
            <w:pPr>
              <w:pStyle w:val="TableContents"/>
              <w:bidi w:val="0"/>
              <w:spacing w:before="0" w:after="283"/>
              <w:jc w:val="left"/>
              <w:rPr/>
            </w:pPr>
            <w:r>
              <w:rPr/>
              <w:t>$</w:t>
            </w:r>
          </w:p>
        </w:tc>
        <w:tc>
          <w:tcPr>
            <w:tcW w:w="1029" w:type="dxa"/>
            <w:tcBorders>
              <w:bottom w:val="double" w:sz="10"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bottom w:val="double" w:sz="10" w:space="0" w:color="000000"/>
            </w:tcBorders>
            <w:tcMar>
              <w:bottom w:w="28" w:type="dxa"/>
            </w:tcMar>
            <w:vAlign w:val="center"/>
          </w:tcPr>
          <w:p>
            <w:pPr>
              <w:pStyle w:val="TableContents"/>
              <w:bidi w:val="0"/>
              <w:spacing w:before="0" w:after="283"/>
              <w:jc w:val="left"/>
              <w:rPr/>
            </w:pPr>
            <w:r>
              <w:rPr/>
              <w:t>$</w:t>
            </w:r>
          </w:p>
        </w:tc>
        <w:tc>
          <w:tcPr>
            <w:tcW w:w="1252" w:type="dxa"/>
            <w:tcBorders>
              <w:bottom w:val="double" w:sz="10" w:space="0" w:color="000000"/>
            </w:tcBorders>
            <w:tcMar>
              <w:bottom w:w="28" w:type="dxa"/>
            </w:tcMar>
            <w:vAlign w:val="center"/>
          </w:tcPr>
          <w:p>
            <w:pPr>
              <w:pStyle w:val="TableContents"/>
              <w:bidi w:val="0"/>
              <w:spacing w:before="0" w:after="0"/>
              <w:jc w:val="right"/>
              <w:rPr/>
            </w:pPr>
            <w:r>
              <w:rPr/>
              <w:t>—</w:t>
            </w:r>
          </w:p>
        </w:tc>
        <w:tc>
          <w:tcPr>
            <w:tcW w:w="79" w:type="dxa"/>
            <w:tcBorders/>
            <w:vAlign w:val="center"/>
          </w:tcPr>
          <w:p>
            <w:pPr>
              <w:pStyle w:val="TableContents"/>
              <w:bidi w:val="0"/>
              <w:spacing w:before="0" w:after="283"/>
              <w:ind w:left="0" w:right="0" w:hanging="151"/>
              <w:jc w:val="left"/>
              <w:rPr/>
            </w:pPr>
            <w:r>
              <w:rPr/>
              <w:t> </w:t>
            </w:r>
          </w:p>
        </w:tc>
      </w:tr>
      <w:tr>
        <w:trPr/>
        <w:tc>
          <w:tcPr>
            <w:tcW w:w="42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ind w:left="0" w:right="0" w:hanging="151"/>
              <w:jc w:val="left"/>
              <w:rPr/>
            </w:pPr>
            <w:r>
              <w:rPr/>
              <w:t> </w:t>
            </w:r>
          </w:p>
        </w:tc>
      </w:tr>
      <w:tr>
        <w:trPr/>
        <w:tc>
          <w:tcPr>
            <w:tcW w:w="4281" w:type="dxa"/>
            <w:tcBorders/>
            <w:vAlign w:val="center"/>
          </w:tcPr>
          <w:p>
            <w:pPr>
              <w:pStyle w:val="TableContents"/>
              <w:bidi w:val="0"/>
              <w:spacing w:before="0" w:after="283"/>
              <w:jc w:val="left"/>
              <w:rPr/>
            </w:pPr>
            <w:r>
              <w:rPr/>
              <w:t>Warrant liabilities – Public warrants</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1256" w:type="dxa"/>
            <w:tcBorders/>
            <w:vAlign w:val="center"/>
          </w:tcPr>
          <w:p>
            <w:pPr>
              <w:pStyle w:val="TableContents"/>
              <w:bidi w:val="0"/>
              <w:spacing w:before="0" w:after="283"/>
              <w:jc w:val="right"/>
              <w:rPr/>
            </w:pPr>
            <w:r>
              <w:rPr/>
              <w:t>1,725,000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1029" w:type="dxa"/>
            <w:tcBorders/>
            <w:vAlign w:val="center"/>
          </w:tcPr>
          <w:p>
            <w:pPr>
              <w:pStyle w:val="TableContents"/>
              <w:bidi w:val="0"/>
              <w:spacing w:before="0" w:after="283"/>
              <w:jc w:val="right"/>
              <w:rPr/>
            </w:pPr>
            <w:r>
              <w:rPr/>
              <w:t>1,725,000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1252" w:type="dxa"/>
            <w:tcBorders/>
            <w:vAlign w:val="center"/>
          </w:tcPr>
          <w:p>
            <w:pPr>
              <w:pStyle w:val="TableContents"/>
              <w:bidi w:val="0"/>
              <w:spacing w:before="0" w:after="0"/>
              <w:jc w:val="right"/>
              <w:rPr/>
            </w:pPr>
            <w:r>
              <w:rPr/>
              <w:t>—</w:t>
            </w:r>
          </w:p>
        </w:tc>
        <w:tc>
          <w:tcPr>
            <w:tcW w:w="79" w:type="dxa"/>
            <w:tcBorders/>
            <w:vAlign w:val="center"/>
          </w:tcPr>
          <w:p>
            <w:pPr>
              <w:pStyle w:val="TableContents"/>
              <w:bidi w:val="0"/>
              <w:spacing w:before="0" w:after="283"/>
              <w:ind w:left="0" w:right="0" w:hanging="151"/>
              <w:jc w:val="left"/>
              <w:rPr/>
            </w:pPr>
            <w:r>
              <w:rPr/>
              <w:t> </w:t>
            </w:r>
          </w:p>
        </w:tc>
      </w:tr>
      <w:tr>
        <w:trPr/>
        <w:tc>
          <w:tcPr>
            <w:tcW w:w="4281" w:type="dxa"/>
            <w:tcBorders/>
            <w:shd w:fill="CCEEFF" w:val="clear"/>
            <w:vAlign w:val="center"/>
          </w:tcPr>
          <w:p>
            <w:pPr>
              <w:pStyle w:val="TableContents"/>
              <w:bidi w:val="0"/>
              <w:spacing w:before="0" w:after="283"/>
              <w:jc w:val="left"/>
              <w:rPr/>
            </w:pPr>
            <w:r>
              <w:rPr/>
              <w:t>Warrant liabilities – Private warrants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1,253,333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1,253,333</w:t>
            </w:r>
          </w:p>
        </w:tc>
        <w:tc>
          <w:tcPr>
            <w:tcW w:w="79" w:type="dxa"/>
            <w:tcBorders/>
            <w:shd w:fill="CCEEFF" w:val="clear"/>
            <w:vAlign w:val="center"/>
          </w:tcPr>
          <w:p>
            <w:pPr>
              <w:pStyle w:val="TableContents"/>
              <w:bidi w:val="0"/>
              <w:spacing w:before="0" w:after="283"/>
              <w:ind w:left="0" w:right="0" w:hanging="151"/>
              <w:jc w:val="left"/>
              <w:rPr/>
            </w:pPr>
            <w:r>
              <w:rPr/>
              <w:t> </w:t>
            </w:r>
          </w:p>
        </w:tc>
      </w:tr>
      <w:tr>
        <w:trPr/>
        <w:tc>
          <w:tcPr>
            <w:tcW w:w="4281" w:type="dxa"/>
            <w:tcBorders/>
            <w:vAlign w:val="center"/>
          </w:tcPr>
          <w:p>
            <w:pPr>
              <w:pStyle w:val="TableContents"/>
              <w:bidi w:val="0"/>
              <w:spacing w:before="0" w:after="283"/>
              <w:jc w:val="left"/>
              <w:rPr/>
            </w:pPr>
            <w:r>
              <w:rPr/>
              <w:t>Convertible Note – April 1, 2022</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338,200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338,200</w:t>
            </w:r>
          </w:p>
        </w:tc>
        <w:tc>
          <w:tcPr>
            <w:tcW w:w="79" w:type="dxa"/>
            <w:tcBorders/>
            <w:vAlign w:val="center"/>
          </w:tcPr>
          <w:p>
            <w:pPr>
              <w:pStyle w:val="TableContents"/>
              <w:bidi w:val="0"/>
              <w:spacing w:before="0" w:after="283"/>
              <w:ind w:left="0" w:right="0" w:hanging="151"/>
              <w:jc w:val="left"/>
              <w:rPr/>
            </w:pPr>
            <w:r>
              <w:rPr/>
              <w:t> </w:t>
            </w:r>
          </w:p>
        </w:tc>
      </w:tr>
      <w:tr>
        <w:trPr/>
        <w:tc>
          <w:tcPr>
            <w:tcW w:w="4281" w:type="dxa"/>
            <w:tcBorders/>
            <w:shd w:fill="CCEEFF" w:val="clear"/>
            <w:vAlign w:val="center"/>
          </w:tcPr>
          <w:p>
            <w:pPr>
              <w:pStyle w:val="TableContents"/>
              <w:bidi w:val="0"/>
              <w:spacing w:before="0" w:after="283"/>
              <w:jc w:val="left"/>
              <w:rPr/>
            </w:pPr>
            <w:r>
              <w:rPr/>
              <w:t>Convertible Note – June 6, 2022</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338,200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338,200</w:t>
            </w:r>
          </w:p>
        </w:tc>
        <w:tc>
          <w:tcPr>
            <w:tcW w:w="79" w:type="dxa"/>
            <w:tcBorders/>
            <w:shd w:fill="CCEEFF" w:val="clear"/>
            <w:vAlign w:val="center"/>
          </w:tcPr>
          <w:p>
            <w:pPr>
              <w:pStyle w:val="TableContents"/>
              <w:bidi w:val="0"/>
              <w:spacing w:before="0" w:after="283"/>
              <w:ind w:left="0" w:right="0" w:hanging="151"/>
              <w:jc w:val="left"/>
              <w:rPr/>
            </w:pPr>
            <w:r>
              <w:rPr/>
              <w:t> </w:t>
            </w:r>
          </w:p>
        </w:tc>
      </w:tr>
      <w:tr>
        <w:trPr/>
        <w:tc>
          <w:tcPr>
            <w:tcW w:w="4281" w:type="dxa"/>
            <w:tcBorders/>
            <w:vAlign w:val="center"/>
          </w:tcPr>
          <w:p>
            <w:pPr>
              <w:pStyle w:val="TableContents"/>
              <w:bidi w:val="0"/>
              <w:spacing w:before="0" w:after="283"/>
              <w:jc w:val="left"/>
              <w:rPr/>
            </w:pPr>
            <w:r>
              <w:rPr/>
              <w:t>Convertible Note – December 14, 2022</w:t>
            </w:r>
          </w:p>
        </w:tc>
        <w:tc>
          <w:tcPr>
            <w:tcW w:w="60" w:type="dxa"/>
            <w:tcBorders/>
            <w:vAlign w:val="center"/>
          </w:tcPr>
          <w:p>
            <w:pPr>
              <w:pStyle w:val="TableContents"/>
              <w:bidi w:val="0"/>
              <w:spacing w:before="0" w:after="283"/>
              <w:jc w:val="left"/>
              <w:rPr/>
            </w:pPr>
            <w:r>
              <w:rPr/>
              <w:t> </w:t>
            </w:r>
          </w:p>
        </w:tc>
        <w:tc>
          <w:tcPr>
            <w:tcW w:w="14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tcMar>
              <w:bottom w:w="28" w:type="dxa"/>
            </w:tcMar>
            <w:vAlign w:val="center"/>
          </w:tcPr>
          <w:p>
            <w:pPr>
              <w:pStyle w:val="TableContents"/>
              <w:bidi w:val="0"/>
              <w:spacing w:before="0" w:after="283"/>
              <w:jc w:val="right"/>
              <w:rPr/>
            </w:pPr>
            <w:r>
              <w:rPr/>
              <w:t>152,200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76"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9"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tcMar>
              <w:bottom w:w="28" w:type="dxa"/>
            </w:tcMar>
            <w:vAlign w:val="center"/>
          </w:tcPr>
          <w:p>
            <w:pPr>
              <w:pStyle w:val="TableContents"/>
              <w:bidi w:val="0"/>
              <w:spacing w:before="0" w:after="283"/>
              <w:jc w:val="right"/>
              <w:rPr/>
            </w:pPr>
            <w:r>
              <w:rPr/>
              <w:t>152,200</w:t>
            </w:r>
          </w:p>
        </w:tc>
        <w:tc>
          <w:tcPr>
            <w:tcW w:w="79" w:type="dxa"/>
            <w:tcBorders/>
            <w:vAlign w:val="center"/>
          </w:tcPr>
          <w:p>
            <w:pPr>
              <w:pStyle w:val="TableContents"/>
              <w:bidi w:val="0"/>
              <w:spacing w:before="0" w:after="283"/>
              <w:ind w:left="0" w:right="0" w:hanging="151"/>
              <w:jc w:val="left"/>
              <w:rPr/>
            </w:pPr>
            <w:r>
              <w:rPr/>
              <w:t> </w:t>
            </w:r>
          </w:p>
        </w:tc>
      </w:tr>
      <w:tr>
        <w:trPr/>
        <w:tc>
          <w:tcPr>
            <w:tcW w:w="4281" w:type="dxa"/>
            <w:tcBorders/>
            <w:shd w:fill="CCEEFF" w:val="clear"/>
            <w:vAlign w:val="center"/>
          </w:tcPr>
          <w:p>
            <w:pPr>
              <w:pStyle w:val="TableContents"/>
              <w:bidi w:val="0"/>
              <w:spacing w:before="0" w:after="283"/>
              <w:jc w:val="left"/>
              <w:rPr/>
            </w:pPr>
            <w:r>
              <w:rPr/>
              <w:t>Total Warrant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shd w:fill="CCEEFF" w:val="clear"/>
            <w:tcMar>
              <w:bottom w:w="28" w:type="dxa"/>
            </w:tcMar>
            <w:vAlign w:val="center"/>
          </w:tcPr>
          <w:p>
            <w:pPr>
              <w:pStyle w:val="TableContents"/>
              <w:bidi w:val="0"/>
              <w:spacing w:before="0" w:after="283"/>
              <w:jc w:val="right"/>
              <w:rPr/>
            </w:pPr>
            <w:r>
              <w:rPr/>
              <w:t>3,806,933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29" w:type="dxa"/>
            <w:tcBorders>
              <w:bottom w:val="double" w:sz="10" w:space="0" w:color="000000"/>
            </w:tcBorders>
            <w:shd w:fill="CCEEFF" w:val="clear"/>
            <w:tcMar>
              <w:bottom w:w="28" w:type="dxa"/>
            </w:tcMar>
            <w:vAlign w:val="center"/>
          </w:tcPr>
          <w:p>
            <w:pPr>
              <w:pStyle w:val="TableContents"/>
              <w:bidi w:val="0"/>
              <w:spacing w:before="0" w:after="283"/>
              <w:jc w:val="right"/>
              <w:rPr/>
            </w:pPr>
            <w:r>
              <w:rPr/>
              <w:t>1,725,000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2" w:type="dxa"/>
            <w:tcBorders>
              <w:bottom w:val="double" w:sz="10" w:space="0" w:color="000000"/>
            </w:tcBorders>
            <w:shd w:fill="CCEEFF" w:val="clear"/>
            <w:tcMar>
              <w:bottom w:w="28" w:type="dxa"/>
            </w:tcMar>
            <w:vAlign w:val="center"/>
          </w:tcPr>
          <w:p>
            <w:pPr>
              <w:pStyle w:val="TableContents"/>
              <w:bidi w:val="0"/>
              <w:spacing w:before="0" w:after="283"/>
              <w:jc w:val="right"/>
              <w:rPr/>
            </w:pPr>
            <w:r>
              <w:rPr/>
              <w:t>2,081,933</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utilized a Monte Carlo simulation model for the initial valuation of the Public Warrants. The subsequent measurement of the Public Warrants as of June 30, 2023 and December 31, 2022 is classified as Level 2 due to the use of an observable market quote in an active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utilizes a binomial lattice simulation model to value the private placement warrants and the convertible promissory notes at each reporting period, with changes in fair value recognized in the condensed consolidated statements of operations. The estimated fair value of the warrant liability is determined using Level 3 inputs. Inherent in a binomial options pricing model are assumptions related to expected share-price volatility, expected life, risk-free interest rate and dividend yield. The Company estimates the volatility of its ordinary shares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aforementioned warrant liabilities are not subject to qualified hedge accounting.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to/from Levels 1, 2, and 3 are recognized at the end of the reporting period in which a change in valuation technique or methodology occurs. The value of the securities transferred from a Level 2 measurement to a Level 1 measurement during the year ended December 31, 2022 was $348,810,523. There was a transfer of $1,725,000 from Level 1 to Level 2 in the fair value hierarchy for Public Warrants during the year ended December 31, 2022. There were no transfers in or out of Level 3 from other levels in the fair value hierarchy during the three and six months ended June 30, 2023 for the securities, warrants, or any of the convertible promissory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quantitative information regarding Level 3 fair value measurements of the warrants:</w:t>
      </w:r>
    </w:p>
    <w:p>
      <w:pPr>
        <w:pStyle w:val="TextBody"/>
        <w:bidi w:val="0"/>
        <w:spacing w:before="0" w:after="0"/>
        <w:ind w:left="0" w:right="0" w:firstLine="360"/>
        <w:jc w:val="both"/>
        <w:rPr>
          <w:caps w:val="false"/>
          <w:smallCaps w:val="false"/>
        </w:rPr>
      </w:pPr>
      <w:r>
        <w:rPr>
          <w:caps w:val="false"/>
          <w:smallCaps w:val="false"/>
        </w:rPr>
        <w:t> </w:t>
      </w:r>
    </w:p>
    <w:tbl>
      <w:tblPr>
        <w:tblW w:w="4344" w:type="dxa"/>
        <w:jc w:val="left"/>
        <w:tblInd w:w="0" w:type="dxa"/>
        <w:tblLayout w:type="fixed"/>
        <w:tblCellMar>
          <w:top w:w="0" w:type="dxa"/>
          <w:left w:w="0" w:type="dxa"/>
          <w:bottom w:w="0" w:type="dxa"/>
          <w:right w:w="0" w:type="dxa"/>
        </w:tblCellMar>
      </w:tblPr>
      <w:tblGrid>
        <w:gridCol w:w="1490"/>
        <w:gridCol w:w="60"/>
        <w:gridCol w:w="175"/>
        <w:gridCol w:w="700"/>
        <w:gridCol w:w="215"/>
        <w:gridCol w:w="60"/>
        <w:gridCol w:w="186"/>
        <w:gridCol w:w="1228"/>
        <w:gridCol w:w="230"/>
      </w:tblGrid>
      <w:tr>
        <w:trPr/>
        <w:tc>
          <w:tcPr>
            <w:tcW w:w="1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At</w:t>
              <w:b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At</w:t>
              <w:br/>
              <w:t>December 31,</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30" w:type="dxa"/>
            <w:tcBorders/>
            <w:vAlign w:val="center"/>
          </w:tcPr>
          <w:p>
            <w:pPr>
              <w:pStyle w:val="TableContents"/>
              <w:bidi w:val="0"/>
              <w:spacing w:before="0" w:after="283"/>
              <w:ind w:left="0" w:right="0" w:hanging="151"/>
              <w:jc w:val="left"/>
              <w:rPr/>
            </w:pPr>
            <w:r>
              <w:rPr/>
              <w:t> </w:t>
            </w:r>
          </w:p>
        </w:tc>
      </w:tr>
      <w:tr>
        <w:trPr/>
        <w:tc>
          <w:tcPr>
            <w:tcW w:w="1490" w:type="dxa"/>
            <w:tcBorders/>
            <w:shd w:fill="CCEEFF" w:val="clear"/>
            <w:vAlign w:val="center"/>
          </w:tcPr>
          <w:p>
            <w:pPr>
              <w:pStyle w:val="TableContents"/>
              <w:bidi w:val="0"/>
              <w:spacing w:before="0" w:after="283"/>
              <w:jc w:val="left"/>
              <w:rPr/>
            </w:pPr>
            <w:r>
              <w:rPr/>
              <w:t>Share price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10.60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10.10</w:t>
            </w:r>
          </w:p>
        </w:tc>
        <w:tc>
          <w:tcPr>
            <w:tcW w:w="230" w:type="dxa"/>
            <w:tcBorders/>
            <w:shd w:fill="CCEEFF" w:val="clear"/>
            <w:vAlign w:val="center"/>
          </w:tcPr>
          <w:p>
            <w:pPr>
              <w:pStyle w:val="TableContents"/>
              <w:bidi w:val="0"/>
              <w:spacing w:before="0" w:after="283"/>
              <w:ind w:left="0" w:right="0" w:hanging="151"/>
              <w:jc w:val="left"/>
              <w:rPr/>
            </w:pPr>
            <w:r>
              <w:rPr/>
              <w:t> </w:t>
            </w:r>
          </w:p>
        </w:tc>
      </w:tr>
      <w:tr>
        <w:trPr/>
        <w:tc>
          <w:tcPr>
            <w:tcW w:w="1490" w:type="dxa"/>
            <w:tcBorders/>
            <w:vAlign w:val="center"/>
          </w:tcPr>
          <w:p>
            <w:pPr>
              <w:pStyle w:val="TableContents"/>
              <w:bidi w:val="0"/>
              <w:spacing w:before="0" w:after="283"/>
              <w:jc w:val="left"/>
              <w:rPr/>
            </w:pPr>
            <w:r>
              <w:rPr/>
              <w:t>Strike price</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11.50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11.50</w:t>
            </w:r>
          </w:p>
        </w:tc>
        <w:tc>
          <w:tcPr>
            <w:tcW w:w="230" w:type="dxa"/>
            <w:tcBorders/>
            <w:vAlign w:val="center"/>
          </w:tcPr>
          <w:p>
            <w:pPr>
              <w:pStyle w:val="TableContents"/>
              <w:bidi w:val="0"/>
              <w:spacing w:before="0" w:after="283"/>
              <w:ind w:left="0" w:right="0" w:hanging="151"/>
              <w:jc w:val="left"/>
              <w:rPr/>
            </w:pPr>
            <w:r>
              <w:rPr/>
              <w:t> </w:t>
            </w:r>
          </w:p>
        </w:tc>
      </w:tr>
      <w:tr>
        <w:trPr/>
        <w:tc>
          <w:tcPr>
            <w:tcW w:w="1490" w:type="dxa"/>
            <w:tcBorders/>
            <w:shd w:fill="CCEEFF" w:val="clear"/>
            <w:vAlign w:val="center"/>
          </w:tcPr>
          <w:p>
            <w:pPr>
              <w:pStyle w:val="TableContents"/>
              <w:bidi w:val="0"/>
              <w:spacing w:before="0" w:after="283"/>
              <w:jc w:val="left"/>
              <w:rPr/>
            </w:pPr>
            <w:r>
              <w:rPr/>
              <w:t>Term (in years)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5.74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0.38</w:t>
            </w:r>
          </w:p>
        </w:tc>
        <w:tc>
          <w:tcPr>
            <w:tcW w:w="230" w:type="dxa"/>
            <w:tcBorders/>
            <w:shd w:fill="CCEEFF" w:val="clear"/>
            <w:vAlign w:val="center"/>
          </w:tcPr>
          <w:p>
            <w:pPr>
              <w:pStyle w:val="TableContents"/>
              <w:bidi w:val="0"/>
              <w:spacing w:before="0" w:after="283"/>
              <w:ind w:left="0" w:right="0" w:hanging="151"/>
              <w:jc w:val="left"/>
              <w:rPr/>
            </w:pPr>
            <w:r>
              <w:rPr/>
              <w:t> </w:t>
            </w:r>
          </w:p>
        </w:tc>
      </w:tr>
      <w:tr>
        <w:trPr/>
        <w:tc>
          <w:tcPr>
            <w:tcW w:w="1490" w:type="dxa"/>
            <w:tcBorders/>
            <w:vAlign w:val="center"/>
          </w:tcPr>
          <w:p>
            <w:pPr>
              <w:pStyle w:val="TableContents"/>
              <w:bidi w:val="0"/>
              <w:spacing w:before="0" w:after="283"/>
              <w:jc w:val="left"/>
              <w:rPr/>
            </w:pPr>
            <w:r>
              <w:rPr/>
              <w:t>Volatility</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16.60</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de minimis</w:t>
            </w:r>
          </w:p>
        </w:tc>
        <w:tc>
          <w:tcPr>
            <w:tcW w:w="230" w:type="dxa"/>
            <w:tcBorders/>
            <w:vAlign w:val="center"/>
          </w:tcPr>
          <w:p>
            <w:pPr>
              <w:pStyle w:val="TableContents"/>
              <w:bidi w:val="0"/>
              <w:spacing w:before="0" w:after="283"/>
              <w:ind w:left="0" w:right="0" w:hanging="151"/>
              <w:jc w:val="left"/>
              <w:rPr/>
            </w:pPr>
            <w:r>
              <w:rPr/>
              <w:t> </w:t>
            </w:r>
          </w:p>
        </w:tc>
      </w:tr>
      <w:tr>
        <w:trPr/>
        <w:tc>
          <w:tcPr>
            <w:tcW w:w="1490"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5.44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3.98</w:t>
            </w:r>
          </w:p>
        </w:tc>
        <w:tc>
          <w:tcPr>
            <w:tcW w:w="230" w:type="dxa"/>
            <w:tcBorders/>
            <w:shd w:fill="CCEEFF" w:val="clear"/>
            <w:vAlign w:val="center"/>
          </w:tcPr>
          <w:p>
            <w:pPr>
              <w:pStyle w:val="TableContents"/>
              <w:bidi w:val="0"/>
              <w:spacing w:before="0" w:after="283"/>
              <w:ind w:left="0" w:right="0" w:hanging="151"/>
              <w:jc w:val="left"/>
              <w:rPr/>
            </w:pPr>
            <w:r>
              <w:rPr/>
              <w:t>%</w:t>
            </w:r>
          </w:p>
        </w:tc>
      </w:tr>
      <w:tr>
        <w:trPr/>
        <w:tc>
          <w:tcPr>
            <w:tcW w:w="1490" w:type="dxa"/>
            <w:tcBorders/>
            <w:vAlign w:val="center"/>
          </w:tcPr>
          <w:p>
            <w:pPr>
              <w:pStyle w:val="TableContents"/>
              <w:bidi w:val="0"/>
              <w:spacing w:before="0" w:after="283"/>
              <w:jc w:val="left"/>
              <w:rPr/>
            </w:pPr>
            <w:r>
              <w:rPr/>
              <w:t>Dividend yield</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0.00</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right"/>
              <w:rPr/>
            </w:pPr>
            <w:r>
              <w:rPr/>
              <w:t>0.00</w:t>
            </w:r>
          </w:p>
        </w:tc>
        <w:tc>
          <w:tcPr>
            <w:tcW w:w="230" w:type="dxa"/>
            <w:tcBorders/>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quantitative information regarding Level 3 fair value measurements of the convertible promissory notes:</w:t>
      </w:r>
    </w:p>
    <w:p>
      <w:pPr>
        <w:pStyle w:val="TextBody"/>
        <w:bidi w:val="0"/>
        <w:spacing w:before="0" w:after="0"/>
        <w:ind w:left="0" w:right="0" w:firstLine="360"/>
        <w:jc w:val="both"/>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1490"/>
        <w:gridCol w:w="60"/>
        <w:gridCol w:w="175"/>
        <w:gridCol w:w="700"/>
        <w:gridCol w:w="215"/>
        <w:gridCol w:w="60"/>
        <w:gridCol w:w="283"/>
        <w:gridCol w:w="1132"/>
        <w:gridCol w:w="230"/>
      </w:tblGrid>
      <w:tr>
        <w:trPr/>
        <w:tc>
          <w:tcPr>
            <w:tcW w:w="1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At</w:t>
              <w:b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At</w:t>
              <w:br/>
              <w:t>December 31,</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30" w:type="dxa"/>
            <w:tcBorders/>
            <w:vAlign w:val="center"/>
          </w:tcPr>
          <w:p>
            <w:pPr>
              <w:pStyle w:val="TableContents"/>
              <w:bidi w:val="0"/>
              <w:spacing w:before="0" w:after="283"/>
              <w:ind w:left="0" w:right="0" w:hanging="151"/>
              <w:jc w:val="left"/>
              <w:rPr/>
            </w:pPr>
            <w:r>
              <w:rPr/>
              <w:t> </w:t>
            </w:r>
          </w:p>
        </w:tc>
      </w:tr>
      <w:tr>
        <w:trPr/>
        <w:tc>
          <w:tcPr>
            <w:tcW w:w="1490" w:type="dxa"/>
            <w:tcBorders/>
            <w:shd w:fill="CCEEFF" w:val="clear"/>
            <w:vAlign w:val="center"/>
          </w:tcPr>
          <w:p>
            <w:pPr>
              <w:pStyle w:val="TableContents"/>
              <w:bidi w:val="0"/>
              <w:spacing w:before="0" w:after="283"/>
              <w:jc w:val="left"/>
              <w:rPr/>
            </w:pPr>
            <w:r>
              <w:rPr/>
              <w:t>Share price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10.60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10.10</w:t>
            </w:r>
          </w:p>
        </w:tc>
        <w:tc>
          <w:tcPr>
            <w:tcW w:w="230" w:type="dxa"/>
            <w:tcBorders/>
            <w:shd w:fill="CCEEFF" w:val="clear"/>
            <w:vAlign w:val="center"/>
          </w:tcPr>
          <w:p>
            <w:pPr>
              <w:pStyle w:val="TableContents"/>
              <w:bidi w:val="0"/>
              <w:spacing w:before="0" w:after="283"/>
              <w:ind w:left="0" w:right="0" w:hanging="151"/>
              <w:jc w:val="left"/>
              <w:rPr/>
            </w:pPr>
            <w:r>
              <w:rPr/>
              <w:t> </w:t>
            </w:r>
          </w:p>
        </w:tc>
      </w:tr>
      <w:tr>
        <w:trPr/>
        <w:tc>
          <w:tcPr>
            <w:tcW w:w="1490" w:type="dxa"/>
            <w:tcBorders/>
            <w:vAlign w:val="center"/>
          </w:tcPr>
          <w:p>
            <w:pPr>
              <w:pStyle w:val="TableContents"/>
              <w:bidi w:val="0"/>
              <w:spacing w:before="0" w:after="283"/>
              <w:jc w:val="left"/>
              <w:rPr/>
            </w:pPr>
            <w:r>
              <w:rPr/>
              <w:t>Strike price</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11.50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11.50</w:t>
            </w:r>
          </w:p>
        </w:tc>
        <w:tc>
          <w:tcPr>
            <w:tcW w:w="230" w:type="dxa"/>
            <w:tcBorders/>
            <w:vAlign w:val="center"/>
          </w:tcPr>
          <w:p>
            <w:pPr>
              <w:pStyle w:val="TableContents"/>
              <w:bidi w:val="0"/>
              <w:spacing w:before="0" w:after="283"/>
              <w:ind w:left="0" w:right="0" w:hanging="151"/>
              <w:jc w:val="left"/>
              <w:rPr/>
            </w:pPr>
            <w:r>
              <w:rPr/>
              <w:t> </w:t>
            </w:r>
          </w:p>
        </w:tc>
      </w:tr>
      <w:tr>
        <w:trPr/>
        <w:tc>
          <w:tcPr>
            <w:tcW w:w="1490" w:type="dxa"/>
            <w:tcBorders/>
            <w:shd w:fill="CCEEFF" w:val="clear"/>
            <w:vAlign w:val="center"/>
          </w:tcPr>
          <w:p>
            <w:pPr>
              <w:pStyle w:val="TableContents"/>
              <w:bidi w:val="0"/>
              <w:spacing w:before="0" w:after="283"/>
              <w:jc w:val="left"/>
              <w:rPr/>
            </w:pPr>
            <w:r>
              <w:rPr/>
              <w:t>Term (in years)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0.06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0.38</w:t>
            </w:r>
          </w:p>
        </w:tc>
        <w:tc>
          <w:tcPr>
            <w:tcW w:w="230" w:type="dxa"/>
            <w:tcBorders/>
            <w:shd w:fill="CCEEFF" w:val="clear"/>
            <w:vAlign w:val="center"/>
          </w:tcPr>
          <w:p>
            <w:pPr>
              <w:pStyle w:val="TableContents"/>
              <w:bidi w:val="0"/>
              <w:spacing w:before="0" w:after="283"/>
              <w:ind w:left="0" w:right="0" w:hanging="151"/>
              <w:jc w:val="left"/>
              <w:rPr/>
            </w:pPr>
            <w:r>
              <w:rPr/>
              <w:t> </w:t>
            </w:r>
          </w:p>
        </w:tc>
      </w:tr>
      <w:tr>
        <w:trPr/>
        <w:tc>
          <w:tcPr>
            <w:tcW w:w="1490" w:type="dxa"/>
            <w:tcBorders/>
            <w:vAlign w:val="center"/>
          </w:tcPr>
          <w:p>
            <w:pPr>
              <w:pStyle w:val="TableContents"/>
              <w:bidi w:val="0"/>
              <w:spacing w:before="0" w:after="283"/>
              <w:jc w:val="left"/>
              <w:rPr/>
            </w:pPr>
            <w:r>
              <w:rPr/>
              <w:t>Risk-free rate</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5.24</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4.54</w:t>
            </w:r>
          </w:p>
        </w:tc>
        <w:tc>
          <w:tcPr>
            <w:tcW w:w="230" w:type="dxa"/>
            <w:tcBorders/>
            <w:vAlign w:val="center"/>
          </w:tcPr>
          <w:p>
            <w:pPr>
              <w:pStyle w:val="TableContents"/>
              <w:bidi w:val="0"/>
              <w:spacing w:before="0" w:after="283"/>
              <w:ind w:left="0" w:right="0" w:hanging="151"/>
              <w:jc w:val="left"/>
              <w:rPr/>
            </w:pPr>
            <w:r>
              <w:rPr/>
              <w:t>%</w:t>
            </w:r>
          </w:p>
        </w:tc>
      </w:tr>
      <w:tr>
        <w:trPr/>
        <w:tc>
          <w:tcPr>
            <w:tcW w:w="1490" w:type="dxa"/>
            <w:tcBorders/>
            <w:shd w:fill="CCEEFF" w:val="clear"/>
            <w:vAlign w:val="center"/>
          </w:tcPr>
          <w:p>
            <w:pPr>
              <w:pStyle w:val="TableContents"/>
              <w:bidi w:val="0"/>
              <w:spacing w:before="0" w:after="283"/>
              <w:jc w:val="left"/>
              <w:rPr/>
            </w:pPr>
            <w:r>
              <w:rPr/>
              <w:t>Dividend yield</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0.00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changes in the fair value of the convertible promissory notes:</w:t>
      </w:r>
    </w:p>
    <w:p>
      <w:pPr>
        <w:pStyle w:val="TextBody"/>
        <w:bidi w:val="0"/>
        <w:spacing w:before="0" w:after="0"/>
        <w:ind w:left="0" w:right="0" w:firstLine="360"/>
        <w:jc w:val="both"/>
        <w:rPr>
          <w:caps w:val="false"/>
          <w:smallCaps w:val="false"/>
        </w:rPr>
      </w:pPr>
      <w:r>
        <w:rPr>
          <w:caps w:val="false"/>
          <w:smallCaps w:val="false"/>
        </w:rPr>
        <w:t> </w:t>
      </w:r>
    </w:p>
    <w:tbl>
      <w:tblPr>
        <w:tblW w:w="8675" w:type="dxa"/>
        <w:jc w:val="left"/>
        <w:tblInd w:w="0" w:type="dxa"/>
        <w:tblLayout w:type="fixed"/>
        <w:tblCellMar>
          <w:top w:w="0" w:type="dxa"/>
          <w:left w:w="0" w:type="dxa"/>
          <w:bottom w:w="0" w:type="dxa"/>
          <w:right w:w="0" w:type="dxa"/>
        </w:tblCellMar>
      </w:tblPr>
      <w:tblGrid>
        <w:gridCol w:w="7385"/>
        <w:gridCol w:w="60"/>
        <w:gridCol w:w="140"/>
        <w:gridCol w:w="980"/>
        <w:gridCol w:w="110"/>
      </w:tblGrid>
      <w:tr>
        <w:trPr/>
        <w:tc>
          <w:tcPr>
            <w:tcW w:w="7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2023</w:t>
            </w:r>
          </w:p>
        </w:tc>
        <w:tc>
          <w:tcPr>
            <w:tcW w:w="110" w:type="dxa"/>
            <w:tcBorders/>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283"/>
              <w:jc w:val="left"/>
              <w:rPr/>
            </w:pPr>
            <w:r>
              <w:rPr/>
              <w:t>Fair value as of January 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828,600</w:t>
            </w:r>
          </w:p>
        </w:tc>
        <w:tc>
          <w:tcPr>
            <w:tcW w:w="110" w:type="dxa"/>
            <w:tcBorders/>
            <w:shd w:fill="CCEEFF" w:val="clear"/>
            <w:vAlign w:val="center"/>
          </w:tcPr>
          <w:p>
            <w:pPr>
              <w:pStyle w:val="TableContents"/>
              <w:bidi w:val="0"/>
              <w:spacing w:before="0" w:after="283"/>
              <w:jc w:val="left"/>
              <w:rPr/>
            </w:pPr>
            <w:r>
              <w:rPr/>
              <w:t> </w:t>
            </w:r>
          </w:p>
        </w:tc>
      </w:tr>
      <w:tr>
        <w:trPr/>
        <w:tc>
          <w:tcPr>
            <w:tcW w:w="7385" w:type="dxa"/>
            <w:tcBorders/>
            <w:vAlign w:val="center"/>
          </w:tcPr>
          <w:p>
            <w:pPr>
              <w:pStyle w:val="TableContents"/>
              <w:bidi w:val="0"/>
              <w:spacing w:before="0" w:after="283"/>
              <w:jc w:val="left"/>
              <w:rPr/>
            </w:pPr>
            <w:r>
              <w:rPr/>
              <w:t>Borrowing during the quarter ended March 31, 2023</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100,000</w:t>
            </w:r>
          </w:p>
        </w:tc>
        <w:tc>
          <w:tcPr>
            <w:tcW w:w="110" w:type="dxa"/>
            <w:tcBorders/>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283"/>
              <w:jc w:val="left"/>
              <w:rPr/>
            </w:pPr>
            <w:r>
              <w:rPr/>
              <w:t>Proceeds received in excess of initial fair value of convertible promissory note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(12,198</w:t>
            </w:r>
          </w:p>
        </w:tc>
        <w:tc>
          <w:tcPr>
            <w:tcW w:w="110" w:type="dxa"/>
            <w:tcBorders/>
            <w:shd w:fill="CCEEFF" w:val="clear"/>
            <w:vAlign w:val="center"/>
          </w:tcPr>
          <w:p>
            <w:pPr>
              <w:pStyle w:val="TableContents"/>
              <w:bidi w:val="0"/>
              <w:spacing w:before="0" w:after="283"/>
              <w:jc w:val="left"/>
              <w:rPr/>
            </w:pPr>
            <w:r>
              <w:rPr/>
              <w:t>)</w:t>
            </w:r>
          </w:p>
        </w:tc>
      </w:tr>
      <w:tr>
        <w:trPr/>
        <w:tc>
          <w:tcPr>
            <w:tcW w:w="7385" w:type="dxa"/>
            <w:tcBorders/>
            <w:vAlign w:val="center"/>
          </w:tcPr>
          <w:p>
            <w:pPr>
              <w:pStyle w:val="TableContents"/>
              <w:bidi w:val="0"/>
              <w:spacing w:before="0" w:after="283"/>
              <w:jc w:val="left"/>
              <w:rPr/>
            </w:pPr>
            <w:r>
              <w:rPr/>
              <w:t>Change in fair value</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257,725</w:t>
            </w:r>
          </w:p>
        </w:tc>
        <w:tc>
          <w:tcPr>
            <w:tcW w:w="110" w:type="dxa"/>
            <w:tcBorders/>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283"/>
              <w:jc w:val="left"/>
              <w:rPr>
                <w:b/>
              </w:rPr>
            </w:pPr>
            <w:r>
              <w:rPr>
                <w:b/>
              </w:rPr>
              <w:t>Fair value as of March 31,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1,174,127</w:t>
            </w:r>
          </w:p>
        </w:tc>
        <w:tc>
          <w:tcPr>
            <w:tcW w:w="110" w:type="dxa"/>
            <w:tcBorders/>
            <w:shd w:fill="CCEEFF" w:val="clear"/>
            <w:vAlign w:val="center"/>
          </w:tcPr>
          <w:p>
            <w:pPr>
              <w:pStyle w:val="TableContents"/>
              <w:bidi w:val="0"/>
              <w:spacing w:before="0" w:after="283"/>
              <w:jc w:val="left"/>
              <w:rPr/>
            </w:pPr>
            <w:r>
              <w:rPr/>
              <w:t> </w:t>
            </w:r>
          </w:p>
        </w:tc>
      </w:tr>
      <w:tr>
        <w:trPr/>
        <w:tc>
          <w:tcPr>
            <w:tcW w:w="7385" w:type="dxa"/>
            <w:tcBorders/>
            <w:vAlign w:val="center"/>
          </w:tcPr>
          <w:p>
            <w:pPr>
              <w:pStyle w:val="TableContents"/>
              <w:bidi w:val="0"/>
              <w:spacing w:before="0" w:after="283"/>
              <w:jc w:val="left"/>
              <w:rPr/>
            </w:pPr>
            <w:r>
              <w:rPr/>
              <w:t>Change in fair value</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14,872</w:t>
            </w:r>
          </w:p>
        </w:tc>
        <w:tc>
          <w:tcPr>
            <w:tcW w:w="110" w:type="dxa"/>
            <w:tcBorders/>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283"/>
              <w:jc w:val="left"/>
              <w:rPr>
                <w:b/>
              </w:rPr>
            </w:pPr>
            <w:r>
              <w:rPr>
                <w:b/>
              </w:rPr>
              <w:t>Fair value as of June 30, 2023</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1,188,999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changes in the fair value of warrant liabilities:</w:t>
      </w:r>
    </w:p>
    <w:p>
      <w:pPr>
        <w:pStyle w:val="TextBody"/>
        <w:bidi w:val="0"/>
        <w:spacing w:before="0" w:after="0"/>
        <w:ind w:left="0" w:right="0" w:firstLine="360"/>
        <w:jc w:val="both"/>
        <w:rPr>
          <w:caps w:val="false"/>
          <w:smallCaps w:val="false"/>
        </w:rPr>
      </w:pPr>
      <w:r>
        <w:rPr>
          <w:caps w:val="false"/>
          <w:smallCaps w:val="false"/>
        </w:rPr>
        <w:t> </w:t>
      </w:r>
    </w:p>
    <w:tbl>
      <w:tblPr>
        <w:tblW w:w="8645" w:type="dxa"/>
        <w:jc w:val="left"/>
        <w:tblInd w:w="0" w:type="dxa"/>
        <w:tblLayout w:type="fixed"/>
        <w:tblCellMar>
          <w:top w:w="0" w:type="dxa"/>
          <w:left w:w="0" w:type="dxa"/>
          <w:bottom w:w="0" w:type="dxa"/>
          <w:right w:w="0" w:type="dxa"/>
        </w:tblCellMar>
      </w:tblPr>
      <w:tblGrid>
        <w:gridCol w:w="4580"/>
        <w:gridCol w:w="60"/>
        <w:gridCol w:w="140"/>
        <w:gridCol w:w="1055"/>
        <w:gridCol w:w="95"/>
        <w:gridCol w:w="60"/>
        <w:gridCol w:w="140"/>
        <w:gridCol w:w="1055"/>
        <w:gridCol w:w="95"/>
        <w:gridCol w:w="60"/>
        <w:gridCol w:w="140"/>
        <w:gridCol w:w="1055"/>
        <w:gridCol w:w="110"/>
      </w:tblGrid>
      <w:tr>
        <w:trPr/>
        <w:tc>
          <w:tcPr>
            <w:tcW w:w="45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Public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Private</w:t>
              <w:br/>
              <w:t>Placement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Warrant</w:t>
              <w:br/>
              <w:t>Liabilities</w:t>
            </w:r>
          </w:p>
        </w:tc>
        <w:tc>
          <w:tcPr>
            <w:tcW w:w="110" w:type="dxa"/>
            <w:tcBorders/>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51"/>
              <w:jc w:val="left"/>
              <w:rPr/>
            </w:pPr>
            <w:r>
              <w:rPr/>
              <w:t> </w:t>
            </w:r>
          </w:p>
        </w:tc>
      </w:tr>
      <w:tr>
        <w:trPr/>
        <w:tc>
          <w:tcPr>
            <w:tcW w:w="4580" w:type="dxa"/>
            <w:tcBorders/>
            <w:shd w:fill="CCEEFF" w:val="clear"/>
            <w:vAlign w:val="center"/>
          </w:tcPr>
          <w:p>
            <w:pPr>
              <w:pStyle w:val="TableContents"/>
              <w:bidi w:val="0"/>
              <w:spacing w:before="0" w:after="283"/>
              <w:jc w:val="left"/>
              <w:rPr/>
            </w:pPr>
            <w:r>
              <w:rPr/>
              <w:t>Fair value as of January 1, 2022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4,916,250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3,572,000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8,488,250</w:t>
            </w:r>
          </w:p>
        </w:tc>
        <w:tc>
          <w:tcPr>
            <w:tcW w:w="110" w:type="dxa"/>
            <w:tcBorders/>
            <w:shd w:fill="CCEEFF" w:val="clear"/>
            <w:vAlign w:val="center"/>
          </w:tcPr>
          <w:p>
            <w:pPr>
              <w:pStyle w:val="TableContents"/>
              <w:bidi w:val="0"/>
              <w:spacing w:before="0" w:after="283"/>
              <w:ind w:left="0" w:right="0" w:hanging="151"/>
              <w:jc w:val="left"/>
              <w:rPr/>
            </w:pPr>
            <w:r>
              <w:rPr/>
              <w:t> </w:t>
            </w:r>
          </w:p>
        </w:tc>
      </w:tr>
      <w:tr>
        <w:trPr/>
        <w:tc>
          <w:tcPr>
            <w:tcW w:w="4580" w:type="dxa"/>
            <w:tcBorders/>
            <w:vAlign w:val="center"/>
          </w:tcPr>
          <w:p>
            <w:pPr>
              <w:pStyle w:val="TableContents"/>
              <w:bidi w:val="0"/>
              <w:spacing w:before="0" w:after="283"/>
              <w:jc w:val="left"/>
              <w:rPr/>
            </w:pPr>
            <w:r>
              <w:rPr/>
              <w:t>Change in valuation inputs or other assumptions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(3,191,250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(2,318,667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(5,509,917</w:t>
            </w:r>
          </w:p>
        </w:tc>
        <w:tc>
          <w:tcPr>
            <w:tcW w:w="110" w:type="dxa"/>
            <w:tcBorders/>
            <w:vAlign w:val="center"/>
          </w:tcPr>
          <w:p>
            <w:pPr>
              <w:pStyle w:val="TableContents"/>
              <w:bidi w:val="0"/>
              <w:spacing w:before="0" w:after="283"/>
              <w:ind w:left="0" w:right="0" w:hanging="151"/>
              <w:jc w:val="left"/>
              <w:rPr/>
            </w:pPr>
            <w:r>
              <w:rPr/>
              <w:t>)</w:t>
            </w:r>
          </w:p>
        </w:tc>
      </w:tr>
      <w:tr>
        <w:trPr/>
        <w:tc>
          <w:tcPr>
            <w:tcW w:w="4580" w:type="dxa"/>
            <w:tcBorders/>
            <w:shd w:fill="CCEEFF" w:val="clear"/>
            <w:vAlign w:val="center"/>
          </w:tcPr>
          <w:p>
            <w:pPr>
              <w:pStyle w:val="TableContents"/>
              <w:bidi w:val="0"/>
              <w:spacing w:before="0" w:after="283"/>
              <w:jc w:val="left"/>
              <w:rPr/>
            </w:pPr>
            <w:r>
              <w:rPr/>
              <w:t>Fair value as of December 31, 2022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1,725,000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1,253,333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2,978,333</w:t>
            </w:r>
          </w:p>
        </w:tc>
        <w:tc>
          <w:tcPr>
            <w:tcW w:w="110" w:type="dxa"/>
            <w:tcBorders/>
            <w:shd w:fill="CCEEFF" w:val="clear"/>
            <w:vAlign w:val="center"/>
          </w:tcPr>
          <w:p>
            <w:pPr>
              <w:pStyle w:val="TableContents"/>
              <w:bidi w:val="0"/>
              <w:spacing w:before="0" w:after="283"/>
              <w:ind w:left="0" w:right="0" w:hanging="151"/>
              <w:jc w:val="left"/>
              <w:rPr/>
            </w:pPr>
            <w:r>
              <w:rPr/>
              <w:t> </w:t>
            </w:r>
          </w:p>
        </w:tc>
      </w:tr>
      <w:tr>
        <w:trPr/>
        <w:tc>
          <w:tcPr>
            <w:tcW w:w="4580" w:type="dxa"/>
            <w:tcBorders/>
            <w:vAlign w:val="center"/>
          </w:tcPr>
          <w:p>
            <w:pPr>
              <w:pStyle w:val="TableContents"/>
              <w:bidi w:val="0"/>
              <w:spacing w:before="0" w:after="283"/>
              <w:jc w:val="left"/>
              <w:rPr/>
            </w:pPr>
            <w:r>
              <w:rPr/>
              <w:t>Change in valuation inputs or other assumptions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439,013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330,042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769,055</w:t>
            </w:r>
          </w:p>
        </w:tc>
        <w:tc>
          <w:tcPr>
            <w:tcW w:w="110" w:type="dxa"/>
            <w:tcBorders/>
            <w:vAlign w:val="center"/>
          </w:tcPr>
          <w:p>
            <w:pPr>
              <w:pStyle w:val="TableContents"/>
              <w:bidi w:val="0"/>
              <w:spacing w:before="0" w:after="283"/>
              <w:ind w:left="0" w:right="0" w:hanging="151"/>
              <w:jc w:val="left"/>
              <w:rPr/>
            </w:pPr>
            <w:r>
              <w:rPr/>
              <w:t> </w:t>
            </w:r>
          </w:p>
        </w:tc>
      </w:tr>
      <w:tr>
        <w:trPr/>
        <w:tc>
          <w:tcPr>
            <w:tcW w:w="4580" w:type="dxa"/>
            <w:tcBorders/>
            <w:shd w:fill="CCEEFF" w:val="clear"/>
            <w:vAlign w:val="center"/>
          </w:tcPr>
          <w:p>
            <w:pPr>
              <w:pStyle w:val="TableContents"/>
              <w:bidi w:val="0"/>
              <w:spacing w:before="0" w:after="283"/>
              <w:jc w:val="left"/>
              <w:rPr/>
            </w:pPr>
            <w:r>
              <w:rPr/>
              <w:t>Fair value as of March 31,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2,164,013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1,583,375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3,747,388</w:t>
            </w:r>
          </w:p>
        </w:tc>
        <w:tc>
          <w:tcPr>
            <w:tcW w:w="110" w:type="dxa"/>
            <w:tcBorders/>
            <w:shd w:fill="CCEEFF" w:val="clear"/>
            <w:vAlign w:val="center"/>
          </w:tcPr>
          <w:p>
            <w:pPr>
              <w:pStyle w:val="TableContents"/>
              <w:bidi w:val="0"/>
              <w:spacing w:before="0" w:after="283"/>
              <w:ind w:left="0" w:right="0" w:hanging="151"/>
              <w:jc w:val="left"/>
              <w:rPr/>
            </w:pPr>
            <w:r>
              <w:rPr/>
              <w:t> </w:t>
            </w:r>
          </w:p>
        </w:tc>
      </w:tr>
      <w:tr>
        <w:trPr/>
        <w:tc>
          <w:tcPr>
            <w:tcW w:w="4580" w:type="dxa"/>
            <w:tcBorders/>
            <w:vAlign w:val="center"/>
          </w:tcPr>
          <w:p>
            <w:pPr>
              <w:pStyle w:val="TableContents"/>
              <w:bidi w:val="0"/>
              <w:spacing w:before="0" w:after="283"/>
              <w:jc w:val="left"/>
              <w:rPr/>
            </w:pPr>
            <w:r>
              <w:rPr/>
              <w:t>Change in valuation inputs or other assumptions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1,458,487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1,079,085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2,537,572</w:t>
            </w:r>
          </w:p>
        </w:tc>
        <w:tc>
          <w:tcPr>
            <w:tcW w:w="110" w:type="dxa"/>
            <w:tcBorders/>
            <w:vAlign w:val="center"/>
          </w:tcPr>
          <w:p>
            <w:pPr>
              <w:pStyle w:val="TableContents"/>
              <w:bidi w:val="0"/>
              <w:spacing w:before="0" w:after="283"/>
              <w:ind w:left="0" w:right="0" w:hanging="151"/>
              <w:jc w:val="left"/>
              <w:rPr/>
            </w:pPr>
            <w:r>
              <w:rPr/>
              <w:t> </w:t>
            </w:r>
          </w:p>
        </w:tc>
      </w:tr>
      <w:tr>
        <w:trPr/>
        <w:tc>
          <w:tcPr>
            <w:tcW w:w="4580" w:type="dxa"/>
            <w:tcBorders/>
            <w:shd w:fill="CCEEFF" w:val="clear"/>
            <w:vAlign w:val="center"/>
          </w:tcPr>
          <w:p>
            <w:pPr>
              <w:pStyle w:val="TableContents"/>
              <w:bidi w:val="0"/>
              <w:spacing w:before="0" w:after="283"/>
              <w:jc w:val="left"/>
              <w:rPr/>
            </w:pPr>
            <w:r>
              <w:rPr/>
              <w:t>Fair value as of June 30, 2023</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3,622,500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2,662,460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6,284,960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summary of the changes in the fair value of Level 3 warrant liabilities:</w:t>
      </w:r>
    </w:p>
    <w:p>
      <w:pPr>
        <w:pStyle w:val="TextBody"/>
        <w:bidi w:val="0"/>
        <w:spacing w:before="0" w:after="0"/>
        <w:ind w:left="0" w:right="0" w:firstLine="360"/>
        <w:jc w:val="both"/>
        <w:rPr>
          <w:caps w:val="false"/>
          <w:smallCaps w:val="false"/>
        </w:rPr>
      </w:pPr>
      <w:r>
        <w:rPr>
          <w:caps w:val="false"/>
          <w:smallCaps w:val="false"/>
        </w:rPr>
        <w:t> </w:t>
      </w:r>
    </w:p>
    <w:tbl>
      <w:tblPr>
        <w:tblW w:w="7594" w:type="dxa"/>
        <w:jc w:val="left"/>
        <w:tblInd w:w="0" w:type="dxa"/>
        <w:tblLayout w:type="fixed"/>
        <w:tblCellMar>
          <w:top w:w="0" w:type="dxa"/>
          <w:left w:w="0" w:type="dxa"/>
          <w:bottom w:w="0" w:type="dxa"/>
          <w:right w:w="0" w:type="dxa"/>
        </w:tblCellMar>
      </w:tblPr>
      <w:tblGrid>
        <w:gridCol w:w="3425"/>
        <w:gridCol w:w="60"/>
        <w:gridCol w:w="218"/>
        <w:gridCol w:w="1646"/>
        <w:gridCol w:w="95"/>
        <w:gridCol w:w="60"/>
        <w:gridCol w:w="160"/>
        <w:gridCol w:w="505"/>
        <w:gridCol w:w="60"/>
        <w:gridCol w:w="60"/>
        <w:gridCol w:w="140"/>
        <w:gridCol w:w="1055"/>
        <w:gridCol w:w="110"/>
      </w:tblGrid>
      <w:tr>
        <w:trPr/>
        <w:tc>
          <w:tcPr>
            <w:tcW w:w="34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Private Placement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Public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br/>
              <w:t>Warrant</w:t>
              <w:br/>
              <w:t>Liabilities</w:t>
            </w:r>
          </w:p>
        </w:tc>
        <w:tc>
          <w:tcPr>
            <w:tcW w:w="110" w:type="dxa"/>
            <w:tcBorders/>
            <w:vAlign w:val="center"/>
          </w:tcPr>
          <w:p>
            <w:pPr>
              <w:pStyle w:val="TableContents"/>
              <w:bidi w:val="0"/>
              <w:spacing w:before="0" w:after="283"/>
              <w:ind w:left="0" w:right="0" w:hanging="151"/>
              <w:jc w:val="left"/>
              <w:rPr/>
            </w:pPr>
            <w:r>
              <w:rPr/>
              <w:t> </w:t>
            </w:r>
          </w:p>
        </w:tc>
      </w:tr>
      <w:tr>
        <w:trPr/>
        <w:tc>
          <w:tcPr>
            <w:tcW w:w="3425" w:type="dxa"/>
            <w:tcBorders/>
            <w:shd w:fill="CCEEFF" w:val="clear"/>
            <w:vAlign w:val="center"/>
          </w:tcPr>
          <w:p>
            <w:pPr>
              <w:pStyle w:val="TableContents"/>
              <w:bidi w:val="0"/>
              <w:spacing w:before="0" w:after="283"/>
              <w:jc w:val="left"/>
              <w:rPr/>
            </w:pPr>
            <w:r>
              <w:rPr/>
              <w:t>Fair value as of January 1, 2022</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646" w:type="dxa"/>
            <w:tcBorders/>
            <w:shd w:fill="CCEEFF" w:val="clear"/>
            <w:vAlign w:val="center"/>
          </w:tcPr>
          <w:p>
            <w:pPr>
              <w:pStyle w:val="TableContents"/>
              <w:bidi w:val="0"/>
              <w:spacing w:before="0" w:after="283"/>
              <w:jc w:val="right"/>
              <w:rPr/>
            </w:pPr>
            <w:r>
              <w:rPr/>
              <w:t>3,572,000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505"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3,572,000</w:t>
            </w:r>
          </w:p>
        </w:tc>
        <w:tc>
          <w:tcPr>
            <w:tcW w:w="110" w:type="dxa"/>
            <w:tcBorders/>
            <w:shd w:fill="CCEEFF" w:val="clear"/>
            <w:vAlign w:val="center"/>
          </w:tcPr>
          <w:p>
            <w:pPr>
              <w:pStyle w:val="TableContents"/>
              <w:bidi w:val="0"/>
              <w:spacing w:before="0" w:after="283"/>
              <w:ind w:left="0" w:right="0" w:hanging="151"/>
              <w:jc w:val="left"/>
              <w:rPr/>
            </w:pPr>
            <w:r>
              <w:rPr/>
              <w:t> </w:t>
            </w:r>
          </w:p>
        </w:tc>
      </w:tr>
      <w:tr>
        <w:trPr/>
        <w:tc>
          <w:tcPr>
            <w:tcW w:w="3425" w:type="dxa"/>
            <w:tcBorders/>
            <w:vAlign w:val="center"/>
          </w:tcPr>
          <w:p>
            <w:pPr>
              <w:pStyle w:val="TableContents"/>
              <w:bidi w:val="0"/>
              <w:spacing w:before="0" w:after="283"/>
              <w:jc w:val="left"/>
              <w:rPr/>
            </w:pPr>
            <w:r>
              <w:rPr/>
              <w:t>Change in fair value</w:t>
            </w:r>
          </w:p>
        </w:tc>
        <w:tc>
          <w:tcPr>
            <w:tcW w:w="60" w:type="dxa"/>
            <w:tcBorders/>
            <w:vAlign w:val="center"/>
          </w:tcPr>
          <w:p>
            <w:pPr>
              <w:pStyle w:val="TableContents"/>
              <w:bidi w:val="0"/>
              <w:spacing w:before="0" w:after="283"/>
              <w:jc w:val="left"/>
              <w:rPr/>
            </w:pPr>
            <w:r>
              <w:rPr/>
              <w:t> </w:t>
            </w:r>
          </w:p>
        </w:tc>
        <w:tc>
          <w:tcPr>
            <w:tcW w:w="218" w:type="dxa"/>
            <w:tcBorders>
              <w:bottom w:val="single" w:sz="12" w:space="0" w:color="000000"/>
            </w:tcBorders>
            <w:tcMar>
              <w:bottom w:w="28" w:type="dxa"/>
            </w:tcMar>
            <w:vAlign w:val="center"/>
          </w:tcPr>
          <w:p>
            <w:pPr>
              <w:pStyle w:val="TableContents"/>
              <w:bidi w:val="0"/>
              <w:spacing w:before="0" w:after="283"/>
              <w:jc w:val="left"/>
              <w:rPr/>
            </w:pPr>
            <w:r>
              <w:rPr/>
              <w:t> </w:t>
            </w:r>
          </w:p>
        </w:tc>
        <w:tc>
          <w:tcPr>
            <w:tcW w:w="1646" w:type="dxa"/>
            <w:tcBorders>
              <w:bottom w:val="single" w:sz="12" w:space="0" w:color="000000"/>
            </w:tcBorders>
            <w:tcMar>
              <w:bottom w:w="28" w:type="dxa"/>
            </w:tcMar>
            <w:vAlign w:val="center"/>
          </w:tcPr>
          <w:p>
            <w:pPr>
              <w:pStyle w:val="TableContents"/>
              <w:bidi w:val="0"/>
              <w:spacing w:before="0" w:after="283"/>
              <w:jc w:val="right"/>
              <w:rPr/>
            </w:pPr>
            <w:r>
              <w:rPr/>
              <w:t>(2,318,667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0" w:type="dxa"/>
            <w:tcBorders>
              <w:bottom w:val="single" w:sz="12" w:space="0" w:color="000000"/>
            </w:tcBorders>
            <w:tcMar>
              <w:bottom w:w="28" w:type="dxa"/>
            </w:tcMar>
            <w:vAlign w:val="center"/>
          </w:tcPr>
          <w:p>
            <w:pPr>
              <w:pStyle w:val="TableContents"/>
              <w:bidi w:val="0"/>
              <w:spacing w:before="0" w:after="283"/>
              <w:jc w:val="left"/>
              <w:rPr/>
            </w:pPr>
            <w:r>
              <w:rPr/>
              <w:t> </w:t>
            </w:r>
          </w:p>
        </w:tc>
        <w:tc>
          <w:tcPr>
            <w:tcW w:w="505"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(2,318,667</w:t>
            </w:r>
          </w:p>
        </w:tc>
        <w:tc>
          <w:tcPr>
            <w:tcW w:w="110" w:type="dxa"/>
            <w:tcBorders/>
            <w:vAlign w:val="center"/>
          </w:tcPr>
          <w:p>
            <w:pPr>
              <w:pStyle w:val="TableContents"/>
              <w:bidi w:val="0"/>
              <w:spacing w:before="0" w:after="283"/>
              <w:ind w:left="0" w:right="0" w:hanging="151"/>
              <w:jc w:val="left"/>
              <w:rPr/>
            </w:pPr>
            <w:r>
              <w:rPr/>
              <w:t>)</w:t>
            </w:r>
          </w:p>
        </w:tc>
      </w:tr>
      <w:tr>
        <w:trPr/>
        <w:tc>
          <w:tcPr>
            <w:tcW w:w="3425" w:type="dxa"/>
            <w:tcBorders/>
            <w:shd w:fill="CCEEFF" w:val="clear"/>
            <w:vAlign w:val="center"/>
          </w:tcPr>
          <w:p>
            <w:pPr>
              <w:pStyle w:val="TableContents"/>
              <w:bidi w:val="0"/>
              <w:spacing w:before="0" w:after="283"/>
              <w:jc w:val="left"/>
              <w:rPr/>
            </w:pPr>
            <w:r>
              <w:rPr/>
              <w:t>Fair value as of December 31, 2022</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646" w:type="dxa"/>
            <w:tcBorders/>
            <w:shd w:fill="CCEEFF" w:val="clear"/>
            <w:vAlign w:val="center"/>
          </w:tcPr>
          <w:p>
            <w:pPr>
              <w:pStyle w:val="TableContents"/>
              <w:bidi w:val="0"/>
              <w:spacing w:before="0" w:after="283"/>
              <w:jc w:val="right"/>
              <w:rPr/>
            </w:pPr>
            <w:r>
              <w:rPr/>
              <w:t>1,253,333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50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1,253,333</w:t>
            </w:r>
          </w:p>
        </w:tc>
        <w:tc>
          <w:tcPr>
            <w:tcW w:w="110" w:type="dxa"/>
            <w:tcBorders/>
            <w:shd w:fill="CCEEFF" w:val="clear"/>
            <w:vAlign w:val="center"/>
          </w:tcPr>
          <w:p>
            <w:pPr>
              <w:pStyle w:val="TableContents"/>
              <w:bidi w:val="0"/>
              <w:spacing w:before="0" w:after="283"/>
              <w:ind w:left="0" w:right="0" w:hanging="151"/>
              <w:jc w:val="left"/>
              <w:rPr/>
            </w:pPr>
            <w:r>
              <w:rPr/>
              <w:t> </w:t>
            </w:r>
          </w:p>
        </w:tc>
      </w:tr>
      <w:tr>
        <w:trPr/>
        <w:tc>
          <w:tcPr>
            <w:tcW w:w="3425" w:type="dxa"/>
            <w:tcBorders/>
            <w:vAlign w:val="center"/>
          </w:tcPr>
          <w:p>
            <w:pPr>
              <w:pStyle w:val="TableContents"/>
              <w:bidi w:val="0"/>
              <w:spacing w:before="0" w:after="283"/>
              <w:jc w:val="left"/>
              <w:rPr/>
            </w:pPr>
            <w:r>
              <w:rPr/>
              <w:t>Change in fair value</w:t>
            </w:r>
          </w:p>
        </w:tc>
        <w:tc>
          <w:tcPr>
            <w:tcW w:w="60" w:type="dxa"/>
            <w:tcBorders/>
            <w:vAlign w:val="center"/>
          </w:tcPr>
          <w:p>
            <w:pPr>
              <w:pStyle w:val="TableContents"/>
              <w:bidi w:val="0"/>
              <w:spacing w:before="0" w:after="283"/>
              <w:jc w:val="left"/>
              <w:rPr/>
            </w:pPr>
            <w:r>
              <w:rPr/>
              <w:t> </w:t>
            </w:r>
          </w:p>
        </w:tc>
        <w:tc>
          <w:tcPr>
            <w:tcW w:w="218" w:type="dxa"/>
            <w:tcBorders>
              <w:bottom w:val="single" w:sz="12" w:space="0" w:color="000000"/>
            </w:tcBorders>
            <w:tcMar>
              <w:bottom w:w="28" w:type="dxa"/>
            </w:tcMar>
            <w:vAlign w:val="center"/>
          </w:tcPr>
          <w:p>
            <w:pPr>
              <w:pStyle w:val="TableContents"/>
              <w:bidi w:val="0"/>
              <w:spacing w:before="0" w:after="283"/>
              <w:jc w:val="left"/>
              <w:rPr/>
            </w:pPr>
            <w:r>
              <w:rPr/>
              <w:t> </w:t>
            </w:r>
          </w:p>
        </w:tc>
        <w:tc>
          <w:tcPr>
            <w:tcW w:w="1646" w:type="dxa"/>
            <w:tcBorders>
              <w:bottom w:val="single" w:sz="12" w:space="0" w:color="000000"/>
            </w:tcBorders>
            <w:tcMar>
              <w:bottom w:w="28" w:type="dxa"/>
            </w:tcMar>
            <w:vAlign w:val="center"/>
          </w:tcPr>
          <w:p>
            <w:pPr>
              <w:pStyle w:val="TableContents"/>
              <w:bidi w:val="0"/>
              <w:spacing w:before="0" w:after="283"/>
              <w:jc w:val="right"/>
              <w:rPr/>
            </w:pPr>
            <w:r>
              <w:rPr/>
              <w:t>330,042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bottom w:val="single" w:sz="12" w:space="0" w:color="000000"/>
            </w:tcBorders>
            <w:tcMar>
              <w:bottom w:w="28" w:type="dxa"/>
            </w:tcMar>
            <w:vAlign w:val="center"/>
          </w:tcPr>
          <w:p>
            <w:pPr>
              <w:pStyle w:val="TableContents"/>
              <w:bidi w:val="0"/>
              <w:spacing w:before="0" w:after="283"/>
              <w:jc w:val="left"/>
              <w:rPr/>
            </w:pPr>
            <w:r>
              <w:rPr/>
              <w:t> </w:t>
            </w:r>
          </w:p>
        </w:tc>
        <w:tc>
          <w:tcPr>
            <w:tcW w:w="505"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330,042</w:t>
            </w:r>
          </w:p>
        </w:tc>
        <w:tc>
          <w:tcPr>
            <w:tcW w:w="110" w:type="dxa"/>
            <w:tcBorders/>
            <w:vAlign w:val="center"/>
          </w:tcPr>
          <w:p>
            <w:pPr>
              <w:pStyle w:val="TableContents"/>
              <w:bidi w:val="0"/>
              <w:spacing w:before="0" w:after="283"/>
              <w:ind w:left="0" w:right="0" w:hanging="151"/>
              <w:jc w:val="left"/>
              <w:rPr/>
            </w:pPr>
            <w:r>
              <w:rPr/>
              <w:t> </w:t>
            </w:r>
          </w:p>
        </w:tc>
      </w:tr>
      <w:tr>
        <w:trPr/>
        <w:tc>
          <w:tcPr>
            <w:tcW w:w="3425" w:type="dxa"/>
            <w:tcBorders/>
            <w:shd w:fill="CCEEFF" w:val="clear"/>
            <w:vAlign w:val="center"/>
          </w:tcPr>
          <w:p>
            <w:pPr>
              <w:pStyle w:val="TableContents"/>
              <w:bidi w:val="0"/>
              <w:spacing w:before="0" w:after="283"/>
              <w:jc w:val="left"/>
              <w:rPr/>
            </w:pPr>
            <w:r>
              <w:rPr/>
              <w:t>Fair value as of March 31, 2023</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646" w:type="dxa"/>
            <w:tcBorders/>
            <w:shd w:fill="CCEEFF" w:val="clear"/>
            <w:vAlign w:val="center"/>
          </w:tcPr>
          <w:p>
            <w:pPr>
              <w:pStyle w:val="TableContents"/>
              <w:bidi w:val="0"/>
              <w:spacing w:before="0" w:after="283"/>
              <w:jc w:val="right"/>
              <w:rPr/>
            </w:pPr>
            <w:r>
              <w:rPr/>
              <w:t>1,583,375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50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1,583,375</w:t>
            </w:r>
          </w:p>
        </w:tc>
        <w:tc>
          <w:tcPr>
            <w:tcW w:w="110" w:type="dxa"/>
            <w:tcBorders/>
            <w:shd w:fill="CCEEFF" w:val="clear"/>
            <w:vAlign w:val="center"/>
          </w:tcPr>
          <w:p>
            <w:pPr>
              <w:pStyle w:val="TableContents"/>
              <w:bidi w:val="0"/>
              <w:spacing w:before="0" w:after="283"/>
              <w:ind w:left="0" w:right="0" w:hanging="151"/>
              <w:jc w:val="left"/>
              <w:rPr/>
            </w:pPr>
            <w:r>
              <w:rPr/>
              <w:t> </w:t>
            </w:r>
          </w:p>
        </w:tc>
      </w:tr>
      <w:tr>
        <w:trPr/>
        <w:tc>
          <w:tcPr>
            <w:tcW w:w="3425" w:type="dxa"/>
            <w:tcBorders/>
            <w:vAlign w:val="center"/>
          </w:tcPr>
          <w:p>
            <w:pPr>
              <w:pStyle w:val="TableContents"/>
              <w:bidi w:val="0"/>
              <w:spacing w:before="0" w:after="283"/>
              <w:jc w:val="left"/>
              <w:rPr/>
            </w:pPr>
            <w:r>
              <w:rPr/>
              <w:t>Change in fair value</w:t>
            </w:r>
          </w:p>
        </w:tc>
        <w:tc>
          <w:tcPr>
            <w:tcW w:w="60" w:type="dxa"/>
            <w:tcBorders/>
            <w:vAlign w:val="center"/>
          </w:tcPr>
          <w:p>
            <w:pPr>
              <w:pStyle w:val="TableContents"/>
              <w:bidi w:val="0"/>
              <w:spacing w:before="0" w:after="283"/>
              <w:jc w:val="left"/>
              <w:rPr/>
            </w:pPr>
            <w:r>
              <w:rPr/>
              <w:t> </w:t>
            </w:r>
          </w:p>
        </w:tc>
        <w:tc>
          <w:tcPr>
            <w:tcW w:w="218" w:type="dxa"/>
            <w:tcBorders>
              <w:bottom w:val="single" w:sz="12" w:space="0" w:color="000000"/>
            </w:tcBorders>
            <w:tcMar>
              <w:bottom w:w="28" w:type="dxa"/>
            </w:tcMar>
            <w:vAlign w:val="center"/>
          </w:tcPr>
          <w:p>
            <w:pPr>
              <w:pStyle w:val="TableContents"/>
              <w:bidi w:val="0"/>
              <w:spacing w:before="0" w:after="283"/>
              <w:jc w:val="left"/>
              <w:rPr/>
            </w:pPr>
            <w:r>
              <w:rPr/>
              <w:t> </w:t>
            </w:r>
          </w:p>
        </w:tc>
        <w:tc>
          <w:tcPr>
            <w:tcW w:w="1646" w:type="dxa"/>
            <w:tcBorders>
              <w:bottom w:val="single" w:sz="12" w:space="0" w:color="000000"/>
            </w:tcBorders>
            <w:tcMar>
              <w:bottom w:w="28" w:type="dxa"/>
            </w:tcMar>
            <w:vAlign w:val="center"/>
          </w:tcPr>
          <w:p>
            <w:pPr>
              <w:pStyle w:val="TableContents"/>
              <w:bidi w:val="0"/>
              <w:spacing w:before="0" w:after="283"/>
              <w:jc w:val="right"/>
              <w:rPr/>
            </w:pPr>
            <w:r>
              <w:rPr/>
              <w:t>1,079,085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bottom w:val="single" w:sz="12" w:space="0" w:color="000000"/>
            </w:tcBorders>
            <w:tcMar>
              <w:bottom w:w="28" w:type="dxa"/>
            </w:tcMar>
            <w:vAlign w:val="center"/>
          </w:tcPr>
          <w:p>
            <w:pPr>
              <w:pStyle w:val="TableContents"/>
              <w:bidi w:val="0"/>
              <w:spacing w:before="0" w:after="283"/>
              <w:jc w:val="left"/>
              <w:rPr/>
            </w:pPr>
            <w:r>
              <w:rPr/>
              <w:t> </w:t>
            </w:r>
          </w:p>
        </w:tc>
        <w:tc>
          <w:tcPr>
            <w:tcW w:w="505"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1,079,085</w:t>
            </w:r>
          </w:p>
        </w:tc>
        <w:tc>
          <w:tcPr>
            <w:tcW w:w="110" w:type="dxa"/>
            <w:tcBorders/>
            <w:vAlign w:val="center"/>
          </w:tcPr>
          <w:p>
            <w:pPr>
              <w:pStyle w:val="TableContents"/>
              <w:bidi w:val="0"/>
              <w:spacing w:before="0" w:after="283"/>
              <w:ind w:left="0" w:right="0" w:hanging="151"/>
              <w:jc w:val="left"/>
              <w:rPr/>
            </w:pPr>
            <w:r>
              <w:rPr/>
              <w:t> </w:t>
            </w:r>
          </w:p>
        </w:tc>
      </w:tr>
      <w:tr>
        <w:trPr/>
        <w:tc>
          <w:tcPr>
            <w:tcW w:w="3425" w:type="dxa"/>
            <w:tcBorders/>
            <w:shd w:fill="CCEEFF" w:val="clear"/>
            <w:vAlign w:val="center"/>
          </w:tcPr>
          <w:p>
            <w:pPr>
              <w:pStyle w:val="TableContents"/>
              <w:bidi w:val="0"/>
              <w:spacing w:before="0" w:after="283"/>
              <w:jc w:val="left"/>
              <w:rPr/>
            </w:pPr>
            <w:r>
              <w:rPr/>
              <w:t>Fair value as of June 30, 2023</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46" w:type="dxa"/>
            <w:tcBorders>
              <w:bottom w:val="double" w:sz="10" w:space="0" w:color="000000"/>
            </w:tcBorders>
            <w:shd w:fill="CCEEFF" w:val="clear"/>
            <w:tcMar>
              <w:bottom w:w="28" w:type="dxa"/>
            </w:tcMar>
            <w:vAlign w:val="center"/>
          </w:tcPr>
          <w:p>
            <w:pPr>
              <w:pStyle w:val="TableContents"/>
              <w:bidi w:val="0"/>
              <w:spacing w:before="0" w:after="283"/>
              <w:jc w:val="right"/>
              <w:rPr/>
            </w:pPr>
            <w:r>
              <w:rPr/>
              <w:t>2,662,460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0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2,662,460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Subsequent Events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condensed consolidated balance sheet date up to the date that the financial statements were issued. Based upon this review, other than below, the Company did not identify any subsequent events that would have required adjustment or disclosure in the unaudited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18, 2023, the Company, Legacy Complete Solaria, First Merger Sub, Second Merger Sub and Solaria consummated the Business Combination pursuant to the Merger Agreement, following the approval at the Special Meeting. Following the consummation of the Merger at closing, the Company changed its name to “Complete Solaria,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of the Merger, each share of Legacy Complete Solaria’s common stock and preferred stock were canceled and converted into the right to receive: a number of shares of Complete Solaria Common Stock equal to the quotient obtained by dividing (i) the Aggregate Merger Consideration (as defined in the Business Combination Agreement) by (ii) the aggregate fully diluted number of shares of the Legacy Complete Solaria’s common stock issued and outstanding immediately prior to the Mergers as calculated pursuant to the Business Combination Agreement (such quotient, the “Merger Consideration Per Fully Diluted Share”), plus a number of warrants of Complete Solaria (“Complete Solaria Warrants”) equal to a portion of the Aggregate Warrant Consideration (as defined in the Business Combination Agreement), calculated on a pro rata basis based on the percentage interest of issued and outstanding shares of Legacy Complete Solaria Capital Stock held by the holder of such share of Legacy Complete Solaria Capital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of the Merger, all Legacy Complete Solaria’s options and warrants outstanding as of immediately prior to such time were converted into options of Complete Solaria (“Complete Solaria Options”) and Complete Solaria Warrants, respectively. Each such Complete Solaria Option and Complete Solaria Warrant relate to a number of whole shares of Complete Solaria Common Stock (rounded down to the nearest whole share) equal to (i) the number of shares of the Company’s common stock subject to the applicable Company options or warrants multiplied by (ii) the Merger Consideration Per Fully Diluted Share. The exercise price for each Complete Solaria Option and Complete Solaria Warrant equals (i) the exercise price per share of the applicable Complete Solaria Option or Complete Solaria Warrant divided by (ii) the Merger Consideration Per Fully Diluted Share (rounded up to the nearest full cent).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on July 13, 2023, FACT and Legacy Complete Solaria entered into Forward Purchase Agreements with certain third-parties (“Sellers”). Pursuant to the terms of the Forward Purchase Agreements, the Sellers intended, but were not obligated, to purchase up to a number of shares of FACT Class A Ordinary Shares in the aggregate amount equal to up to 6,720,000 less, Recycled Shares (as defined in Forward Purchase Agreements). Each Forward Purchase Agreement provided that a Seller be paid directly an aggregate cash amount (the “Prepayment Amount”) equal to the product of (i) the Number of Shares as set forth in each Pricing Date Notice and (ii) the redemption price per share as defined in Article 49.5 of FACT’s Amended and Restated Article of Association, as amended (the “Initial Price”). On the Cash Settlement Payment Date, which is the tenth business day following the last day of the valuation period commencing on the Valuation Date (as defined in Forward Purchase Agreements), a Seller shall pay the Counterparty a cash amount equal to (1) (A) the Number of Shares as of the Valuation Date less the number of Unregistered Shares, multiplied by (B) the volume-weighted daily VWAP Price over the Valuation Period less (2) if the Settlement Amount Adjustment is less than the cash amount to be paid, the Settlement Amount Adjustment. The Settlement Amount Adjustment is equal to (1) the Number of Shares as of the Valuation Date multiplied by (2) $2.00 per share, and the Settlement Amount Adjustment will be automatically netted from the Settlement Amount. If the Settlement Amount Adjustment exceeds the Settlement Amount, the Counterparty will pay the Seller in FACT Class A Ordinary Shares or, at the Counterparty’s election, in cash.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Special Meeting, holders of 9,763,938 shares of FACT Class A Ordinary Shares had validly elected to redeem their Class A Ordinary Shares, with remaining Trust Proceeds of approximately $14.7 million. Additionally, pursuant to Subscription Agreements and New Money PIPE Subscription Agreements that the Company and FACT had previously entered into with certain third parties who purchased an aggregate of 1,690,000 shares of Complete Solaria Common Stock for total PIPE proceeds of $16.3 million, inclusive of $3.5 million of prefunded PIPE proceeds from a related party investor received in June 2023. Approximately $6.6 million of the Trust Proceeds and PIPE Proceeds were used for the payment of transaction expenses incurred by the Company and FACT in connection with the Merger. Net proceeds received by the Company at closing amounted to approximately $22.9 million which will be used for the general corporate purposes of the Company following the Merger.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and July 18, and in connection with obtaining consent for the Business Combination, Legacy Complete Solaria, FACT and CSREF Solis Holdings, LLC ("Carlyle") entered into an amended and restated consent to the Business Combination Agreement and an amended and restated warrant agreement, which modified the terms of the mandatorily redeemable investment made by Carlyle in Legacy Complete Solaria.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other changes to the investment agreement as described in FN 12, the modification accelerates the redemption date of the investment, which was previously February 14, 2025 and is March 31, 2024 subsequent to the modification. Additionally, as part of the amendment, the parties entered into an amended and restated warrant agreement. As part of the warrant agreement, Complete Solaria will issue Carlyle a warrant to purchase up to 2,745,879 shares of Complete Solaria Common Stock at a price per share of $0.01, which is inclusive of the outstanding warrant to purchase 1,995,879 shares at the time of modification. The warrant, which expires on July 18, 2030, provides Carlyle with the right to purchase shares of Complete Solaria Common Stock based on (a) the greater of (i) 1,995,879 shares and (ii) the number of shares equal to 2.795% of the Complete Solaria's issued and outstanding shares of common stock, on a fully-diluted basis; plus (b) on and after the date that is ten (10) days after the date of the agreement, an additional 350,000 shares; plus (c) on and after the date that is thirty (30) days after the date of the agreement, if the original investment amount has not been repaid, an additional 150,000 shares; plus (d) on and after the date that is ninety (90) days after the date of the agreement, if the original investment amount has not been repaid, an additional 250,000 shares, in each case, of Complete Solaria Common Stock at a price of $0.01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the “Company,” “our,” “us” or “we” refer to Freedom Acquisition I Corp. The following discussion and analysis of our financial condition and results of operations should be read in conjunction with the unaudited condensed consolidated financial statements and the notes thereto contained elsewhere in this report. Certain information contained in the discussion and analysis set forth below includes forward-looking statements that involve 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Quarterly Report on Form 10-Q includes forward-looking statements within the meaning of Section 27A of the Securities Act of 1933, as amended, and Section 21E of the Securities Exchange Act of 1934, as amended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“anticipate,” “believe,” “continue,” “could,” “estimate,” “expect,” “intend,” “may,” “might,” “plan,” “possible,” “potential,” “predict,” “project,” “should,” “would” or the negative of such terms or other similar expressions. Such statements include, but are not limited to, possible business combinations and the financing thereof, and related matters, as well as all other statements other than statements of historical fact included in this Form 10-Q. Factors that might cause or contribute to such a discrepancy include, but are not limited to, those described in our other Securities and Exchange Commission (“SEC”) filings.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blank check company incorporated as a Cayman Islands exempted company on December 23, 2020 for the purpose of effecting a merger, share exchange, asset acquisition, share purchase, reorganization or similar business combination with one or more businesses. Our sponsor is Freedom Acquisition I LLC, a Cayman Islands limited liability company (the “Sponsor”).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for our initial public offering (the “Initial Public Offering”) became effective on February 25, 2021. On March 2, 2021, we consummated the Initial Public Offering of 34,500,000 units, which included the exercise of the underwriters’ option to purchase an additional 4,500,000 units at the Initial Public Offering price to cover over-allotments (the “Units”, and, with respect to the Class A ordinary shares included in the Units, the “Public Shares” and, with respect to the one-fourth of one redeemable warrant included in the Units, the “Public Warrants”), at $10.00 per Unit, generating gross proceeds of $345.0 million, and incurring offering costs of approximately $19.18 million, inclusive of approximately $12.08 million in deferred underwriting commissions.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closing of the Initial Public Offering, we consummated the private placement (“Private Placement”) of 6,266,667 warrants (each, a “Private Placement Warrant” and collectively, the “Private Placement Warrants” and, together with the Public Warrants, the “Warrants”), at a price of $1.50 per Private Placement Warrant with the Sponsor, generating gross proceeds of approximately $9.4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Initial Public Offering and the Private Placement, approximately $345.0 million ($10.00 per Unit) of the net proceeds of the Initial Public Offering and certain of the proceeds of the Private Placement were placed in a trust account (“Trust Account”), located in the United States with Continental Stock Transfer &amp; Trust Company acting as trustee (“Continental”), and, until the 24-month anniversary of the consummation of our initial public offering, were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To mitigate the risk of us being deemed to have been operating as an unregistered investment company, prior to the 24-month anniversary of the consummation of the Initial Public Offering, we instructed Continental to liquidate the U.S. government treasury obligations or money market funds held in the Trust Account and to hold all the funds in the Trust Account in cash in a bank deposit account, until the earlier of: (i) the completion of a business combination and (ii) the distribution of the Trust Account as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have not completed a business combination during the Extension Period (as defined below),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liquidate and dissolve, subject, in each case, to our obligations under Cayman Islands law to provide for claims of creditors and the requirements of other applicable law. There will be no redemption rights or liquidating distributions with respect to our outstanding Warrants, which will expire worthless if we fail to consummate a business combination within the Extension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Second Amendment to the Business Combination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17, 2023, the Company, Complete Solaria, First Merger Sub and Second Merger Sub entered into that certain Second Amendment to Business Combination Agreement (the “Second Amendment”) amending the Business Combination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Amendment provides that, if the Company and Complete Solaria determine in good faith by January 1, 2023 that it is probable that the Business Combination will be consummated after March 1, 2023, the Company will be required to prepare (with the reasonable cooperation of Complete Solaria) and file with the SEC a proxy statement pursuant to which it will seek the approval of its shareholders for proposals to amend the Company’s organizational documents to extend the time period for the Company to consummate its initial business combination for (x) up to an additional six (6) months, from March 2, 2023 to September 2, 2023 (the original Business Combination Agreement provided for an extension from March 1, 2023 to September 2, 2023) or (y) such other period of time as the Company and Complete Solaria may mutually agree (the original Business Combination Agreement contemplated no such prong (y)). In addition, the Second Amendment amends the Business Combination Agreement by changing the latest permitted Agreement End Date (as defined in the Business Combination Agreement) from September 1, 2023 to September 2,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to Amended and Restated Memorandum and Articles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2023, Freedom held the Extraordinary General Meeting of shareholders, at which holders of 35,373,848 ordinary shares, comprised of 26,773,848 Class A ordinary shares and 8,600,000 Class B ordinary shares, were present in person or by proxy, representing approximately 82.02% of the voting power of the 43,125,000 Outstanding Shares of Freedom entitled to vote at the Extraordinary General Meeting at the close of business on January 23, 2023, which was the Record Date for the Extraordinary General Meeting. The Outstanding Shares on the Record Date were comprised of 34,500,000 Class A ordinary shares and 8,625,000 Class B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Extraordinary General Meeting, the shareholders approved, by special resolution, the Extension Amendment Proposal, which extended the date by which Freedom must (i) consummate a merger, amalgamation, share exchange, asset acquisition, share purchase, reorganization or similar business combination, which Freedom refers to as its initial business combination, (ii) cease its operations except for the purpose of winding up if it fails to complete such initial business combination, and (iii) redeem all of the Class A ordinary shares, included as part of the units sold in the initial public offering, for an additional three months, from March 2, 2023 to June 2, 2023, and thereafter to up to three (3) times by an additional one month each time (or up to September 2, 2023) (the “Extension Amendment,” and such period, as may be extended, the “Extension Period”). The voting results for such proposal were as follows:</w:t>
      </w:r>
    </w:p>
    <w:p>
      <w:pPr>
        <w:pStyle w:val="TextBody"/>
        <w:bidi w:val="0"/>
        <w:spacing w:before="0" w:after="0"/>
        <w:ind w:left="0" w:right="0" w:firstLine="360"/>
        <w:jc w:val="both"/>
        <w:rPr>
          <w:caps w:val="false"/>
          <w:smallCaps w:val="false"/>
        </w:rPr>
      </w:pPr>
      <w:r>
        <w:rPr>
          <w:caps w:val="false"/>
          <w:smallCaps w:val="false"/>
        </w:rPr>
        <w:t> </w:t>
      </w:r>
    </w:p>
    <w:tbl>
      <w:tblPr>
        <w:tblW w:w="3165" w:type="dxa"/>
        <w:jc w:val="left"/>
        <w:tblInd w:w="0" w:type="dxa"/>
        <w:tblLayout w:type="fixed"/>
        <w:tblCellMar>
          <w:top w:w="0" w:type="dxa"/>
          <w:left w:w="0" w:type="dxa"/>
          <w:bottom w:w="28" w:type="dxa"/>
          <w:right w:w="0" w:type="dxa"/>
        </w:tblCellMar>
      </w:tblPr>
      <w:tblGrid>
        <w:gridCol w:w="75"/>
        <w:gridCol w:w="1100"/>
        <w:gridCol w:w="60"/>
        <w:gridCol w:w="60"/>
        <w:gridCol w:w="60"/>
        <w:gridCol w:w="800"/>
        <w:gridCol w:w="60"/>
        <w:gridCol w:w="60"/>
        <w:gridCol w:w="244"/>
        <w:gridCol w:w="571"/>
        <w:gridCol w:w="75"/>
      </w:tblGrid>
      <w:tr>
        <w:trPr/>
        <w:tc>
          <w:tcPr>
            <w:tcW w:w="1175" w:type="dxa"/>
            <w:gridSpan w:val="2"/>
            <w:tcBorders>
              <w:bottom w:val="single" w:sz="12"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bottom w:val="single" w:sz="12" w:space="0" w:color="000000"/>
            </w:tcBorders>
            <w:vAlign w:val="center"/>
          </w:tcPr>
          <w:p>
            <w:pPr>
              <w:pStyle w:val="TableContents"/>
              <w:bidi w:val="0"/>
              <w:spacing w:before="0" w:after="283"/>
              <w:jc w:val="center"/>
              <w:rPr>
                <w:b/>
              </w:rPr>
            </w:pPr>
            <w:r>
              <w:rPr>
                <w:b/>
              </w:rPr>
              <w:t>Abstain</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shd w:fill="CCEEFF" w:val="clear"/>
            <w:tcMar>
              <w:bottom w:w="0" w:type="dxa"/>
            </w:tcMar>
            <w:vAlign w:val="center"/>
          </w:tcPr>
          <w:p>
            <w:pPr>
              <w:pStyle w:val="TableContents"/>
              <w:bidi w:val="0"/>
              <w:spacing w:before="0" w:after="283"/>
              <w:jc w:val="center"/>
              <w:rPr/>
            </w:pPr>
            <w:r>
              <w:rPr/>
              <w:t> </w:t>
            </w:r>
          </w:p>
        </w:tc>
        <w:tc>
          <w:tcPr>
            <w:tcW w:w="1100" w:type="dxa"/>
            <w:tcBorders/>
            <w:shd w:fill="CCEEFF" w:val="clear"/>
            <w:tcMar>
              <w:bottom w:w="0" w:type="dxa"/>
            </w:tcMar>
            <w:vAlign w:val="center"/>
          </w:tcPr>
          <w:p>
            <w:pPr>
              <w:pStyle w:val="TableContents"/>
              <w:bidi w:val="0"/>
              <w:spacing w:before="0" w:after="283"/>
              <w:jc w:val="center"/>
              <w:rPr/>
            </w:pPr>
            <w:r>
              <w:rPr/>
              <w:t>35,047,305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00" w:type="dxa"/>
            <w:tcBorders/>
            <w:shd w:fill="CCEEFF" w:val="clear"/>
            <w:tcMar>
              <w:bottom w:w="0" w:type="dxa"/>
            </w:tcMar>
            <w:vAlign w:val="center"/>
          </w:tcPr>
          <w:p>
            <w:pPr>
              <w:pStyle w:val="TableContents"/>
              <w:bidi w:val="0"/>
              <w:spacing w:before="0" w:after="283"/>
              <w:jc w:val="center"/>
              <w:rPr/>
            </w:pPr>
            <w:r>
              <w:rPr/>
              <w:t>326,543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44" w:type="dxa"/>
            <w:tcBorders/>
            <w:shd w:fill="CCEEFF" w:val="clear"/>
            <w:tcMar>
              <w:bottom w:w="0" w:type="dxa"/>
            </w:tcMar>
            <w:vAlign w:val="center"/>
          </w:tcPr>
          <w:p>
            <w:pPr>
              <w:pStyle w:val="TableContents"/>
              <w:bidi w:val="0"/>
              <w:spacing w:before="0" w:after="283"/>
              <w:jc w:val="center"/>
              <w:rPr/>
            </w:pPr>
            <w:r>
              <w:rPr/>
              <w:t> </w:t>
            </w:r>
          </w:p>
        </w:tc>
        <w:tc>
          <w:tcPr>
            <w:tcW w:w="571" w:type="dxa"/>
            <w:tcBorders/>
            <w:shd w:fill="CCEEFF" w:val="clear"/>
            <w:tcMar>
              <w:bottom w:w="0" w:type="dxa"/>
            </w:tcMar>
            <w:vAlign w:val="center"/>
          </w:tcPr>
          <w:p>
            <w:pPr>
              <w:pStyle w:val="TableContents"/>
              <w:bidi w:val="0"/>
              <w:spacing w:before="0" w:after="283"/>
              <w:jc w:val="center"/>
              <w:rPr/>
            </w:pPr>
            <w:r>
              <w:rPr/>
              <w:t>0</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Extension Amendment, public shareholders elected to redeem an aggregate of 23,256,504 Class A ordinary shares at a redemption price of $10.21 per share, representing approximately 67.41% of the issued and outstanding Class A ordinary shares, for an aggregate redemption amount of approximately $237,372,952. Following such redemptions, approximately $114,759,374 remained in the trust account and 11,243,496 Class A ordinary shares remain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Extraordinary General Meeting, the public shareholders also approved the proposal to amend the Trust Agreement, by and between Freedom and Continental, as trustee, to reflect the Extension Amendment. The amendment to the Trust Agreement provides that Continental shall commence liquidation of the Trust Account only and promptly (x) after its receipt of the applicable instruction letter delivered by Freedom in connection with either the consummation of an initial business combination or Freedom’s inability to effect an initial business combination within the time frame specified in Freedom’s amended and restated memorandum and articles of association or (y) upon the date that is the later of the end of the Extension Period and such later date as may be approved by Freedom’s shareholders in accordance with the amended and restated memorandum and articles of association, if the aforementioned termination letter has not been received by Continental prior to such date. The voting results for such proposal were as follows:</w:t>
      </w:r>
    </w:p>
    <w:p>
      <w:pPr>
        <w:pStyle w:val="TextBody"/>
        <w:bidi w:val="0"/>
        <w:spacing w:before="0" w:after="0"/>
        <w:ind w:left="0" w:right="0" w:firstLine="360"/>
        <w:jc w:val="both"/>
        <w:rPr>
          <w:caps w:val="false"/>
          <w:smallCaps w:val="false"/>
        </w:rPr>
      </w:pPr>
      <w:r>
        <w:rPr>
          <w:caps w:val="false"/>
          <w:smallCaps w:val="false"/>
        </w:rPr>
        <w:t> </w:t>
      </w:r>
    </w:p>
    <w:tbl>
      <w:tblPr>
        <w:tblW w:w="3165" w:type="dxa"/>
        <w:jc w:val="left"/>
        <w:tblInd w:w="0" w:type="dxa"/>
        <w:tblLayout w:type="fixed"/>
        <w:tblCellMar>
          <w:top w:w="0" w:type="dxa"/>
          <w:left w:w="0" w:type="dxa"/>
          <w:bottom w:w="28" w:type="dxa"/>
          <w:right w:w="0" w:type="dxa"/>
        </w:tblCellMar>
      </w:tblPr>
      <w:tblGrid>
        <w:gridCol w:w="75"/>
        <w:gridCol w:w="1100"/>
        <w:gridCol w:w="60"/>
        <w:gridCol w:w="60"/>
        <w:gridCol w:w="60"/>
        <w:gridCol w:w="800"/>
        <w:gridCol w:w="60"/>
        <w:gridCol w:w="60"/>
        <w:gridCol w:w="244"/>
        <w:gridCol w:w="571"/>
        <w:gridCol w:w="75"/>
      </w:tblGrid>
      <w:tr>
        <w:trPr/>
        <w:tc>
          <w:tcPr>
            <w:tcW w:w="1175" w:type="dxa"/>
            <w:gridSpan w:val="2"/>
            <w:tcBorders>
              <w:bottom w:val="single" w:sz="12"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bottom w:val="single" w:sz="12" w:space="0" w:color="000000"/>
            </w:tcBorders>
            <w:vAlign w:val="center"/>
          </w:tcPr>
          <w:p>
            <w:pPr>
              <w:pStyle w:val="TableContents"/>
              <w:bidi w:val="0"/>
              <w:spacing w:before="0" w:after="283"/>
              <w:jc w:val="center"/>
              <w:rPr>
                <w:b/>
              </w:rPr>
            </w:pPr>
            <w:r>
              <w:rPr>
                <w:b/>
              </w:rPr>
              <w:t>Abstain</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shd w:fill="CCEEFF" w:val="clear"/>
            <w:tcMar>
              <w:bottom w:w="0" w:type="dxa"/>
            </w:tcMar>
            <w:vAlign w:val="center"/>
          </w:tcPr>
          <w:p>
            <w:pPr>
              <w:pStyle w:val="TableContents"/>
              <w:bidi w:val="0"/>
              <w:spacing w:before="0" w:after="283"/>
              <w:jc w:val="center"/>
              <w:rPr/>
            </w:pPr>
            <w:r>
              <w:rPr/>
              <w:t> </w:t>
            </w:r>
          </w:p>
        </w:tc>
        <w:tc>
          <w:tcPr>
            <w:tcW w:w="1100" w:type="dxa"/>
            <w:tcBorders/>
            <w:shd w:fill="CCEEFF" w:val="clear"/>
            <w:tcMar>
              <w:bottom w:w="0" w:type="dxa"/>
            </w:tcMar>
            <w:vAlign w:val="center"/>
          </w:tcPr>
          <w:p>
            <w:pPr>
              <w:pStyle w:val="TableContents"/>
              <w:bidi w:val="0"/>
              <w:spacing w:before="0" w:after="283"/>
              <w:jc w:val="center"/>
              <w:rPr/>
            </w:pPr>
            <w:r>
              <w:rPr/>
              <w:t>35,047,305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00" w:type="dxa"/>
            <w:tcBorders/>
            <w:shd w:fill="CCEEFF" w:val="clear"/>
            <w:tcMar>
              <w:bottom w:w="0" w:type="dxa"/>
            </w:tcMar>
            <w:vAlign w:val="center"/>
          </w:tcPr>
          <w:p>
            <w:pPr>
              <w:pStyle w:val="TableContents"/>
              <w:bidi w:val="0"/>
              <w:spacing w:before="0" w:after="283"/>
              <w:jc w:val="center"/>
              <w:rPr/>
            </w:pPr>
            <w:r>
              <w:rPr/>
              <w:t>326,543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44" w:type="dxa"/>
            <w:tcBorders/>
            <w:shd w:fill="CCEEFF" w:val="clear"/>
            <w:tcMar>
              <w:bottom w:w="0" w:type="dxa"/>
            </w:tcMar>
            <w:vAlign w:val="center"/>
          </w:tcPr>
          <w:p>
            <w:pPr>
              <w:pStyle w:val="TableContents"/>
              <w:bidi w:val="0"/>
              <w:spacing w:before="0" w:after="283"/>
              <w:jc w:val="center"/>
              <w:rPr/>
            </w:pPr>
            <w:r>
              <w:rPr/>
              <w:t> </w:t>
            </w:r>
          </w:p>
        </w:tc>
        <w:tc>
          <w:tcPr>
            <w:tcW w:w="571" w:type="dxa"/>
            <w:tcBorders/>
            <w:shd w:fill="CCEEFF" w:val="clear"/>
            <w:tcMar>
              <w:bottom w:w="0" w:type="dxa"/>
            </w:tcMar>
            <w:vAlign w:val="center"/>
          </w:tcPr>
          <w:p>
            <w:pPr>
              <w:pStyle w:val="TableContents"/>
              <w:bidi w:val="0"/>
              <w:spacing w:before="0" w:after="283"/>
              <w:jc w:val="center"/>
              <w:rPr/>
            </w:pPr>
            <w:r>
              <w:rPr/>
              <w:t>0</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Promissory Note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2023, we issued an unsecured promissory note in the amount of up to $2,100,000 to our Sponsor. The proceeds of such promissory note, $1,600,000 of which was drawn down immediately, $400,000 of which may be drawn down, with the mutual consent of us and our Sponsor, if we wish to extend the date by which we will consummate a business combination beyond June 2, 2023, and $100,000 of which may be drawn down on an as-needed basis at the discretion of our Sponsor, will be used for general working capital purposes. Such promissory note bears no interest and is payable in full upon the consummation of our business combination. A failure to pay the principal within five business days of the date specified above or the commencement of a voluntary or involuntary bankruptcy action shall be deemed an event of default, in which case the promissory note may be accelerated. The promissory note shall be forgiven by our Sponsor if we are unable to consummate a business combination within the time frame specified in our amended and restated memorandum and articles of association (as amended from time to time), except to the extent of any funds held outside of the trust account established in connection with our initial public offering. The issuance of the promissory note was made pursuant to the exemption from registration contained in Section 4(a)(2)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31, 2023, we issued an unsecured promissory note in the amount of up to $300,000 to the Sponsor. The note is non-interest bearing and is to be utilized for general working capital purposes. As of June 30, 2023, there was $300,000 amount outstanding under the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of Operations and Known Trends or Future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neither engaged in any operations nor generated any revenues to date. Our only activities since inception have been organizational activities, those necessary to prepare for our Initial Public Offering and identifying a target company for our initial business combination. We do not expect to generate any operating revenues until after completion of our initial business combination. We generate non-operating income in the form of interest income on cash and cash equivalents held in the Trust Account. We incur expenses as a result of being a public company (for legal, financial reporting, accounting and auditing compliance), as well as for due diligence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2023, we had net loss of $2,655,494, which consisted of $1,511,276 of operating costs consisting mostly of general and administrative expenses, unrealized loss on change in fair value of warrant liability of $2,537,572, and change in the fair value of convertible notes of $14,872, offset by investment income of $1,408,051 on our amounts held in the Trust Account, interest income on operating accounts of $18, and foreign currency exchange gain of $157.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2023, we had net loss of $2,485,339, which consisted of investment income of $4,225,267 on our amounts held in the Trust Account, interest income on operating accounts of $51, and foreign currency exchange gain of $179, offset by $3,131,612 of operating costs consisting mostly of general and administrative expenses, unrealized loss on change in fair value of warrant liability of $3,306,627, and change in the fair value of convertible notes of $272,597.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2022, we had net income of $2,025,986, which consisted of unrealized gain on change in fair value of warrant liability of $2,382,667 and investment income of $484,975 on our amounts held in the Trust Account, offset by $824,081 of operating costs consisting mostly of general and administrative expenses, change in the fair value of convertible notes of $4,200, and foreign currency exchange loss of $21,775.</w:t>
      </w:r>
    </w:p>
    <w:p>
      <w:pPr>
        <w:pStyle w:val="TextBody"/>
        <w:bidi w:val="0"/>
        <w:spacing w:before="0" w:after="0"/>
        <w:ind w:left="0" w:right="0" w:firstLine="321"/>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2022, we had net income of $3,321,266, which consisted of unrealized gain on change in fair value of warrant liability of $4,765,334 and investment income of $594,838 on our amounts held in the Trust Account, offset by $2,022,164 of operating costs consisting mostly of general and administrative expenses, change in the fair value of convertible notes of $4,200, and foreign currency exchange loss of $20,942.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classify the Warrants issued in connection with our Initial Public Offering and Private Placement as liabilities at their fair value and adjust the warrant instruments to fair value at each reporting period. These liabilities are subject to remeasurement at each balance sheet date until exercised, and any change in fair value is recognized in our statements of operations. As part of the reclassification to warrant liability, we reclassified a portion of the offering costs associated with the Initial Public Offering originally charged to shareholders’ deficit, to an expense in the statements of operations in the amount of $575,278 based on a relative fair value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2023, we had cash outside the Trust Account of $3,251 in its operating bank accounts, $118,379,628 in cash held in the Trust Account to be used for a business combination, or to repurchase or redeem its stock in connection therewith, and a working capital deficit of $10,484,996. As of June 30, 2023, none of the amount in the Trust Account was available to be withdrawn as described above.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each of April 1, 2022 and June 6, 2022, we issued an unsecured promissory note in the amount of up to $500,000 to our Sponsor (the “Sponsor Notes”). On December 14, 2022, we issued an unsecured promissory note in the amount of up to $325,000 to Tidjane Thiam, Adam Gishen, Edward Zeng, and Abhishek Bhatia (collectively, the “Payees”) (such note, together with the Sponsor Notes, the “Convertible Notes”). The proceeds of the Convertible Notes, which may be drawn down from time to time until we consummate our initial business combination, will be used for general working capital purposes. The Convertible Notes bear no interest and are payable in full upon the earlier to occur of (i) twenty-four (24) months from the closing of our initial public offering (or such later date as may be extended in accordance with the terms of our amended and restated memorandum and articles of association) or (ii) the consummation of our business combination. A failure to pay the principal within five business days of the date specified above or the commencement of a voluntary or involuntary bankruptcy action shall be deemed an event of default, in which case the Convertible Notes may be accelerated. Prior to our first payment of all or any portion of the principal balance of the Convertible Notes in cash, our Sponsor and the Payees, as applicable, have the option to convert all, but not less than all, of the principal balance of the Convertible Notes into private placement warrants (the “Conversion Warrants”), each warrant exercisable for one of our ordinary shares at an exercise price of $1.50 per share. The terms of the Conversion Warrants would be identical to the Private Placement Warrants. Each of our Sponsor and the Payees shall be entitled to certain registration rights relating to the Conversion Warrants. The issuances of the Convertible Notes were made pursuant to the exemption from registration contained in Section 4(a)(2) of the Securities Act of 1933, as amended. As of June 30, 2023 and December 31, 2022, the Company had an aggregate of $1,325,000 and $1,225,000 borrowed, respectively, related to the Notes of which $100,000 had been drawn within the three and six months ended, June 30,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February 28, 2023 and May 31, 2023, we issued unsecured promissory notes in the amounts of up to $2,100,000 and $300,000, respectively to our Sponsor, as further described under “—Recent Developments—Promissory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raise additional capital through loans or additional investments from the Sponsor or an affiliate of the Sponsor or certain of its directors and officers. The Sponsor may, but is not obligated to, lend us funds, from time to time in whatever amounts it deems reasonable in its sole discretion, to meet our working capital needs. There can be no assurance that we will be able to obtain additional financing, however. Moreover, we may need to obtain additional financing either to complete our business combination or because we become obligated to redeem a significant number of our public shares upon consummation of the business combination, in which case we may issue additional securities or incur debt in connection with such business combination. Subject to compliance with applicable securities laws, we would only complete such financing simultaneously with the completion of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raise additional capital, it may be required to take additional measures to conserve liquidity, which could include, but not necessarily be limited to, curtailing operations, suspending the pursuit of a potential transaction and reducing overhead expenses. We cannot provide any assurance that new financing will be available to us on commercially acceptable terms, if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assessment of going concern considerations in accordance with Accounting Standards Codification (“ASC”) Topic 205-40, “Presentation of Financial Statements – Going Concern,” management has determined that the Company has alleviated substantial doubt through consummation of a Business Combination as of July 18, 2023, as further discussed in Note 10, Subsequent Events and as such merged with Complete Solaria Inc. Complete Solaria reported substantial doubt in its ability to continue as a going concern within one year after the date the June 30, 2023 financial statements were issued. No adjustments have been made to the carrying amounts of assets or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long-term debt obligations, capital lease obligations, operating lease obligations, purchase obligations or long-term liabilities other than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agreement to pay the underwriters of our Initial Public Offering a deferred fee of $12,075,000 in the aggregate, which will become payable to them from the amounts held in the Trust Account solely in the event that we complete a business combination, subject to the terms of the underwriting agreement. As of October 25, 2022, and November 2, 2022, respectively, J.P. Morgan Securities LLC and Deutsche Bank Securities Inc. have waived their portions of the deferred underwriting fee which is reflected in the consolidated statement of operations and the consolidated statement of change in shareholders’ deficit for the year ended December 31, 2022 as a reduction of transaction costs incurred in connection with IPO. Therefore, the deferred underwriting fee was reduced by $9,056,250, of which $271,687 is shown in the consolidated statement of operations as a reduction of transaction costs incurred in connection with the IPO and $8,784,563 is charged to additional paid-in capital in the consolidated statement of change in shareholders’ deficit. As a result of the reductions, the outstanding deferred underwriting fee payable was reduced to $3,018,750.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Policies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management’s discussion and analysis of our financial condition and results of operations is based on our unaudited condensed consolidated financial statements, which have been prepared in accordance with U.S. GAAP. The preparation of these unaudited condensed consolidated financial statements requires us to make estimates and judgments that affect the reported amounts of assets, liabilities, revenues and expenses and the disclosure of contingent assets and liabilities in our unaudited condensed consolidated financial statements. On an ongoing basis, we evaluate our estimates and judgments, including those related to fair value of financial instruments and accrued expenses.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There have been no significant changes in our critical accounting policies as discussed in the Form 10-K filed by us with the SEC on April 6,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A Ordinary Shares Subject to Possible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our Class A ordinary shares subject to possible redemption in accordance with the guidance in ASC Topic 480 “Distinguishing Liabilities from Equity.” Class A ordinary shares subject to mandatory redemption (if any)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our control) are classified as temporary equity. At all other times, Class A ordinary shares are classified as shareholders’ deficit. Our Class A ordinary shares feature certain redemption rights that are considered to be outside of our control and subject to the occurrence of uncertain future events. Accordingly, as of June 30, 2023 and December 31, 2022, 11,243,496 and 34,500,000 Class A ordinary shares, respectively, subject to possible redemption are presented at redemption value as temporary equity, outside of the shareholders’ deficit section of our balance sheets.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Derivative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use derivative instruments to hedge exposures to cash flow, market, or foreign currency risks. We evaluate all of our financial instruments, including issued share purchase Warrants, to determine if such instruments are derivatives or contain features that qualify as embedded derivatives, pursuant to ASC 480 and ASC 815-15. The classification of derivative instruments, including whether such instruments should be recorded as liabilities or as equity, is reassessed at the end of each reporting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our 14,891,667 Warrants issued in connection with our Initial Public Offering (8,625,000) and Private Placement (6,266,667) as derivative warrant liabilities in accordance with ASC 815-40. Accordingly, we recognize the warrant instruments as liabilities at fair value and adjust the instruments to fair value at each reporting period. The liabilities are subject to re-measurement at each balance sheet date until exercised, and any change in fair value is recognized in our statements of operations. The fair value of the Private Placement Warrants has been estimated using Monte Carlo simulations at each measurement date. The fair value of the Public Warrants was initially estimated using Monte Carlo simulations. After the Public Warrants were separately traded, the measurement of the Public Warrants used an observable market quote in an active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Income per Ordinary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two classes of shares, which are referred to as Class A ordinary shares and Class B ordinary shares. Earnings and losses are shared pro rata between the two classes of shares. The 14,891,667 potential ordinary shares issuable upon the exercise of the Warrants were excluded from diluted (loss) income per share for the three and six months ended June 30, 2023 and 2022 because the Warrants are contingently exercisable, and the contingencies have not yet been met. As a result, diluted net (loss) income per ordinary share is the same as basic net (loss) income per ordinary share for the periods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2020, the Financial Accounting Standards Board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2024 and should be applied on a full or modified retrospective basis, with early adoption permitted beginning on January 1, 2021. The guidance was adopted starting January 1, 2022. Adoption of the ASU did not impact our financial position, results of operations or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2016, the FASB issued ASU 2016-13, “Financial Instruments – Credit Losses (Topic 326): Measurement of Credit Losses on Financial Instruments” (“ASU 2016-13”)</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This update requires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 Since June 2016, the FASB issued clarifying updates to the new standard including changing the effective date for smaller reporting companies. The guidance is effective for fiscal years beginning after December 15, 2022, and interim periods within those fiscal years, with early adoption permitted. The Company adopted ASU 2016-13 on January 1, 2023. The adoption of ASU 2016-13 did not have a material impact on its condensed consolidated financial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believe that any recently issued, but not yet effective, accounting standards, if currently adopted, would have a material effect on our unaudited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2023 and December 31, 2022, we did not have any off-balance sheet arrangements.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JOBS 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Jumpstart Our Business Startups Act of 2012 (the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the unaudited condensed consolidated financial statements may not be comparable to companies that comply with new or revised accounting pronouncements as of public company effective 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0" w:name="a_009"/>
      <w:bookmarkEnd w:id="10"/>
      <w:r>
        <w:rPr>
          <w:rFonts w:ascii="Times New Roman;Times;Serif" w:hAnsi="Times New Roman;Times;Serif"/>
          <w:b/>
          <w:i w:val="false"/>
          <w:caps w:val="false"/>
          <w:smallCaps w:val="false"/>
          <w:sz w:val="20"/>
        </w:rPr>
        <w:t>Item 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of the Exchange Act and are not required to provide the information otherwise required under this item.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that are designed to ensure that information required to be disclosed in our reports under the Exchange Act, is recorded, processed, summarized and reported within the time periods specified in the SEC’s rules and forms, and that such information is accumulated and communicated to management, including our Chief Executive Officer (“CEO”) and Chief Financial Officer (“CFO”), as appropriate, to allow timely decisions regarding required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of this Quarterly Report on Form 10-Q, as of June 30, 2023, an evaluation was performed under the supervision and with the participation of our management, including the CEO and CFO, of the effectiveness of our disclosure controls and procedures (as defined in Rule 13a-15(e)under the Exchange Act). Based on such evaluation, our CEO and CFO concluded that, as of June 30, 2023, our disclosure controls and procedures were not effective, due solely to the material weaknesses in our internal control over financial reporting related to the accounting of complex financial instruments due to the errors related to the classification of our warrants and Class A ordinary shares. In addition, in the second quarter of 2022, the Company did not originally account for and classify convertible promissory notes, accrued expenses and accounts payable, and foreign exchange transactions properly. To respond to this material weakness, we have devoted, and plan to continue to devote, significant effort and resources to the remediation and improvement of our internal control over financial reporting. While we have processes to identify and appropriately apply applicable accounting requirements, we plan to enhance our system of evaluating and implementing the accounting standards that apply to our unaudited condensed financial statements, including through enhanced analyses by our personnel and third-party professionals with whom we consult regarding complex accounting applications. The elements of our remediation plan can only be accomplished over time, and we can offer no assurance that these initiatives will ultimately have the intended effects. Accordingly, management believes that the condensed financial statements included in this Quarterly Report on Form 10-Q present fairly in all material respects our financial position, results of operations and cash flows for the periods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that occurred during the quarter of the fiscal year covered by this Quarterly Report on Form 10-Q that have materially affected, or are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1. Legal Proceedings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Quarterly Report on Form 10-Q, there have been no material changes to the risk factors disclosed in our Annual Report for the year ended December 31, 2022 as filed with the SEC on April 6, 2023. Any of these factors could result in a significant or material adverse effect on our results of operations or financial condition. Additional risk factors not presently known to us or that we currently deem immaterial may also impair our business or results of operations. We may disclose changes to such risk factors or disclose additional risk factors from time to time in our future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2. Unregistered Sales of Equity Securities and Use of Proceeds from 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 2021, we consummated the Initial Public Offering of 34,500,000 units (the “Units” and, with respect to the Class A ordinary shares included in the Units being offered, the “Public Shares”), at $10.00 per Unit, generating gross proceeds of approximately $345.0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Initial Public Offering, we incurred offering costs of approximately $19.18 million, inclusive of approximately $12.08 million in deferred underwriting commissions. Other incurred offering costs consisted principally of preparation fees related to the Initial Public Offering. After deducting the underwriting discounts and commissions (excluding the deferred portion, which amount will be payable upon consummation of the Company’s initial Business Combination, if consummated) and the Initial Public Offering expenses, $345.0 million of the net proceeds from our Initial Public Offering and certain of the proceeds from the private placement of the Private Placement Warrants (or $10.00 per Unit sold in the Initial Public Offering) was placed in the Trust Account. The net proceeds of the Initial Public Offering and certain proceeds from the sale of the Private Placement Warrants are held in the Trust Account as described elsewhere in this Quarterly Report on Form 10-Q. As described elsewhere in this Quarterly Report on Form 10-Q, in connection with the Extension Amendment, public shareholders elected to redeem an aggregate of 23,256,504 Class A ordinary shares at a redemption price of $10.21 per share, representing approximately 67.41% of the issued and outstanding Class A ordinary shares, for an aggregate redemption amount of approximately $237,372,952. Following such redemptions, approximately $114,759,374 remained in the Trust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no material change in the planned use of the proceeds from the Initial Public Offering and Private Placement as is described in our final prospectus related to the 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26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26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34"/>
        <w:gridCol w:w="60"/>
        <w:gridCol w:w="9211"/>
      </w:tblGrid>
      <w:tr>
        <w:trPr/>
        <w:tc>
          <w:tcPr>
            <w:tcW w:w="934"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11"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34"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11" w:type="dxa"/>
            <w:tcBorders/>
            <w:shd w:fill="CCEEFF" w:val="clear"/>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Second Amendment to Business Combination Agreement, dated January 17, 2023, by and among the Company, Jupiter Merger Sub I Corp., Jupiter Merger Sub IILLC, and Complete Solaria, Inc. (incorporated herein by reference to Exhibit 2.1 of the Company’s Current Report on Form 8-K filed with the SEC on January 17, 2023).</w:t>
              </w:r>
            </w:hyperlink>
          </w:p>
        </w:tc>
      </w:tr>
      <w:tr>
        <w:trPr/>
        <w:tc>
          <w:tcPr>
            <w:tcW w:w="93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1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34"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11" w:type="dxa"/>
            <w:tcBorders/>
            <w:shd w:fill="CCEEFF" w:val="clear"/>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Amendment to Amended and Restated Memorandum and Articles of Association (incorporated herein by reference to Exhibit 3.1 of the Company’s Current Report on Form 8-K filed with the SEC on March 1, 2023).</w:t>
              </w:r>
            </w:hyperlink>
          </w:p>
        </w:tc>
      </w:tr>
      <w:tr>
        <w:trPr/>
        <w:tc>
          <w:tcPr>
            <w:tcW w:w="93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1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34"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11" w:type="dxa"/>
            <w:tcBorders/>
            <w:shd w:fill="CCEEFF" w:val="clear"/>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Amendment to Investment Management Trust Agreement, dated February 28, 2023, between the Company and Continental Stock Transfer &amp; Trust Company, as trustee (incorporated herein by reference to Exhibit 10.1 of the Company’s Current Report on Form 8-K filed with the SEC on March 1, 2023).</w:t>
              </w:r>
            </w:hyperlink>
          </w:p>
        </w:tc>
      </w:tr>
      <w:tr>
        <w:trPr/>
        <w:tc>
          <w:tcPr>
            <w:tcW w:w="93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1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34"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11" w:type="dxa"/>
            <w:tcBorders/>
            <w:shd w:fill="CCEEFF" w:val="clear"/>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Promissory Note, dated February 28, 2023, issued to Freedom Acquisition I LLC (incorporated herein by reference to Exhibit 10.1 of the Company’s Current Report on Form 8-K filed with the SEC on March 2, 2023).</w:t>
              </w:r>
            </w:hyperlink>
          </w:p>
        </w:tc>
      </w:tr>
      <w:tr>
        <w:trPr/>
        <w:tc>
          <w:tcPr>
            <w:tcW w:w="93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1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34"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11" w:type="dxa"/>
            <w:tcBorders/>
            <w:shd w:fill="CCEEFF" w:val="clear"/>
            <w:tcMar>
              <w:bottom w:w="0" w:type="dxa"/>
            </w:tcMar>
            <w:vAlign w:val="center"/>
          </w:tcPr>
          <w:p>
            <w:pPr>
              <w:pStyle w:val="TableContents"/>
              <w:bidi w:val="0"/>
              <w:spacing w:before="0" w:after="283"/>
              <w:jc w:val="both"/>
              <w:rPr/>
            </w:pPr>
            <w:hyperlink w:anchor="f10q0623ex31-1_completesol.htm">
              <w:r>
                <w:rPr>
                  <w:rStyle w:val="InternetLink"/>
                  <w:rFonts w:ascii="Times New Roman;Times;Serif" w:hAnsi="Times New Roman;Times;Serif"/>
                  <w:b w:val="false"/>
                  <w:i w:val="false"/>
                  <w:caps w:val="false"/>
                  <w:smallCaps w:val="false"/>
                  <w:sz w:val="20"/>
                </w:rPr>
                <w:t>Certification of Chief Executive Officer Pursuant to Rules 13a-14(a) and 15d-14(a) under the Securities Exchange Act of 1934, as Adopted Pursuant to Section 302 of the Sarbanes-Oxley Act of 2002.</w:t>
              </w:r>
            </w:hyperlink>
          </w:p>
        </w:tc>
      </w:tr>
      <w:tr>
        <w:trPr/>
        <w:tc>
          <w:tcPr>
            <w:tcW w:w="93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71" w:type="dxa"/>
            <w:gridSpan w:val="2"/>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34"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11" w:type="dxa"/>
            <w:tcBorders/>
            <w:shd w:fill="CCEEFF" w:val="clear"/>
            <w:tcMar>
              <w:bottom w:w="0" w:type="dxa"/>
            </w:tcMar>
            <w:vAlign w:val="center"/>
          </w:tcPr>
          <w:p>
            <w:pPr>
              <w:pStyle w:val="TableContents"/>
              <w:bidi w:val="0"/>
              <w:spacing w:before="0" w:after="283"/>
              <w:jc w:val="both"/>
              <w:rPr/>
            </w:pPr>
            <w:hyperlink w:anchor="f10q0623ex31-2_completesol.htm">
              <w:r>
                <w:rPr>
                  <w:rStyle w:val="InternetLink"/>
                  <w:rFonts w:ascii="Times New Roman;Times;Serif" w:hAnsi="Times New Roman;Times;Serif"/>
                  <w:b w:val="false"/>
                  <w:i w:val="false"/>
                  <w:caps w:val="false"/>
                  <w:smallCaps w:val="false"/>
                  <w:sz w:val="20"/>
                </w:rPr>
                <w:t>Certification of Chief Financial Officer Pursuant to Rules 13a-14(a) and 15d-14(a) under the Securities Exchange Act of 1934, as Adopted Pursuant to Section 302 of the Sarbanes-Oxley Act of 2002.</w:t>
              </w:r>
            </w:hyperlink>
          </w:p>
        </w:tc>
      </w:tr>
      <w:tr>
        <w:trPr/>
        <w:tc>
          <w:tcPr>
            <w:tcW w:w="93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1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34"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11" w:type="dxa"/>
            <w:tcBorders/>
            <w:shd w:fill="CCEEFF" w:val="clear"/>
            <w:tcMar>
              <w:bottom w:w="0" w:type="dxa"/>
            </w:tcMar>
            <w:vAlign w:val="center"/>
          </w:tcPr>
          <w:p>
            <w:pPr>
              <w:pStyle w:val="TableContents"/>
              <w:bidi w:val="0"/>
              <w:spacing w:before="0" w:after="283"/>
              <w:jc w:val="both"/>
              <w:rPr/>
            </w:pPr>
            <w:hyperlink w:anchor="f10q0623ex32-1_completesol.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r>
      <w:tr>
        <w:trPr/>
        <w:tc>
          <w:tcPr>
            <w:tcW w:w="93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1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34"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11" w:type="dxa"/>
            <w:tcBorders/>
            <w:shd w:fill="CCEEFF" w:val="clear"/>
            <w:tcMar>
              <w:bottom w:w="0" w:type="dxa"/>
            </w:tcMar>
            <w:vAlign w:val="center"/>
          </w:tcPr>
          <w:p>
            <w:pPr>
              <w:pStyle w:val="TableContents"/>
              <w:bidi w:val="0"/>
              <w:spacing w:before="0" w:after="283"/>
              <w:jc w:val="both"/>
              <w:rPr/>
            </w:pPr>
            <w:hyperlink w:anchor="f10q0623ex32-2_completesol.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r>
      <w:tr>
        <w:trPr/>
        <w:tc>
          <w:tcPr>
            <w:tcW w:w="93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1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34"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1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93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1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3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93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34"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93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34"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93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34"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93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34"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93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34"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 on this 14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August, 2023.</w:t>
      </w:r>
    </w:p>
    <w:p>
      <w:pPr>
        <w:pStyle w:val="TextBody"/>
        <w:bidi w:val="0"/>
        <w:spacing w:before="0" w:after="0"/>
        <w:ind w:left="0" w:right="0" w:firstLine="267"/>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75"/>
        <w:gridCol w:w="635"/>
        <w:gridCol w:w="1955"/>
      </w:tblGrid>
      <w:tr>
        <w:trPr/>
        <w:tc>
          <w:tcPr>
            <w:tcW w:w="75" w:type="dxa"/>
            <w:tcBorders/>
            <w:vAlign w:val="center"/>
          </w:tcPr>
          <w:p>
            <w:pPr>
              <w:pStyle w:val="TableContents"/>
              <w:bidi w:val="0"/>
              <w:spacing w:before="0" w:after="283"/>
              <w:jc w:val="both"/>
              <w:rPr/>
            </w:pPr>
            <w:r>
              <w:rPr/>
              <w:t> </w:t>
            </w:r>
          </w:p>
        </w:tc>
        <w:tc>
          <w:tcPr>
            <w:tcW w:w="259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COMPLETE SOLARIA, INC.</w:t>
            </w:r>
          </w:p>
        </w:tc>
      </w:tr>
      <w:tr>
        <w:trPr/>
        <w:tc>
          <w:tcPr>
            <w:tcW w:w="7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pPr>
            <w:r>
              <w:rPr/>
              <w:t> </w:t>
            </w:r>
          </w:p>
        </w:tc>
        <w:tc>
          <w:tcPr>
            <w:tcW w:w="19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195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Will Anderson</w:t>
            </w:r>
          </w:p>
        </w:tc>
      </w:tr>
      <w:tr>
        <w:trPr/>
        <w:tc>
          <w:tcPr>
            <w:tcW w:w="7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w:t>
            </w:r>
          </w:p>
        </w:tc>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Will Anderson</w:t>
            </w:r>
          </w:p>
        </w:tc>
      </w:tr>
      <w:tr>
        <w:trPr/>
        <w:tc>
          <w:tcPr>
            <w:tcW w:w="7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firstLine="267"/>
        <w:jc w:val="both"/>
        <w:rPr>
          <w:caps w:val="false"/>
          <w:smallCaps w:val="false"/>
        </w:rPr>
      </w:pPr>
      <w:r>
        <w:rPr>
          <w:caps w:val="false"/>
          <w:smallCaps w:val="false"/>
        </w:rPr>
        <w:t> </w:t>
      </w:r>
    </w:p>
    <w:p>
      <w:pPr>
        <w:pStyle w:val="TextBody"/>
        <w:bidi w:val="0"/>
        <w:spacing w:before="0" w:after="0"/>
        <w:ind w:left="0" w:right="0" w:firstLine="267"/>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67"/>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 on this 14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August, 2023.</w:t>
      </w:r>
    </w:p>
    <w:p>
      <w:pPr>
        <w:pStyle w:val="TextBody"/>
        <w:bidi w:val="0"/>
        <w:spacing w:before="0" w:after="0"/>
        <w:ind w:left="0" w:right="0" w:firstLine="267"/>
        <w:jc w:val="both"/>
        <w:rPr>
          <w:caps w:val="false"/>
          <w:smallCaps w:val="false"/>
        </w:rPr>
      </w:pPr>
      <w:r>
        <w:rPr>
          <w:caps w:val="false"/>
          <w:smallCaps w:val="false"/>
        </w:rPr>
        <w:t> </w:t>
      </w:r>
    </w:p>
    <w:tbl>
      <w:tblPr>
        <w:tblW w:w="2629" w:type="dxa"/>
        <w:jc w:val="left"/>
        <w:tblInd w:w="0" w:type="dxa"/>
        <w:tblLayout w:type="fixed"/>
        <w:tblCellMar>
          <w:top w:w="0" w:type="dxa"/>
          <w:left w:w="0" w:type="dxa"/>
          <w:bottom w:w="0" w:type="dxa"/>
          <w:right w:w="0" w:type="dxa"/>
        </w:tblCellMar>
      </w:tblPr>
      <w:tblGrid>
        <w:gridCol w:w="75"/>
        <w:gridCol w:w="641"/>
        <w:gridCol w:w="1913"/>
      </w:tblGrid>
      <w:tr>
        <w:trPr/>
        <w:tc>
          <w:tcPr>
            <w:tcW w:w="75" w:type="dxa"/>
            <w:tcBorders/>
            <w:vAlign w:val="center"/>
          </w:tcPr>
          <w:p>
            <w:pPr>
              <w:pStyle w:val="TableContents"/>
              <w:bidi w:val="0"/>
              <w:spacing w:before="0" w:after="283"/>
              <w:jc w:val="both"/>
              <w:rPr/>
            </w:pPr>
            <w:r>
              <w:rPr/>
              <w:t> </w:t>
            </w:r>
          </w:p>
        </w:tc>
        <w:tc>
          <w:tcPr>
            <w:tcW w:w="255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COMPLETE SOLARIA, INC.</w:t>
            </w:r>
          </w:p>
        </w:tc>
      </w:tr>
      <w:tr>
        <w:trPr/>
        <w:tc>
          <w:tcPr>
            <w:tcW w:w="75" w:type="dxa"/>
            <w:tcBorders/>
            <w:vAlign w:val="center"/>
          </w:tcPr>
          <w:p>
            <w:pPr>
              <w:pStyle w:val="TableContents"/>
              <w:bidi w:val="0"/>
              <w:spacing w:before="0" w:after="283"/>
              <w:jc w:val="both"/>
              <w:rPr/>
            </w:pPr>
            <w:r>
              <w:rPr/>
              <w:t> </w:t>
            </w:r>
          </w:p>
        </w:tc>
        <w:tc>
          <w:tcPr>
            <w:tcW w:w="641" w:type="dxa"/>
            <w:tcBorders/>
            <w:vAlign w:val="center"/>
          </w:tcPr>
          <w:p>
            <w:pPr>
              <w:pStyle w:val="TableContents"/>
              <w:bidi w:val="0"/>
              <w:spacing w:before="0" w:after="283"/>
              <w:jc w:val="both"/>
              <w:rPr/>
            </w:pPr>
            <w:r>
              <w:rPr/>
              <w:t> </w:t>
            </w:r>
          </w:p>
        </w:tc>
        <w:tc>
          <w:tcPr>
            <w:tcW w:w="191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6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1913"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Brian Wuebbels</w:t>
            </w:r>
          </w:p>
        </w:tc>
      </w:tr>
      <w:tr>
        <w:trPr/>
        <w:tc>
          <w:tcPr>
            <w:tcW w:w="75" w:type="dxa"/>
            <w:tcBorders/>
            <w:vAlign w:val="center"/>
          </w:tcPr>
          <w:p>
            <w:pPr>
              <w:pStyle w:val="TableContents"/>
              <w:bidi w:val="0"/>
              <w:spacing w:before="0" w:after="283"/>
              <w:jc w:val="both"/>
              <w:rPr/>
            </w:pPr>
            <w:r>
              <w:rPr/>
              <w:t> </w:t>
            </w:r>
          </w:p>
        </w:tc>
        <w:tc>
          <w:tcPr>
            <w:tcW w:w="6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w:t>
            </w:r>
          </w:p>
        </w:tc>
        <w:tc>
          <w:tcPr>
            <w:tcW w:w="19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Brian Wuebbels</w:t>
            </w:r>
          </w:p>
        </w:tc>
      </w:tr>
      <w:tr>
        <w:trPr/>
        <w:tc>
          <w:tcPr>
            <w:tcW w:w="75" w:type="dxa"/>
            <w:tcBorders/>
            <w:vAlign w:val="center"/>
          </w:tcPr>
          <w:p>
            <w:pPr>
              <w:pStyle w:val="TableContents"/>
              <w:bidi w:val="0"/>
              <w:spacing w:before="0" w:after="283"/>
              <w:jc w:val="both"/>
              <w:rPr/>
            </w:pPr>
            <w:r>
              <w:rPr/>
              <w:t> </w:t>
            </w:r>
          </w:p>
        </w:tc>
        <w:tc>
          <w:tcPr>
            <w:tcW w:w="6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9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firstLine="267"/>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1" w:name="f10q0623ex31-1_completesol.htm"/>
      <w:bookmarkStart w:id="22" w:name="ksf10q0623ex311_completesol"/>
      <w:bookmarkEnd w:id="21"/>
      <w:bookmarkEnd w:id="22"/>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RULES 13a-14(a) AND 15d-14(a)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 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Adam Gishen,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5"/>
        <w:gridCol w:w="10002"/>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for the period from January 1, 2023 through June 30, 2023 of Complete Solaria,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unaudited condensed consolidated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8103" w:type="dxa"/>
        <w:jc w:val="left"/>
        <w:tblInd w:w="0" w:type="dxa"/>
        <w:tblLayout w:type="fixed"/>
        <w:tblCellMar>
          <w:top w:w="0" w:type="dxa"/>
          <w:left w:w="0" w:type="dxa"/>
          <w:bottom w:w="0" w:type="dxa"/>
          <w:right w:w="0" w:type="dxa"/>
        </w:tblCellMar>
      </w:tblPr>
      <w:tblGrid>
        <w:gridCol w:w="38"/>
        <w:gridCol w:w="17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[Paragraph intentionally omitted in accordance with SEC Release Nos. 34-47986 and 34-54942];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controls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588" w:type="dxa"/>
        <w:jc w:val="left"/>
        <w:tblInd w:w="0" w:type="dxa"/>
        <w:tblLayout w:type="fixed"/>
        <w:tblCellMar>
          <w:top w:w="0" w:type="dxa"/>
          <w:left w:w="0" w:type="dxa"/>
          <w:bottom w:w="0" w:type="dxa"/>
          <w:right w:w="0" w:type="dxa"/>
        </w:tblCellMar>
      </w:tblPr>
      <w:tblGrid>
        <w:gridCol w:w="1865"/>
        <w:gridCol w:w="320"/>
        <w:gridCol w:w="2403"/>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14, 2023</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03" w:type="dxa"/>
            <w:tcBorders/>
            <w:vAlign w:val="center"/>
          </w:tcPr>
          <w:p>
            <w:pPr>
              <w:pStyle w:val="TableContents"/>
              <w:pBdr>
                <w:bottom w:val="single" w:sz="12"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Adam Gishen</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Adam Gishen</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03" w:type="dxa"/>
            <w:tcBorders/>
            <w:vAlign w:val="center"/>
          </w:tcPr>
          <w:p>
            <w:pPr>
              <w:pStyle w:val="TableContents"/>
              <w:bidi w:val="0"/>
              <w:spacing w:before="0" w:after="0"/>
              <w:ind w:left="43" w:right="4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0"/>
              <w:ind w:left="43" w:right="4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f10q0623ex31-2_completesol.htm"/>
      <w:bookmarkStart w:id="24" w:name="ksf10q0623ex312_completesol"/>
      <w:bookmarkEnd w:id="23"/>
      <w:bookmarkEnd w:id="24"/>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RULES 13a-14(a) AND 15d-14(a)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 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Adam Gishen,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5"/>
        <w:gridCol w:w="10002"/>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for the period from January 1, 2023 through June 30, 2023 of Complete Solaria,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unaudited condensed consolidated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8103" w:type="dxa"/>
        <w:jc w:val="left"/>
        <w:tblInd w:w="0" w:type="dxa"/>
        <w:tblLayout w:type="fixed"/>
        <w:tblCellMar>
          <w:top w:w="0" w:type="dxa"/>
          <w:left w:w="0" w:type="dxa"/>
          <w:bottom w:w="0" w:type="dxa"/>
          <w:right w:w="0" w:type="dxa"/>
        </w:tblCellMar>
      </w:tblPr>
      <w:tblGrid>
        <w:gridCol w:w="38"/>
        <w:gridCol w:w="17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[Paragraph intentionally omitted in accordance with SEC Release Nos. 34-47986 and 34-54942];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controls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485" w:type="dxa"/>
        <w:jc w:val="left"/>
        <w:tblInd w:w="0" w:type="dxa"/>
        <w:tblLayout w:type="fixed"/>
        <w:tblCellMar>
          <w:top w:w="0" w:type="dxa"/>
          <w:left w:w="0" w:type="dxa"/>
          <w:bottom w:w="0" w:type="dxa"/>
          <w:right w:w="0" w:type="dxa"/>
        </w:tblCellMar>
      </w:tblPr>
      <w:tblGrid>
        <w:gridCol w:w="1865"/>
        <w:gridCol w:w="320"/>
        <w:gridCol w:w="2300"/>
      </w:tblGrid>
      <w:tr>
        <w:trPr/>
        <w:tc>
          <w:tcPr>
            <w:tcW w:w="18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14, 2023</w:t>
            </w:r>
          </w:p>
        </w:tc>
        <w:tc>
          <w:tcPr>
            <w:tcW w:w="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00" w:type="dxa"/>
            <w:tcBorders/>
            <w:shd w:fill="FFFFFF" w:val="clear"/>
            <w:vAlign w:val="center"/>
          </w:tcPr>
          <w:p>
            <w:pPr>
              <w:pStyle w:val="TableContents"/>
              <w:pBdr>
                <w:bottom w:val="single" w:sz="12"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Adam Gishen</w:t>
            </w:r>
          </w:p>
        </w:tc>
      </w:tr>
      <w:tr>
        <w:trPr/>
        <w:tc>
          <w:tcPr>
            <w:tcW w:w="186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23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Adam Gishen</w:t>
            </w:r>
          </w:p>
        </w:tc>
      </w:tr>
      <w:tr>
        <w:trPr/>
        <w:tc>
          <w:tcPr>
            <w:tcW w:w="186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23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b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f10q0623ex32-1_completesol.htm"/>
      <w:bookmarkStart w:id="26" w:name="ksf10q0623ex321_completesol"/>
      <w:bookmarkEnd w:id="25"/>
      <w:bookmarkEnd w:id="26"/>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Complete Solaria,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on Form 10-Q for the period from January 1, 2023 through June 30, 2023, as filed with the Securities and Exchange Commission on the date hereof (the “</w:t>
      </w:r>
      <w:r>
        <w:rPr>
          <w:rFonts w:ascii="Times New Roman;Times;Serif" w:hAnsi="Times New Roman;Times;Serif"/>
          <w:b w:val="false"/>
          <w:i w:val="false"/>
          <w:caps w:val="false"/>
          <w:smallCaps w:val="false"/>
          <w:sz w:val="20"/>
          <w:u w:val="single"/>
        </w:rPr>
        <w:t>Report</w:t>
      </w:r>
      <w:r>
        <w:rPr>
          <w:rFonts w:ascii="Times New Roman;Times;Serif" w:hAnsi="Times New Roman;Times;Serif"/>
          <w:b w:val="false"/>
          <w:i w:val="false"/>
          <w:caps w:val="false"/>
          <w:smallCaps w:val="false"/>
          <w:sz w:val="20"/>
        </w:rPr>
        <w:t>”), I, Adam Gishen, Chief Executive Officer of the Company, certify, pursuant to 18 U.S.C. Section 1350, as adopted pursuant to Section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tbl>
      <w:tblPr>
        <w:tblW w:w="9828" w:type="dxa"/>
        <w:jc w:val="left"/>
        <w:tblInd w:w="0" w:type="dxa"/>
        <w:tblLayout w:type="fixed"/>
        <w:tblCellMar>
          <w:top w:w="0" w:type="dxa"/>
          <w:left w:w="0" w:type="dxa"/>
          <w:bottom w:w="0" w:type="dxa"/>
          <w:right w:w="0" w:type="dxa"/>
        </w:tblCellMar>
      </w:tblPr>
      <w:tblGrid>
        <w:gridCol w:w="38"/>
        <w:gridCol w:w="245"/>
        <w:gridCol w:w="954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5223" w:type="dxa"/>
        <w:jc w:val="left"/>
        <w:tblInd w:w="0" w:type="dxa"/>
        <w:tblLayout w:type="fixed"/>
        <w:tblCellMar>
          <w:top w:w="0" w:type="dxa"/>
          <w:left w:w="0" w:type="dxa"/>
          <w:bottom w:w="0" w:type="dxa"/>
          <w:right w:w="0" w:type="dxa"/>
        </w:tblCellMar>
      </w:tblPr>
      <w:tblGrid>
        <w:gridCol w:w="1865"/>
        <w:gridCol w:w="320"/>
        <w:gridCol w:w="635"/>
        <w:gridCol w:w="2403"/>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14, 2023</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8"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Adam Gishen</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4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Adam Gishen</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403" w:type="dxa"/>
            <w:tcBorders/>
            <w:vAlign w:val="center"/>
          </w:tcPr>
          <w:p>
            <w:pPr>
              <w:pStyle w:val="TableContents"/>
              <w:bidi w:val="0"/>
              <w:spacing w:before="0" w:after="0"/>
              <w:ind w:left="174" w:right="43" w:hanging="1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0"/>
              <w:ind w:left="174" w:right="43" w:hanging="1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f10q0623ex32-2_completesol.htm"/>
      <w:bookmarkStart w:id="28" w:name="ksf10q0623ex322_completesol"/>
      <w:bookmarkEnd w:id="27"/>
      <w:bookmarkEnd w:id="28"/>
      <w:r>
        <w:rPr>
          <w:rFonts w:ascii="Times New Roman;Times;Serif" w:hAnsi="Times New Roman;Times;Serif"/>
          <w:b/>
          <w:i w:val="false"/>
          <w:caps w:val="false"/>
          <w:smallCaps w:val="false"/>
          <w:sz w:val="20"/>
        </w:rPr>
        <w:t>EXHIBIT 32.2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Complete Solaria,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on Form 10-Q for the period from January 1, 2023 through June 30, 2023, as filed with the Securities and Exchange Commission on the date hereof (the “</w:t>
      </w:r>
      <w:r>
        <w:rPr>
          <w:rFonts w:ascii="Times New Roman;Times;Serif" w:hAnsi="Times New Roman;Times;Serif"/>
          <w:b w:val="false"/>
          <w:i w:val="false"/>
          <w:caps w:val="false"/>
          <w:smallCaps w:val="false"/>
          <w:sz w:val="20"/>
          <w:u w:val="single"/>
        </w:rPr>
        <w:t>Report</w:t>
      </w:r>
      <w:r>
        <w:rPr>
          <w:rFonts w:ascii="Times New Roman;Times;Serif" w:hAnsi="Times New Roman;Times;Serif"/>
          <w:b w:val="false"/>
          <w:i w:val="false"/>
          <w:caps w:val="false"/>
          <w:smallCaps w:val="false"/>
          <w:sz w:val="20"/>
        </w:rPr>
        <w:t>”), I, Adam Gishen, the Principal Financial Officer of the Company, certify, pursuant to 18 U.S.C. Section 1350, as adopted pursuant to Section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tbl>
      <w:tblPr>
        <w:tblW w:w="9828" w:type="dxa"/>
        <w:jc w:val="left"/>
        <w:tblInd w:w="0" w:type="dxa"/>
        <w:tblLayout w:type="fixed"/>
        <w:tblCellMar>
          <w:top w:w="0" w:type="dxa"/>
          <w:left w:w="0" w:type="dxa"/>
          <w:bottom w:w="0" w:type="dxa"/>
          <w:right w:w="0" w:type="dxa"/>
        </w:tblCellMar>
      </w:tblPr>
      <w:tblGrid>
        <w:gridCol w:w="38"/>
        <w:gridCol w:w="245"/>
        <w:gridCol w:w="954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75" w:type="dxa"/>
        <w:jc w:val="left"/>
        <w:tblInd w:w="0" w:type="dxa"/>
        <w:tblLayout w:type="fixed"/>
        <w:tblCellMar>
          <w:top w:w="0" w:type="dxa"/>
          <w:left w:w="0" w:type="dxa"/>
          <w:bottom w:w="0" w:type="dxa"/>
          <w:right w:w="0" w:type="dxa"/>
        </w:tblCellMar>
      </w:tblPr>
      <w:tblGrid>
        <w:gridCol w:w="1865"/>
        <w:gridCol w:w="320"/>
        <w:gridCol w:w="590"/>
        <w:gridCol w:w="2300"/>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14, 2023</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90" w:type="dxa"/>
            <w:gridSpan w:val="2"/>
            <w:tcBorders/>
            <w:vAlign w:val="center"/>
          </w:tcPr>
          <w:p>
            <w:pPr>
              <w:pStyle w:val="TableContents"/>
              <w:pBdr>
                <w:bottom w:val="single" w:sz="12"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Adam Gishen</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300" w:type="dxa"/>
            <w:tcBorders/>
            <w:vAlign w:val="center"/>
          </w:tcPr>
          <w:p>
            <w:pPr>
              <w:pStyle w:val="TableContents"/>
              <w:bidi w:val="0"/>
              <w:spacing w:before="0" w:after="283"/>
              <w:jc w:val="left"/>
              <w:rPr/>
            </w:pPr>
            <w:r>
              <w:rPr/>
              <w:t> </w:t>
            </w:r>
            <w:r>
              <w:rPr>
                <w:rFonts w:ascii="Times New Roman;Times;Serif" w:hAnsi="Times New Roman;Times;Serif"/>
                <w:sz w:val="20"/>
              </w:rPr>
              <w:t>Adam Gishen</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br/>
              <w:t>(Principal Financial Officer)</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38987/000119312523009586/d428780dex21.htm" TargetMode="External"/><Relationship Id="rId3" Type="http://schemas.openxmlformats.org/officeDocument/2006/relationships/hyperlink" Target="http://www.sec.gov/Archives/edgar/data/1838987/000119312523056329/d465232dex31.htm" TargetMode="External"/><Relationship Id="rId4" Type="http://schemas.openxmlformats.org/officeDocument/2006/relationships/hyperlink" Target="http://www.sec.gov/Archives/edgar/data/1838987/000119312523056329/d465232dex101.htm" TargetMode="External"/><Relationship Id="rId5" Type="http://schemas.openxmlformats.org/officeDocument/2006/relationships/hyperlink" Target="https://www.sec.gov/Archives/edgar/data/1838987/000119312523058254/d458401dex10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22468</Words>
  <Characters>122188</Characters>
  <CharactersWithSpaces>145645</CharactersWithSpaces>
  <Paragraphs>3718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