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f10q1023_completesol.htm"/>
      <w:bookmarkStart w:id="1" w:name="ksf10q1023_completesol"/>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October 1,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001-40117</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to Freedom Acquisition I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80" w:type="dxa"/>
        <w:jc w:val="left"/>
        <w:tblInd w:w="0" w:type="dxa"/>
        <w:tblLayout w:type="fixed"/>
        <w:tblCellMar>
          <w:top w:w="0" w:type="dxa"/>
          <w:left w:w="0" w:type="dxa"/>
          <w:bottom w:w="28" w:type="dxa"/>
          <w:right w:w="0" w:type="dxa"/>
        </w:tblCellMar>
      </w:tblPr>
      <w:tblGrid>
        <w:gridCol w:w="2525"/>
        <w:gridCol w:w="60"/>
        <w:gridCol w:w="18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93-2279786</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pPr>
            <w:r>
              <w:rPr/>
              <w:t> </w:t>
            </w: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45700 Northport Loop East, Fremont, CA 94538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(510) 270-2507</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050" w:type="dxa"/>
        <w:jc w:val="left"/>
        <w:tblInd w:w="0" w:type="dxa"/>
        <w:tblLayout w:type="fixed"/>
        <w:tblCellMar>
          <w:top w:w="0" w:type="dxa"/>
          <w:left w:w="0" w:type="dxa"/>
          <w:bottom w:w="28" w:type="dxa"/>
          <w:right w:w="0" w:type="dxa"/>
        </w:tblCellMar>
      </w:tblPr>
      <w:tblGrid>
        <w:gridCol w:w="6215"/>
        <w:gridCol w:w="60"/>
        <w:gridCol w:w="1610"/>
        <w:gridCol w:w="60"/>
        <w:gridCol w:w="2105"/>
      </w:tblGrid>
      <w:tr>
        <w:trPr/>
        <w:tc>
          <w:tcPr>
            <w:tcW w:w="62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Trading </w:t>
            </w:r>
            <w:r>
              <w:rPr>
                <w:rFonts w:ascii="Times New Roman;Times;Serif" w:hAnsi="Times New Roman;Times;Serif"/>
                <w:sz w:val="20"/>
              </w:rPr>
              <w:t>‎</w:t>
            </w:r>
            <w:r>
              <w:rPr>
                <w:rFonts w:ascii="Times New Roman;Times;Serif" w:hAnsi="Times New Roman;Times;Serif"/>
                <w:b/>
                <w:sz w:val="20"/>
              </w:rPr>
              <w:t>Symbol(s)</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center"/>
              <w:rPr/>
            </w:pPr>
            <w:r>
              <w:rPr/>
              <w:t> </w:t>
            </w:r>
          </w:p>
        </w:tc>
        <w:tc>
          <w:tcPr>
            <w:tcW w:w="21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62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CSLR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05" w:type="dxa"/>
            <w:tcBorders/>
            <w:shd w:fill="CCEEFF" w:val="clear"/>
            <w:tcMar>
              <w:bottom w:w="0" w:type="dxa"/>
            </w:tcMar>
            <w:vAlign w:val="center"/>
          </w:tcPr>
          <w:p>
            <w:pPr>
              <w:pStyle w:val="TableContents"/>
              <w:bidi w:val="0"/>
              <w:spacing w:before="0" w:after="283"/>
              <w:jc w:val="center"/>
              <w:rPr/>
            </w:pPr>
            <w:r>
              <w:rPr/>
              <w:t>Nasdaq</w:t>
            </w:r>
          </w:p>
        </w:tc>
      </w:tr>
      <w:tr>
        <w:trPr/>
        <w:tc>
          <w:tcPr>
            <w:tcW w:w="62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105" w:type="dxa"/>
            <w:tcBorders/>
            <w:shd w:fill="FFFFFF" w:val="clear"/>
            <w:tcMar>
              <w:bottom w:w="0" w:type="dxa"/>
            </w:tcMar>
            <w:vAlign w:val="center"/>
          </w:tcPr>
          <w:p>
            <w:pPr>
              <w:pStyle w:val="TableContents"/>
              <w:bidi w:val="0"/>
              <w:spacing w:before="0" w:after="283"/>
              <w:jc w:val="center"/>
              <w:rPr/>
            </w:pPr>
            <w:r>
              <w:rPr/>
              <w:t> </w:t>
            </w:r>
          </w:p>
        </w:tc>
      </w:tr>
      <w:tr>
        <w:trPr/>
        <w:tc>
          <w:tcPr>
            <w:tcW w:w="62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Redeemable warrants, each whole warrant exercisable for one 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CSLRW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05" w:type="dxa"/>
            <w:tcBorders/>
            <w:shd w:fill="CCEEFF" w:val="clear"/>
            <w:tcMar>
              <w:bottom w:w="0" w:type="dxa"/>
            </w:tcMar>
            <w:vAlign w:val="center"/>
          </w:tcPr>
          <w:p>
            <w:pPr>
              <w:pStyle w:val="TableContents"/>
              <w:bidi w:val="0"/>
              <w:spacing w:before="0" w:after="283"/>
              <w:jc w:val="center"/>
              <w:rPr/>
            </w:pPr>
            <w:r>
              <w:rPr/>
              <w:t xml:space="preserve">Nasdaq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880"/>
        <w:gridCol w:w="290"/>
        <w:gridCol w:w="2270"/>
        <w:gridCol w:w="305"/>
      </w:tblGrid>
      <w:tr>
        <w:trPr/>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 </w:t>
            </w:r>
          </w:p>
        </w:tc>
        <w:tc>
          <w:tcPr>
            <w:tcW w:w="290" w:type="dxa"/>
            <w:tcBorders/>
            <w:vAlign w:val="center"/>
          </w:tcPr>
          <w:p>
            <w:pPr>
              <w:pStyle w:val="TableContents"/>
              <w:bidi w:val="0"/>
              <w:spacing w:before="0" w:after="283"/>
              <w:jc w:val="both"/>
              <w:rPr/>
            </w:pPr>
            <w:r>
              <w:rPr/>
              <w:t>☐ </w:t>
            </w:r>
          </w:p>
        </w:tc>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both"/>
              <w:rPr/>
            </w:pPr>
            <w:r>
              <w:rPr/>
              <w:t>☐ </w:t>
            </w:r>
          </w:p>
        </w:tc>
      </w:tr>
      <w:tr>
        <w:trPr/>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 </w:t>
            </w:r>
          </w:p>
        </w:tc>
        <w:tc>
          <w:tcPr>
            <w:tcW w:w="290" w:type="dxa"/>
            <w:tcBorders/>
            <w:vAlign w:val="center"/>
          </w:tcPr>
          <w:p>
            <w:pPr>
              <w:pStyle w:val="TableContents"/>
              <w:bidi w:val="0"/>
              <w:spacing w:before="0" w:after="283"/>
              <w:jc w:val="both"/>
              <w:rPr/>
            </w:pPr>
            <w:r>
              <w:rPr/>
              <w:t>☒ </w:t>
            </w:r>
          </w:p>
        </w:tc>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 </w:t>
            </w:r>
          </w:p>
        </w:tc>
        <w:tc>
          <w:tcPr>
            <w:tcW w:w="305" w:type="dxa"/>
            <w:tcBorders/>
            <w:vAlign w:val="center"/>
          </w:tcPr>
          <w:p>
            <w:pPr>
              <w:pStyle w:val="TableContents"/>
              <w:bidi w:val="0"/>
              <w:spacing w:before="0" w:after="283"/>
              <w:jc w:val="both"/>
              <w:rPr/>
            </w:pPr>
            <w:r>
              <w:rPr/>
              <w:t>☒ </w:t>
            </w:r>
          </w:p>
        </w:tc>
      </w:tr>
      <w:tr>
        <w:trPr/>
        <w:tc>
          <w:tcPr>
            <w:tcW w:w="188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both"/>
              <w:rPr/>
            </w:pPr>
            <w:r>
              <w:rPr/>
              <w:t> </w:t>
            </w:r>
          </w:p>
        </w:tc>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 </w:t>
            </w:r>
          </w:p>
        </w:tc>
        <w:tc>
          <w:tcPr>
            <w:tcW w:w="30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9, 2023, 43,176,577 shares of common stock, par value $0.0001 per share, were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SOLARIA, INC. AND SUBSIDIARIES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0" w:type="dxa"/>
          <w:right w:w="0" w:type="dxa"/>
        </w:tblCellMar>
      </w:tblPr>
      <w:tblGrid>
        <w:gridCol w:w="860"/>
        <w:gridCol w:w="7280"/>
        <w:gridCol w:w="680"/>
      </w:tblGrid>
      <w:tr>
        <w:trPr/>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7280"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PAGES</w:t>
            </w:r>
          </w:p>
        </w:tc>
      </w:tr>
      <w:tr>
        <w:trPr/>
        <w:tc>
          <w:tcPr>
            <w:tcW w:w="8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Kalai_006">
              <w:r>
                <w:rPr>
                  <w:rStyle w:val="InternetLink"/>
                </w:rPr>
                <w:t>Special Note Regarding Forward-Looking Statements</w:t>
              </w:r>
            </w:hyperlink>
          </w:p>
        </w:tc>
        <w:tc>
          <w:tcPr>
            <w:tcW w:w="680" w:type="dxa"/>
            <w:tcBorders/>
            <w:shd w:fill="CCEEFF" w:val="clear"/>
            <w:vAlign w:val="center"/>
          </w:tcPr>
          <w:p>
            <w:pPr>
              <w:pStyle w:val="TableContents"/>
              <w:bidi w:val="0"/>
              <w:spacing w:before="0" w:after="283"/>
              <w:jc w:val="center"/>
              <w:rPr/>
            </w:pPr>
            <w:r>
              <w:rPr/>
              <w:t>ii</w:t>
            </w:r>
          </w:p>
        </w:tc>
      </w:tr>
      <w:tr>
        <w:trPr/>
        <w:tc>
          <w:tcPr>
            <w:tcW w:w="8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hyperlink w:anchor="Kalai_007">
              <w:r>
                <w:rPr>
                  <w:rStyle w:val="InternetLink"/>
                </w:rPr>
                <w:t>Summary Risk Factors</w:t>
              </w:r>
            </w:hyperlink>
          </w:p>
        </w:tc>
        <w:tc>
          <w:tcPr>
            <w:tcW w:w="680" w:type="dxa"/>
            <w:tcBorders/>
            <w:shd w:fill="FFFFFF" w:val="clear"/>
            <w:vAlign w:val="center"/>
          </w:tcPr>
          <w:p>
            <w:pPr>
              <w:pStyle w:val="TableContents"/>
              <w:bidi w:val="0"/>
              <w:spacing w:before="0" w:after="283"/>
              <w:jc w:val="center"/>
              <w:rPr/>
            </w:pPr>
            <w:r>
              <w:rPr/>
              <w:t>iii</w:t>
            </w:r>
          </w:p>
        </w:tc>
      </w:tr>
      <w:tr>
        <w:trPr/>
        <w:tc>
          <w:tcPr>
            <w:tcW w:w="86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sz w:val="20"/>
                </w:rPr>
                <w:t>PART I.</w:t>
              </w:r>
            </w:hyperlink>
            <w:hyperlink w:anchor="a_001">
              <w:r>
                <w:rPr>
                  <w:rStyle w:val="InternetLink"/>
                </w:rPr>
                <w:t> </w:t>
              </w:r>
            </w:hyperlink>
          </w:p>
        </w:tc>
        <w:tc>
          <w:tcPr>
            <w:tcW w:w="7280" w:type="dxa"/>
            <w:tcBorders/>
            <w:shd w:fill="CCEEFF" w:val="clear"/>
            <w:vAlign w:val="center"/>
          </w:tcPr>
          <w:p>
            <w:pPr>
              <w:pStyle w:val="TableContents"/>
              <w:bidi w:val="0"/>
              <w:spacing w:before="0" w:after="283"/>
              <w:jc w:val="left"/>
              <w:rPr/>
            </w:pPr>
            <w:hyperlink w:anchor="a_001">
              <w:r>
                <w:rPr>
                  <w:rStyle w:val="InternetLink"/>
                  <w:b/>
                </w:rPr>
                <w:t>FINANCIAL INFORMATION</w:t>
              </w:r>
            </w:hyperlink>
          </w:p>
        </w:tc>
        <w:tc>
          <w:tcPr>
            <w:tcW w:w="680" w:type="dxa"/>
            <w:tcBorders/>
            <w:shd w:fill="CCEEFF" w:val="clear"/>
            <w:vAlign w:val="center"/>
          </w:tcPr>
          <w:p>
            <w:pPr>
              <w:pStyle w:val="TableContents"/>
              <w:bidi w:val="0"/>
              <w:spacing w:before="0" w:after="283"/>
              <w:jc w:val="center"/>
              <w:rPr/>
            </w:pPr>
            <w:r>
              <w:rPr/>
              <w:t>1</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28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 (Unaudited)</w:t>
              </w:r>
            </w:hyperlink>
          </w:p>
        </w:tc>
        <w:tc>
          <w:tcPr>
            <w:tcW w:w="680" w:type="dxa"/>
            <w:tcBorders/>
            <w:shd w:fill="FFFFFF" w:val="clear"/>
            <w:vAlign w:val="center"/>
          </w:tcPr>
          <w:p>
            <w:pPr>
              <w:pStyle w:val="TableContents"/>
              <w:bidi w:val="0"/>
              <w:spacing w:before="0" w:after="283"/>
              <w:jc w:val="center"/>
              <w:rPr/>
            </w:pPr>
            <w:r>
              <w:rPr/>
              <w:t>1</w:t>
            </w:r>
          </w:p>
        </w:tc>
      </w:tr>
      <w:tr>
        <w:trPr/>
        <w:tc>
          <w:tcPr>
            <w:tcW w:w="8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w:t>
              </w:r>
            </w:hyperlink>
          </w:p>
        </w:tc>
        <w:tc>
          <w:tcPr>
            <w:tcW w:w="680" w:type="dxa"/>
            <w:tcBorders/>
            <w:shd w:fill="CCEEFF" w:val="clear"/>
            <w:vAlign w:val="center"/>
          </w:tcPr>
          <w:p>
            <w:pPr>
              <w:pStyle w:val="TableContents"/>
              <w:bidi w:val="0"/>
              <w:spacing w:before="0" w:after="283"/>
              <w:jc w:val="center"/>
              <w:rPr/>
            </w:pPr>
            <w:r>
              <w:rPr/>
              <w:t>1</w:t>
            </w:r>
          </w:p>
        </w:tc>
      </w:tr>
      <w:tr>
        <w:trPr/>
        <w:tc>
          <w:tcPr>
            <w:tcW w:w="8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Operations and Comprehensive Income (Loss)</w:t>
              </w:r>
            </w:hyperlink>
          </w:p>
        </w:tc>
        <w:tc>
          <w:tcPr>
            <w:tcW w:w="680" w:type="dxa"/>
            <w:tcBorders/>
            <w:shd w:fill="FFFFFF" w:val="clear"/>
            <w:vAlign w:val="center"/>
          </w:tcPr>
          <w:p>
            <w:pPr>
              <w:pStyle w:val="TableContents"/>
              <w:bidi w:val="0"/>
              <w:spacing w:before="0" w:after="283"/>
              <w:jc w:val="center"/>
              <w:rPr/>
            </w:pPr>
            <w:r>
              <w:rPr/>
              <w:t>2</w:t>
            </w:r>
          </w:p>
        </w:tc>
      </w:tr>
      <w:tr>
        <w:trPr/>
        <w:tc>
          <w:tcPr>
            <w:tcW w:w="8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Stockholders’ Deficit</w:t>
              </w:r>
            </w:hyperlink>
          </w:p>
        </w:tc>
        <w:tc>
          <w:tcPr>
            <w:tcW w:w="680" w:type="dxa"/>
            <w:tcBorders/>
            <w:shd w:fill="CCEEFF" w:val="clear"/>
            <w:vAlign w:val="center"/>
          </w:tcPr>
          <w:p>
            <w:pPr>
              <w:pStyle w:val="TableContents"/>
              <w:bidi w:val="0"/>
              <w:spacing w:before="0" w:after="283"/>
              <w:jc w:val="center"/>
              <w:rPr/>
            </w:pPr>
            <w:r>
              <w:rPr/>
              <w:t>3</w:t>
            </w:r>
          </w:p>
        </w:tc>
      </w:tr>
      <w:tr>
        <w:trPr/>
        <w:tc>
          <w:tcPr>
            <w:tcW w:w="8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Statements of Cash Flows</w:t>
              </w:r>
            </w:hyperlink>
          </w:p>
        </w:tc>
        <w:tc>
          <w:tcPr>
            <w:tcW w:w="680" w:type="dxa"/>
            <w:tcBorders/>
            <w:shd w:fill="FFFFFF" w:val="clear"/>
            <w:vAlign w:val="center"/>
          </w:tcPr>
          <w:p>
            <w:pPr>
              <w:pStyle w:val="TableContents"/>
              <w:bidi w:val="0"/>
              <w:spacing w:before="0" w:after="283"/>
              <w:jc w:val="center"/>
              <w:rPr/>
            </w:pPr>
            <w:r>
              <w:rPr/>
              <w:t>7</w:t>
            </w:r>
          </w:p>
        </w:tc>
      </w:tr>
      <w:tr>
        <w:trPr/>
        <w:tc>
          <w:tcPr>
            <w:tcW w:w="8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Notes to Condensed Consolidated Financial Statements</w:t>
              </w:r>
            </w:hyperlink>
          </w:p>
        </w:tc>
        <w:tc>
          <w:tcPr>
            <w:tcW w:w="6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28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680" w:type="dxa"/>
            <w:tcBorders/>
            <w:shd w:fill="FFFFFF" w:val="clear"/>
            <w:vAlign w:val="center"/>
          </w:tcPr>
          <w:p>
            <w:pPr>
              <w:pStyle w:val="TableContents"/>
              <w:bidi w:val="0"/>
              <w:spacing w:before="0" w:after="283"/>
              <w:jc w:val="center"/>
              <w:rPr/>
            </w:pPr>
            <w:r>
              <w:rPr/>
              <w:t>44</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28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Quantitative and Qualitative Disclosures about Market Risk</w:t>
              </w:r>
            </w:hyperlink>
          </w:p>
        </w:tc>
        <w:tc>
          <w:tcPr>
            <w:tcW w:w="680" w:type="dxa"/>
            <w:tcBorders/>
            <w:shd w:fill="CCEEFF" w:val="clear"/>
            <w:vAlign w:val="center"/>
          </w:tcPr>
          <w:p>
            <w:pPr>
              <w:pStyle w:val="TableContents"/>
              <w:bidi w:val="0"/>
              <w:spacing w:before="0" w:after="283"/>
              <w:jc w:val="center"/>
              <w:rPr/>
            </w:pPr>
            <w:r>
              <w:rPr/>
              <w:t>56</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28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Controls and Procedures</w:t>
              </w:r>
            </w:hyperlink>
          </w:p>
        </w:tc>
        <w:tc>
          <w:tcPr>
            <w:tcW w:w="680" w:type="dxa"/>
            <w:tcBorders/>
            <w:shd w:fill="FFFFFF" w:val="clear"/>
            <w:vAlign w:val="center"/>
          </w:tcPr>
          <w:p>
            <w:pPr>
              <w:pStyle w:val="TableContents"/>
              <w:bidi w:val="0"/>
              <w:spacing w:before="0" w:after="283"/>
              <w:jc w:val="center"/>
              <w:rPr/>
            </w:pPr>
            <w:r>
              <w:rPr/>
              <w:t>57</w:t>
            </w:r>
          </w:p>
        </w:tc>
      </w:tr>
      <w:tr>
        <w:trPr/>
        <w:tc>
          <w:tcPr>
            <w:tcW w:w="8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 </w:t>
            </w:r>
          </w:p>
        </w:tc>
      </w:tr>
      <w:tr>
        <w:trPr/>
        <w:tc>
          <w:tcPr>
            <w:tcW w:w="86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sz w:val="20"/>
                </w:rPr>
                <w:t>PART II.</w:t>
              </w:r>
            </w:hyperlink>
            <w:hyperlink w:anchor="a_011">
              <w:r>
                <w:rPr>
                  <w:rStyle w:val="InternetLink"/>
                </w:rPr>
                <w:t> </w:t>
              </w:r>
            </w:hyperlink>
          </w:p>
        </w:tc>
        <w:tc>
          <w:tcPr>
            <w:tcW w:w="728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sz w:val="20"/>
                </w:rPr>
                <w:t>OTHER INFORMATION</w:t>
              </w:r>
            </w:hyperlink>
          </w:p>
        </w:tc>
        <w:tc>
          <w:tcPr>
            <w:tcW w:w="680" w:type="dxa"/>
            <w:tcBorders/>
            <w:shd w:fill="FFFFFF" w:val="clear"/>
            <w:vAlign w:val="center"/>
          </w:tcPr>
          <w:p>
            <w:pPr>
              <w:pStyle w:val="TableContents"/>
              <w:bidi w:val="0"/>
              <w:spacing w:before="0" w:after="283"/>
              <w:jc w:val="center"/>
              <w:rPr/>
            </w:pPr>
            <w:r>
              <w:rPr/>
              <w:t>58</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28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Legal Proceedings</w:t>
              </w:r>
            </w:hyperlink>
          </w:p>
        </w:tc>
        <w:tc>
          <w:tcPr>
            <w:tcW w:w="680" w:type="dxa"/>
            <w:tcBorders/>
            <w:shd w:fill="CCEEFF" w:val="clear"/>
            <w:vAlign w:val="center"/>
          </w:tcPr>
          <w:p>
            <w:pPr>
              <w:pStyle w:val="TableContents"/>
              <w:bidi w:val="0"/>
              <w:spacing w:before="0" w:after="283"/>
              <w:jc w:val="center"/>
              <w:rPr/>
            </w:pPr>
            <w:r>
              <w:rPr/>
              <w:t>58</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728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Risk Factors</w:t>
              </w:r>
            </w:hyperlink>
          </w:p>
        </w:tc>
        <w:tc>
          <w:tcPr>
            <w:tcW w:w="680" w:type="dxa"/>
            <w:tcBorders/>
            <w:shd w:fill="FFFFFF" w:val="clear"/>
            <w:vAlign w:val="center"/>
          </w:tcPr>
          <w:p>
            <w:pPr>
              <w:pStyle w:val="TableContents"/>
              <w:bidi w:val="0"/>
              <w:spacing w:before="0" w:after="283"/>
              <w:jc w:val="center"/>
              <w:rPr/>
            </w:pPr>
            <w:r>
              <w:rPr/>
              <w:t>58</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28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Unregistered Sales of Equity Securities, Use of Proceeds and Issuer Purchases of Equity</w:t>
              </w:r>
            </w:hyperlink>
          </w:p>
        </w:tc>
        <w:tc>
          <w:tcPr>
            <w:tcW w:w="680" w:type="dxa"/>
            <w:tcBorders/>
            <w:shd w:fill="CCEEFF" w:val="clear"/>
            <w:vAlign w:val="center"/>
          </w:tcPr>
          <w:p>
            <w:pPr>
              <w:pStyle w:val="TableContents"/>
              <w:bidi w:val="0"/>
              <w:spacing w:before="0" w:after="283"/>
              <w:jc w:val="center"/>
              <w:rPr/>
            </w:pPr>
            <w:r>
              <w:rPr/>
              <w:t>79</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28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Defaults Upon Senior Securities</w:t>
              </w:r>
            </w:hyperlink>
          </w:p>
        </w:tc>
        <w:tc>
          <w:tcPr>
            <w:tcW w:w="680" w:type="dxa"/>
            <w:tcBorders/>
            <w:shd w:fill="FFFFFF" w:val="clear"/>
            <w:vAlign w:val="center"/>
          </w:tcPr>
          <w:p>
            <w:pPr>
              <w:pStyle w:val="TableContents"/>
              <w:bidi w:val="0"/>
              <w:spacing w:before="0" w:after="283"/>
              <w:jc w:val="center"/>
              <w:rPr/>
            </w:pPr>
            <w:r>
              <w:rPr/>
              <w:t>79</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28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Mine Safety Disclosures</w:t>
              </w:r>
            </w:hyperlink>
          </w:p>
        </w:tc>
        <w:tc>
          <w:tcPr>
            <w:tcW w:w="680" w:type="dxa"/>
            <w:tcBorders/>
            <w:shd w:fill="CCEEFF" w:val="clear"/>
            <w:vAlign w:val="center"/>
          </w:tcPr>
          <w:p>
            <w:pPr>
              <w:pStyle w:val="TableContents"/>
              <w:bidi w:val="0"/>
              <w:spacing w:before="0" w:after="283"/>
              <w:jc w:val="center"/>
              <w:rPr/>
            </w:pPr>
            <w:r>
              <w:rPr/>
              <w:t>79</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728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Other Information</w:t>
              </w:r>
            </w:hyperlink>
          </w:p>
        </w:tc>
        <w:tc>
          <w:tcPr>
            <w:tcW w:w="680" w:type="dxa"/>
            <w:tcBorders/>
            <w:shd w:fill="FFFFFF" w:val="clear"/>
            <w:vAlign w:val="center"/>
          </w:tcPr>
          <w:p>
            <w:pPr>
              <w:pStyle w:val="TableContents"/>
              <w:bidi w:val="0"/>
              <w:spacing w:before="0" w:after="283"/>
              <w:jc w:val="center"/>
              <w:rPr/>
            </w:pPr>
            <w:r>
              <w:rPr/>
              <w:t>79</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728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Exhibits</w:t>
              </w:r>
            </w:hyperlink>
          </w:p>
        </w:tc>
        <w:tc>
          <w:tcPr>
            <w:tcW w:w="680" w:type="dxa"/>
            <w:tcBorders/>
            <w:shd w:fill="CCEEFF" w:val="clear"/>
            <w:vAlign w:val="center"/>
          </w:tcPr>
          <w:p>
            <w:pPr>
              <w:pStyle w:val="TableContents"/>
              <w:bidi w:val="0"/>
              <w:spacing w:before="0" w:after="283"/>
              <w:jc w:val="center"/>
              <w:rPr/>
            </w:pPr>
            <w:r>
              <w:rPr/>
              <w:t>79</w:t>
            </w:r>
          </w:p>
        </w:tc>
      </w:tr>
      <w:tr>
        <w:trPr/>
        <w:tc>
          <w:tcPr>
            <w:tcW w:w="8140" w:type="dxa"/>
            <w:gridSpan w:val="2"/>
            <w:tcBorders/>
            <w:shd w:fill="FFFFFF" w:val="clear"/>
            <w:vAlign w:val="center"/>
          </w:tcPr>
          <w:p>
            <w:pPr>
              <w:pStyle w:val="TableContents"/>
              <w:bidi w:val="0"/>
              <w:spacing w:before="0" w:after="283"/>
              <w:jc w:val="left"/>
              <w:rPr/>
            </w:pPr>
            <w:hyperlink w:anchor="Kalai_008">
              <w:r>
                <w:rPr>
                  <w:rStyle w:val="InternetLink"/>
                  <w:rFonts w:ascii="Times New Roman;Times;Serif" w:hAnsi="Times New Roman;Times;Serif"/>
                  <w:sz w:val="20"/>
                </w:rPr>
                <w:t>Signatures</w:t>
              </w:r>
            </w:hyperlink>
          </w:p>
        </w:tc>
        <w:tc>
          <w:tcPr>
            <w:tcW w:w="680" w:type="dxa"/>
            <w:tcBorders/>
            <w:shd w:fill="FFFFFF" w:val="clear"/>
            <w:vAlign w:val="center"/>
          </w:tcPr>
          <w:p>
            <w:pPr>
              <w:pStyle w:val="TableContents"/>
              <w:bidi w:val="0"/>
              <w:spacing w:before="0" w:after="283"/>
              <w:jc w:val="center"/>
              <w:rPr/>
            </w:pPr>
            <w:r>
              <w:rPr/>
              <w:t>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2" w:name="Kalai_006"/>
      <w:bookmarkEnd w:id="2"/>
      <w:r>
        <w:rPr>
          <w:rFonts w:ascii="Times New Roman;Times;Serif" w:hAnsi="Times New Roman;Times;Serif"/>
          <w:b/>
          <w:i w:val="false"/>
          <w:caps w:val="false"/>
          <w:smallCaps w:val="false"/>
          <w:sz w:val="20"/>
        </w:rPr>
        <w:t>SPECIAL NOTE REGARDING 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Quarterly Report on Form 10-Q may constitute “forward-looking statements” for purposes of the federal securities laws.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our ability to recognize the anticipated benefits of the Business Combination, which may be affected by, among other things, competition and our ability to grow and manage growth profitably following the Closing;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financial and business performance following the Business Combination, including financial projections and business metrics;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our strategy, future operations, financial position, estimated revenues and losses, projected costs, prospects and plans;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meet the expectations of new and current customers, and our ability to achieve market acceptance for our products;</w:t>
            </w:r>
          </w:p>
        </w:tc>
      </w:tr>
    </w:tbl>
    <w:p>
      <w:pPr>
        <w:pStyle w:val="TextBody"/>
        <w:bidi w:val="0"/>
        <w:spacing w:before="0" w:after="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pPr>
            <w:r>
              <w:rPr/>
              <w:t>our expectations and forecasts with respect to market opportunity and market growth;</w:t>
            </w:r>
          </w:p>
        </w:tc>
      </w:tr>
    </w:tbl>
    <w:p>
      <w:pPr>
        <w:pStyle w:val="TextBody"/>
        <w:bidi w:val="0"/>
        <w:spacing w:before="0" w:after="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pPr>
            <w:r>
              <w:rPr/>
              <w:t>the ability of our products and services to meet customers’ compliance and regulatory needs;</w:t>
            </w:r>
          </w:p>
        </w:tc>
      </w:tr>
    </w:tbl>
    <w:p>
      <w:pPr>
        <w:pStyle w:val="TextBody"/>
        <w:bidi w:val="0"/>
        <w:spacing w:before="0" w:after="0"/>
        <w:jc w:val="both"/>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pPr>
            <w:r>
              <w:rPr/>
              <w:t>our ability to attract and retain qualified employees and management;</w:t>
            </w:r>
          </w:p>
        </w:tc>
      </w:tr>
    </w:tbl>
    <w:p>
      <w:pPr>
        <w:pStyle w:val="TextBody"/>
        <w:bidi w:val="0"/>
        <w:spacing w:before="0" w:after="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pPr>
            <w:r>
              <w:rPr/>
              <w:t>our ability to develop and maintain its brand and reputation;</w:t>
            </w:r>
          </w:p>
        </w:tc>
      </w:tr>
    </w:tbl>
    <w:p>
      <w:pPr>
        <w:pStyle w:val="TextBody"/>
        <w:bidi w:val="0"/>
        <w:spacing w:before="0" w:after="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pPr>
            <w:r>
              <w:rPr/>
              <w:t>developments and projections relating to our competitors and industry;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general economic and financial conditions, inflationary pressures and the resulting impact demand, and our ability to plan for and respond to the impact of those changes;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expectations regarding our ability to obtain and maintain intellectual property protection and not infringe on the rights of others;</w:t>
            </w:r>
          </w:p>
        </w:tc>
      </w:tr>
    </w:tbl>
    <w:p>
      <w:pPr>
        <w:pStyle w:val="TextBody"/>
        <w:bidi w:val="0"/>
        <w:spacing w:before="0" w:after="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our future capital requirements and sources and uses of cash;</w:t>
            </w:r>
          </w:p>
        </w:tc>
      </w:tr>
    </w:tbl>
    <w:p>
      <w:pPr>
        <w:pStyle w:val="TextBody"/>
        <w:bidi w:val="0"/>
        <w:spacing w:before="0" w:after="0"/>
        <w:jc w:val="both"/>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pPr>
            <w:r>
              <w:rPr/>
              <w:t>our ability to obtain funding for its operations and future growth; and</w:t>
            </w:r>
          </w:p>
        </w:tc>
      </w:tr>
    </w:tbl>
    <w:p>
      <w:pPr>
        <w:pStyle w:val="TextBody"/>
        <w:bidi w:val="0"/>
        <w:spacing w:before="0" w:after="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pPr>
            <w:r>
              <w:rPr/>
              <w:t>our business, expansion plans and opportunities.</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events or results may differ from those expressed in forward-looking statements.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shd w:fill="FFFFFF" w:val="clear"/>
        <w:bidi w:val="0"/>
        <w:spacing w:before="0" w:after="0"/>
        <w:ind w:left="0" w:right="0" w:firstLine="715"/>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hd w:fill="FFFFFF" w:val="clear"/>
        <w:bidi w:val="0"/>
        <w:spacing w:before="0" w:after="0"/>
        <w:ind w:left="0" w:right="0" w:firstLine="715"/>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shd w:fill="FFFFFF" w:val="clear"/>
        <w:bidi w:val="0"/>
        <w:spacing w:before="0" w:after="0"/>
        <w:ind w:left="0" w:right="0" w:firstLine="715"/>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Kalai_007"/>
      <w:bookmarkEnd w:id="3"/>
      <w:r>
        <w:rPr>
          <w:rFonts w:ascii="Times New Roman;Times;Serif" w:hAnsi="Times New Roman;Times;Serif"/>
          <w:b/>
          <w:i w:val="false"/>
          <w:caps w:val="false"/>
          <w:smallCaps w:val="false"/>
          <w:sz w:val="20"/>
        </w:rPr>
        <w:t>SUMMARY RISK FACTORS</w:t>
      </w:r>
    </w:p>
    <w:p>
      <w:pPr>
        <w:pStyle w:val="TextBody"/>
        <w:bidi w:val="0"/>
        <w:spacing w:before="0" w:after="0"/>
        <w:ind w:left="112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management has identified conditions that raise substantial doubt about our ability to continue as a going concern.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Our business currently depends in part on the availability of rebates, tax credits and other financial incentives. The expiration, elimination or reduction of these rebates, credits or incentives or the ability to monetize them could adversely impact the business.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Existing regulations and policies and changes to these regulations and policies may present technical, regulatory, and economic barriers to the purchase and use of solar power products, which may significantly reduce demand for our products and services.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Risks associated with a highly complex global supply chain, including from disruptions, delays, trade tensions, or shortages.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We rely on net metering and related policies to offer competitive pricing to customers in many of our current markets and changes to net metering policies may significantly reduce demand for electricity from residential solar energy systems.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We utilize a limited number of suppliers of solar panels and other system components to adequately meet anticipated demand for its solar service offerings. Any shortage, delay or component price change from these suppliers or delays and price increases associated with the product transport logistics could result in sales and installation delays, cancellations and loss of market share.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We utilize third-party sales and installation partners whose performance could result in sales and installation delays, cancellations, and loss of market share.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We may be unable to generate sufficient cash flows or obtain access to external financing necessary to fund operations and make adequate capital investments as planned due to the general economic environment and any market pressure that would drive down the average selling prices of solar power products, among other factors.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Our business substantially focuses on solar service agreements and transactions with residential customers.</w:t>
            </w:r>
          </w:p>
        </w:tc>
      </w:tr>
    </w:tbl>
    <w:p>
      <w:pPr>
        <w:pStyle w:val="TextBody"/>
        <w:bidi w:val="0"/>
        <w:spacing w:before="0" w:after="0"/>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570" w:type="dxa"/>
            <w:tcBorders/>
            <w:vAlign w:val="center"/>
          </w:tcPr>
          <w:p>
            <w:pPr>
              <w:pStyle w:val="TableContents"/>
              <w:bidi w:val="0"/>
              <w:spacing w:before="0" w:after="283"/>
              <w:jc w:val="both"/>
              <w:rPr/>
            </w:pPr>
            <w:r>
              <w:rPr/>
              <w:t>We have incurred losses and may be unable to achieve or sustain profitability in the future.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Our business is concentrated in certain markets including California, putting us at risk of region- specific disruptions.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We depend on a limited number of customers and sales contracts for a significant portion of revenues, and the loss of any customer or cancellation of any contract may cause significant fluctuations or declines in revenues.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We have identified a material weakness in our internal controls over financial reporting. If we are unable to maintain effective internal controls over financial reporting and disclosure controls and procedures, the accuracy and timeliness of its financial and operating reporting may be adversely affected, and confidence in its operations and disclosures may be lost.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a_001"/>
      <w:bookmarkEnd w:id="4"/>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3350" w:hanging="0"/>
        <w:jc w:val="left"/>
        <w:rPr>
          <w:rFonts w:ascii="Times New Roman;Times;Serif" w:hAnsi="Times New Roman;Times;Serif"/>
          <w:b/>
          <w:i w:val="false"/>
          <w:caps/>
          <w:sz w:val="20"/>
        </w:rPr>
      </w:pPr>
      <w:bookmarkStart w:id="5" w:name="a_002"/>
      <w:bookmarkEnd w:id="5"/>
      <w:r>
        <w:rPr>
          <w:rFonts w:ascii="Times New Roman;Times;Serif" w:hAnsi="Times New Roman;Times;Serif"/>
          <w:b/>
          <w:i w:val="false"/>
          <w:caps/>
          <w:sz w:val="20"/>
        </w:rPr>
        <w:t>Item 1. Financial Statements</w:t>
      </w:r>
    </w:p>
    <w:p>
      <w:pPr>
        <w:pStyle w:val="TextBody"/>
        <w:bidi w:val="0"/>
        <w:spacing w:before="0" w:after="0"/>
        <w:ind w:left="3150" w:right="335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3"/>
      <w:bookmarkEnd w:id="6"/>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6"/>
        <w:gridCol w:w="60"/>
        <w:gridCol w:w="149"/>
        <w:gridCol w:w="936"/>
        <w:gridCol w:w="95"/>
        <w:gridCol w:w="60"/>
        <w:gridCol w:w="210"/>
        <w:gridCol w:w="1205"/>
        <w:gridCol w:w="84"/>
      </w:tblGrid>
      <w:tr>
        <w:trPr/>
        <w:tc>
          <w:tcPr>
            <w:tcW w:w="7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84" w:type="dxa"/>
            <w:tcBorders/>
            <w:vAlign w:val="center"/>
          </w:tcPr>
          <w:p>
            <w:pPr>
              <w:pStyle w:val="TableContents"/>
              <w:bidi w:val="0"/>
              <w:spacing w:before="0" w:after="283"/>
              <w:jc w:val="left"/>
              <w:rPr/>
            </w:pPr>
            <w:r>
              <w:rPr/>
              <w:t> </w:t>
            </w:r>
          </w:p>
        </w:tc>
      </w:tr>
      <w:tr>
        <w:trPr/>
        <w:tc>
          <w:tcPr>
            <w:tcW w:w="7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84" w:type="dxa"/>
            <w:tcBorders/>
            <w:vAlign w:val="center"/>
          </w:tcPr>
          <w:p>
            <w:pPr>
              <w:pStyle w:val="TableContents"/>
              <w:bidi w:val="0"/>
              <w:spacing w:before="0" w:after="283"/>
              <w:jc w:val="left"/>
              <w:rPr/>
            </w:pPr>
            <w:r>
              <w:rPr/>
              <w:t> </w:t>
            </w:r>
          </w:p>
        </w:tc>
      </w:tr>
      <w:tr>
        <w:trPr/>
        <w:tc>
          <w:tcPr>
            <w:tcW w:w="740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08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gridSpan w:val="2"/>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40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1,661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4,409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Accounts receivable, net of allowance for credit losses of $10,425 and $5,396 as of October 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26,003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27,717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13,059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FFFFFF" w:val="clear"/>
            <w:tcMar>
              <w:bottom w:w="28" w:type="dxa"/>
            </w:tcMar>
            <w:vAlign w:val="center"/>
          </w:tcPr>
          <w:p>
            <w:pPr>
              <w:pStyle w:val="TableContents"/>
              <w:bidi w:val="0"/>
              <w:spacing w:before="0" w:after="283"/>
              <w:jc w:val="right"/>
              <w:rPr/>
            </w:pPr>
            <w:r>
              <w:rPr/>
              <w:t>9,947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10,071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50,114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55,256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3,907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3,476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2,182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1,330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Long-term assets held for sale – discontinued operations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FFFFFF" w:val="clear"/>
            <w:tcMar>
              <w:bottom w:w="28" w:type="dxa"/>
            </w:tcMar>
            <w:vAlign w:val="center"/>
          </w:tcPr>
          <w:p>
            <w:pPr>
              <w:pStyle w:val="TableContents"/>
              <w:bidi w:val="0"/>
              <w:spacing w:before="0" w:after="283"/>
              <w:jc w:val="right"/>
              <w:rPr/>
            </w:pPr>
            <w:r>
              <w:rPr/>
              <w:t>12,299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162,032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10" w:space="0" w:color="000000"/>
            </w:tcBorders>
            <w:shd w:fill="CCEEFF" w:val="clear"/>
            <w:tcMar>
              <w:bottom w:w="28" w:type="dxa"/>
            </w:tcMar>
            <w:vAlign w:val="center"/>
          </w:tcPr>
          <w:p>
            <w:pPr>
              <w:pStyle w:val="TableContents"/>
              <w:bidi w:val="0"/>
              <w:spacing w:before="0" w:after="283"/>
              <w:jc w:val="right"/>
              <w:rPr/>
            </w:pPr>
            <w:r>
              <w:rPr/>
              <w:t>72,019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228,183</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b/>
              </w:rPr>
            </w:pPr>
            <w:r>
              <w:rPr>
                <w:b/>
              </w:rPr>
              <w:t>Liabilities and stockholders’ (deficit)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14,571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14,474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26,674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19,830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net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20,403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Deferred revenue, current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5,407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Short-term debt with CS Solis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29,194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Forward purchase agreement liabilities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center"/>
          </w:tcPr>
          <w:p>
            <w:pPr>
              <w:pStyle w:val="TableContents"/>
              <w:bidi w:val="0"/>
              <w:spacing w:before="0" w:after="283"/>
              <w:jc w:val="right"/>
              <w:rPr/>
            </w:pPr>
            <w:r>
              <w:rPr/>
              <w:t>6,586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107,380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60,114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3,416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3,214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10,240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14,152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Long-term debt with CS Solis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25,204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Convertible notes, net, noncurrent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3,434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Convertible notes due to related parties, noncurrent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15,510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Deferred revenue, noncurrent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center"/>
          </w:tcPr>
          <w:p>
            <w:pPr>
              <w:pStyle w:val="TableContents"/>
              <w:bidi w:val="0"/>
              <w:spacing w:before="0" w:after="283"/>
              <w:jc w:val="right"/>
              <w:rPr/>
            </w:pPr>
            <w:r>
              <w:rPr/>
              <w:t>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1,274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FFFFFF" w:val="clear"/>
            <w:tcMar>
              <w:bottom w:w="28" w:type="dxa"/>
            </w:tcMar>
            <w:vAlign w:val="center"/>
          </w:tcPr>
          <w:p>
            <w:pPr>
              <w:pStyle w:val="TableContents"/>
              <w:bidi w:val="0"/>
              <w:spacing w:before="0" w:after="283"/>
              <w:jc w:val="right"/>
              <w:rPr/>
            </w:pPr>
            <w:r>
              <w:rPr/>
              <w:t>122,802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122,902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Commitments and contingencies (Note 19)</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Stockholders’ (deficit)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0"/>
              <w:jc w:val="left"/>
              <w:rPr/>
            </w:pPr>
            <w:r>
              <w:rPr/>
              <w:t>Common stock, $0.0001 par value. 1,000,000,000 shares and 60,000,000 shares authorized at October 1, 2023 and December 31, 2022, respectively; 45,312,243 shares and 19,932,429 shares issued and outstanding at October 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276,438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190,624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FFFFFF" w:val="clear"/>
            <w:tcMar>
              <w:bottom w:w="28" w:type="dxa"/>
            </w:tcMar>
            <w:vAlign w:val="center"/>
          </w:tcPr>
          <w:p>
            <w:pPr>
              <w:pStyle w:val="TableContents"/>
              <w:bidi w:val="0"/>
              <w:spacing w:before="0" w:after="283"/>
              <w:jc w:val="right"/>
              <w:rPr/>
            </w:pPr>
            <w:r>
              <w:rPr/>
              <w:t>(327,279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(85,373</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7406" w:type="dxa"/>
            <w:tcBorders/>
            <w:shd w:fill="CCEEFF" w:val="clear"/>
            <w:vAlign w:val="center"/>
          </w:tcPr>
          <w:p>
            <w:pPr>
              <w:pStyle w:val="TableContents"/>
              <w:bidi w:val="0"/>
              <w:spacing w:before="0" w:after="283"/>
              <w:jc w:val="left"/>
              <w:rPr/>
            </w:pPr>
            <w:r>
              <w:rPr/>
              <w:t>Total stockholders’ (deficit) equity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center"/>
          </w:tcPr>
          <w:p>
            <w:pPr>
              <w:pStyle w:val="TableContents"/>
              <w:bidi w:val="0"/>
              <w:spacing w:before="0" w:after="283"/>
              <w:jc w:val="right"/>
              <w:rPr/>
            </w:pPr>
            <w:r>
              <w:rPr/>
              <w:t>(50,783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105,281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6" w:type="dxa"/>
            <w:tcBorders>
              <w:bottom w:val="double" w:sz="10" w:space="0" w:color="000000"/>
            </w:tcBorders>
            <w:shd w:fill="FFFFFF" w:val="clear"/>
            <w:tcMar>
              <w:bottom w:w="28" w:type="dxa"/>
            </w:tcMar>
            <w:vAlign w:val="center"/>
          </w:tcPr>
          <w:p>
            <w:pPr>
              <w:pStyle w:val="TableContents"/>
              <w:bidi w:val="0"/>
              <w:spacing w:before="0" w:after="283"/>
              <w:jc w:val="right"/>
              <w:rPr/>
            </w:pPr>
            <w:r>
              <w:rPr/>
              <w:t>72,019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228,183</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osition w:val="8"/>
                <w:sz w:val="19"/>
              </w:rPr>
            </w:pPr>
            <w:r>
              <w:rPr>
                <w:position w:val="8"/>
                <w:sz w:val="19"/>
              </w:rPr>
              <w:t>(1)</w:t>
            </w:r>
          </w:p>
        </w:tc>
        <w:tc>
          <w:tcPr>
            <w:tcW w:w="9927" w:type="dxa"/>
            <w:tcBorders/>
            <w:vAlign w:val="center"/>
          </w:tcPr>
          <w:p>
            <w:pPr>
              <w:pStyle w:val="TableContents"/>
              <w:bidi w:val="0"/>
              <w:spacing w:before="0" w:after="283"/>
              <w:jc w:val="both"/>
              <w:rPr/>
            </w:pPr>
            <w:r>
              <w:rPr/>
              <w:t>Includes $0.5 million and zero due to related parties as of October 1, 2023 and December 31, 2022, respectively.</w:t>
            </w:r>
          </w:p>
        </w:tc>
      </w:tr>
    </w:tbl>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osition w:val="8"/>
                <w:sz w:val="19"/>
              </w:rPr>
            </w:pPr>
            <w:r>
              <w:rPr>
                <w:position w:val="8"/>
                <w:sz w:val="19"/>
              </w:rPr>
              <w:t>(2)</w:t>
            </w:r>
          </w:p>
        </w:tc>
        <w:tc>
          <w:tcPr>
            <w:tcW w:w="9933" w:type="dxa"/>
            <w:tcBorders/>
            <w:vAlign w:val="center"/>
          </w:tcPr>
          <w:p>
            <w:pPr>
              <w:pStyle w:val="TableContents"/>
              <w:bidi w:val="0"/>
              <w:spacing w:before="0" w:after="283"/>
              <w:jc w:val="both"/>
              <w:rPr/>
            </w:pPr>
            <w:r>
              <w:rPr/>
              <w:t>Includes $5.6 million and zero of liabilities due to related parties as of October 1, 2023 and December 31, 2022, respectively.</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4"/>
      <w:bookmarkEnd w:id="7"/>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2"/>
        <w:gridCol w:w="60"/>
        <w:gridCol w:w="210"/>
        <w:gridCol w:w="1430"/>
        <w:gridCol w:w="95"/>
        <w:gridCol w:w="60"/>
        <w:gridCol w:w="166"/>
        <w:gridCol w:w="1309"/>
        <w:gridCol w:w="95"/>
        <w:gridCol w:w="60"/>
        <w:gridCol w:w="158"/>
        <w:gridCol w:w="1077"/>
        <w:gridCol w:w="95"/>
        <w:gridCol w:w="60"/>
        <w:gridCol w:w="166"/>
        <w:gridCol w:w="1309"/>
        <w:gridCol w:w="83"/>
      </w:tblGrid>
      <w:tr>
        <w:trPr/>
        <w:tc>
          <w:tcPr>
            <w:tcW w:w="3772"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640" w:type="dxa"/>
            <w:gridSpan w:val="2"/>
            <w:tcBorders/>
            <w:vAlign w:val="center"/>
          </w:tcPr>
          <w:p>
            <w:pPr>
              <w:pStyle w:val="TableContents"/>
              <w:bidi w:val="0"/>
              <w:spacing w:before="0" w:after="283"/>
              <w:jc w:val="center"/>
              <w:rPr>
                <w:b/>
              </w:rPr>
            </w:pPr>
            <w:r>
              <w:rPr>
                <w:b/>
              </w:rPr>
              <w:t>Thirteen Weeks</w:t>
              <w:br/>
              <w:t>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rPr>
            </w:pPr>
            <w:r>
              <w:rPr>
                <w:b/>
              </w:rPr>
              <w:t>Thirty-Nine</w:t>
              <w:br/>
              <w:t>Weeks</w:t>
              <w:br/>
              <w:t>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w:t>
              <w:br/>
              <w:t>Ended</w:t>
            </w:r>
          </w:p>
        </w:tc>
        <w:tc>
          <w:tcPr>
            <w:tcW w:w="83" w:type="dxa"/>
            <w:tcBorders/>
            <w:vAlign w:val="center"/>
          </w:tcPr>
          <w:p>
            <w:pPr>
              <w:pStyle w:val="TableContents"/>
              <w:bidi w:val="0"/>
              <w:spacing w:before="0" w:after="283"/>
              <w:ind w:left="0" w:right="0" w:hanging="180"/>
              <w:jc w:val="center"/>
              <w:rPr/>
            </w:pPr>
            <w:r>
              <w:rPr/>
              <w:t> </w:t>
            </w:r>
          </w:p>
        </w:tc>
      </w:tr>
      <w:tr>
        <w:trPr/>
        <w:tc>
          <w:tcPr>
            <w:tcW w:w="37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83" w:type="dxa"/>
            <w:tcBorders/>
            <w:vAlign w:val="center"/>
          </w:tcPr>
          <w:p>
            <w:pPr>
              <w:pStyle w:val="TableContents"/>
              <w:bidi w:val="0"/>
              <w:spacing w:before="0" w:after="283"/>
              <w:ind w:left="0" w:right="0" w:hanging="180"/>
              <w:jc w:val="center"/>
              <w:rPr/>
            </w:pPr>
            <w:r>
              <w:rPr/>
              <w:t> </w:t>
            </w:r>
          </w:p>
        </w:tc>
      </w:tr>
      <w:tr>
        <w:trPr/>
        <w:tc>
          <w:tcPr>
            <w:tcW w:w="3772"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24,590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12,260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66,887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48,974</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772"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FFFFFF" w:val="clear"/>
            <w:tcMar>
              <w:bottom w:w="28" w:type="dxa"/>
            </w:tcMar>
            <w:vAlign w:val="center"/>
          </w:tcPr>
          <w:p>
            <w:pPr>
              <w:pStyle w:val="TableContents"/>
              <w:bidi w:val="0"/>
              <w:spacing w:before="0" w:after="283"/>
              <w:jc w:val="right"/>
              <w:rPr/>
            </w:pPr>
            <w:r>
              <w:rPr/>
              <w:t>18,354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pPr>
            <w:r>
              <w:rPr/>
              <w:t>8,266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51,788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pPr>
            <w:r>
              <w:rPr/>
              <w:t>33,792</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772"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6,236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15,099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15,182</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772"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772"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3,572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23,221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15,694</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772"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1,604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5,216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4,607</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772"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6,345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2,027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22,965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6,194</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772"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FFFFFF" w:val="clear"/>
            <w:tcMar>
              <w:bottom w:w="28" w:type="dxa"/>
            </w:tcMar>
            <w:vAlign w:val="center"/>
          </w:tcPr>
          <w:p>
            <w:pPr>
              <w:pStyle w:val="TableContents"/>
              <w:bidi w:val="0"/>
              <w:spacing w:before="0" w:after="283"/>
              <w:jc w:val="right"/>
              <w:rPr/>
            </w:pPr>
            <w:r>
              <w:rPr/>
              <w:t>17,314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pPr>
            <w:r>
              <w:rPr/>
              <w:t>7,203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51,402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pPr>
            <w:r>
              <w:rPr/>
              <w:t>26,495</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772"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(11,078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(36,303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(11,313</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37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(1,902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(941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(8,870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(2,672</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3772"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0"/>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7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 net</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FFFFFF" w:val="clear"/>
            <w:tcMar>
              <w:bottom w:w="28" w:type="dxa"/>
            </w:tcMar>
            <w:vAlign w:val="center"/>
          </w:tcPr>
          <w:p>
            <w:pPr>
              <w:pStyle w:val="TableContents"/>
              <w:bidi w:val="0"/>
              <w:spacing w:before="0" w:after="283"/>
              <w:jc w:val="right"/>
              <w:rPr/>
            </w:pPr>
            <w:r>
              <w:rPr/>
              <w:t>(38,003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(28,302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pPr>
            <w:r>
              <w:rPr/>
              <w:t>3,180</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772"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(50,974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(73,449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(10,805</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3772" w:type="dxa"/>
            <w:tcBorders/>
            <w:shd w:fill="FFFFFF" w:val="clear"/>
            <w:vAlign w:val="center"/>
          </w:tcPr>
          <w:p>
            <w:pPr>
              <w:pStyle w:val="TableContents"/>
              <w:bidi w:val="0"/>
              <w:spacing w:before="0" w:after="283"/>
              <w:jc w:val="left"/>
              <w:rPr/>
            </w:pPr>
            <w:r>
              <w:rPr/>
              <w:t>Income tax benefit (provision)</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3772"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(50,973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(73,448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(10,809</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3772" w:type="dxa"/>
            <w:tcBorders/>
            <w:shd w:fill="FFFFFF" w:val="clear"/>
            <w:vAlign w:val="center"/>
          </w:tcPr>
          <w:p>
            <w:pPr>
              <w:pStyle w:val="TableContents"/>
              <w:bidi w:val="0"/>
              <w:spacing w:before="0" w:after="283"/>
              <w:jc w:val="left"/>
              <w:rPr/>
            </w:pPr>
            <w:r>
              <w:rPr/>
              <w:t>Discontinued operations (Note 8):</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772" w:type="dxa"/>
            <w:tcBorders/>
            <w:shd w:fill="CCEEFF" w:val="clear"/>
            <w:vAlign w:val="center"/>
          </w:tcPr>
          <w:p>
            <w:pPr>
              <w:pStyle w:val="TableContents"/>
              <w:bidi w:val="0"/>
              <w:spacing w:before="0" w:after="283"/>
              <w:jc w:val="left"/>
              <w:rPr/>
            </w:pPr>
            <w:r>
              <w:rPr/>
              <w:t>Loss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(8,404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(20,953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0"/>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772" w:type="dxa"/>
            <w:tcBorders/>
            <w:shd w:fill="FFFFFF" w:val="clear"/>
            <w:vAlign w:val="center"/>
          </w:tcPr>
          <w:p>
            <w:pPr>
              <w:pStyle w:val="TableContents"/>
              <w:bidi w:val="0"/>
              <w:spacing w:before="0" w:after="283"/>
              <w:jc w:val="left"/>
              <w:rPr/>
            </w:pPr>
            <w:r>
              <w:rPr/>
              <w:t>Impairment loss from discontinued operations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FFFFFF" w:val="clear"/>
            <w:tcMar>
              <w:bottom w:w="28" w:type="dxa"/>
            </w:tcMar>
            <w:vAlign w:val="center"/>
          </w:tcPr>
          <w:p>
            <w:pPr>
              <w:pStyle w:val="TableContents"/>
              <w:bidi w:val="0"/>
              <w:spacing w:before="0" w:after="283"/>
              <w:jc w:val="right"/>
              <w:rPr/>
            </w:pPr>
            <w:r>
              <w:rPr/>
              <w:t>(147,505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(147,505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772" w:type="dxa"/>
            <w:tcBorders/>
            <w:shd w:fill="CCEEFF" w:val="clear"/>
            <w:vAlign w:val="center"/>
          </w:tcPr>
          <w:p>
            <w:pPr>
              <w:pStyle w:val="TableContents"/>
              <w:bidi w:val="0"/>
              <w:spacing w:before="0" w:after="283"/>
              <w:jc w:val="left"/>
              <w:rPr/>
            </w:pPr>
            <w:r>
              <w:rPr/>
              <w:t>Net loss from discontinued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(155,909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(168,458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77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FFFFFF" w:val="clear"/>
            <w:tcMar>
              <w:bottom w:w="28" w:type="dxa"/>
            </w:tcMar>
            <w:vAlign w:val="center"/>
          </w:tcPr>
          <w:p>
            <w:pPr>
              <w:pStyle w:val="TableContents"/>
              <w:bidi w:val="0"/>
              <w:spacing w:before="0" w:after="283"/>
              <w:jc w:val="right"/>
              <w:rPr/>
            </w:pPr>
            <w:r>
              <w:rPr/>
              <w:t>(206,882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(4,146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shd w:fill="FFFFFF" w:val="clear"/>
            <w:tcMar>
              <w:bottom w:w="28" w:type="dxa"/>
            </w:tcMar>
            <w:vAlign w:val="center"/>
          </w:tcPr>
          <w:p>
            <w:pPr>
              <w:pStyle w:val="TableContents"/>
              <w:bidi w:val="0"/>
              <w:spacing w:before="0" w:after="283"/>
              <w:jc w:val="right"/>
              <w:rPr/>
            </w:pPr>
            <w:r>
              <w:rPr/>
              <w:t>(241,906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(10,809</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3772" w:type="dxa"/>
            <w:tcBorders/>
            <w:shd w:fill="CCEEFF" w:val="clear"/>
            <w:vAlign w:val="center"/>
          </w:tcPr>
          <w:p>
            <w:pPr>
              <w:pStyle w:val="TableContents"/>
              <w:bidi w:val="0"/>
              <w:spacing w:before="0" w:after="283"/>
              <w:jc w:val="left"/>
              <w:rPr/>
            </w:pPr>
            <w:r>
              <w:rPr/>
              <w:t>Comprehensive income (loss):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772"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772" w:type="dxa"/>
            <w:tcBorders/>
            <w:shd w:fill="CCEEFF" w:val="clear"/>
            <w:vAlign w:val="center"/>
          </w:tcPr>
          <w:p>
            <w:pPr>
              <w:pStyle w:val="TableContents"/>
              <w:bidi w:val="0"/>
              <w:spacing w:before="0" w:after="283"/>
              <w:jc w:val="left"/>
              <w:rPr/>
            </w:pPr>
            <w:r>
              <w:rPr/>
              <w:t>Comprehensive income (loss), net of tax</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(206,872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CCEEFF" w:val="clear"/>
            <w:tcMar>
              <w:bottom w:w="28" w:type="dxa"/>
            </w:tcMar>
            <w:vAlign w:val="center"/>
          </w:tcPr>
          <w:p>
            <w:pPr>
              <w:pStyle w:val="TableContents"/>
              <w:bidi w:val="0"/>
              <w:spacing w:before="0" w:after="283"/>
              <w:jc w:val="right"/>
              <w:rPr/>
            </w:pPr>
            <w:r>
              <w:rPr/>
              <w:t>(4,146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shd w:fill="CCEEFF" w:val="clear"/>
            <w:tcMar>
              <w:bottom w:w="28" w:type="dxa"/>
            </w:tcMar>
            <w:vAlign w:val="center"/>
          </w:tcPr>
          <w:p>
            <w:pPr>
              <w:pStyle w:val="TableContents"/>
              <w:bidi w:val="0"/>
              <w:spacing w:before="0" w:after="283"/>
              <w:jc w:val="right"/>
              <w:rPr/>
            </w:pPr>
            <w:r>
              <w:rPr/>
              <w:t>(241,882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CCEEFF" w:val="clear"/>
            <w:tcMar>
              <w:bottom w:w="28" w:type="dxa"/>
            </w:tcMar>
            <w:vAlign w:val="center"/>
          </w:tcPr>
          <w:p>
            <w:pPr>
              <w:pStyle w:val="TableContents"/>
              <w:bidi w:val="0"/>
              <w:spacing w:before="0" w:after="283"/>
              <w:jc w:val="right"/>
              <w:rPr/>
            </w:pPr>
            <w:r>
              <w:rPr/>
              <w:t>(10,809</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37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772" w:type="dxa"/>
            <w:tcBorders/>
            <w:shd w:fill="CCEEFF" w:val="clear"/>
            <w:vAlign w:val="center"/>
          </w:tcPr>
          <w:p>
            <w:pPr>
              <w:pStyle w:val="TableContents"/>
              <w:bidi w:val="0"/>
              <w:spacing w:before="0" w:after="0"/>
              <w:jc w:val="left"/>
              <w:rPr/>
            </w:pPr>
            <w:r>
              <w:rPr/>
              <w:t>Net loss from continuing operations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CCEEFF" w:val="clear"/>
            <w:tcMar>
              <w:bottom w:w="28" w:type="dxa"/>
            </w:tcMar>
            <w:vAlign w:val="center"/>
          </w:tcPr>
          <w:p>
            <w:pPr>
              <w:pStyle w:val="TableContents"/>
              <w:bidi w:val="0"/>
              <w:spacing w:before="0" w:after="283"/>
              <w:jc w:val="right"/>
              <w:rPr/>
            </w:pPr>
            <w:r>
              <w:rPr/>
              <w:t>(0.31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shd w:fill="CCEEFF" w:val="clear"/>
            <w:tcMar>
              <w:bottom w:w="28" w:type="dxa"/>
            </w:tcMar>
            <w:vAlign w:val="center"/>
          </w:tcPr>
          <w:p>
            <w:pPr>
              <w:pStyle w:val="TableContents"/>
              <w:bidi w:val="0"/>
              <w:spacing w:before="0" w:after="283"/>
              <w:jc w:val="right"/>
              <w:rPr/>
            </w:pPr>
            <w:r>
              <w:rPr/>
              <w:t>(4.33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CCEEFF" w:val="clear"/>
            <w:tcMar>
              <w:bottom w:w="28" w:type="dxa"/>
            </w:tcMar>
            <w:vAlign w:val="center"/>
          </w:tcPr>
          <w:p>
            <w:pPr>
              <w:pStyle w:val="TableContents"/>
              <w:bidi w:val="0"/>
              <w:spacing w:before="0" w:after="283"/>
              <w:jc w:val="right"/>
              <w:rPr/>
            </w:pPr>
            <w:r>
              <w:rPr/>
              <w:t>(0.83</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3772" w:type="dxa"/>
            <w:tcBorders/>
            <w:shd w:fill="FFFFFF" w:val="clear"/>
            <w:vAlign w:val="center"/>
          </w:tcPr>
          <w:p>
            <w:pPr>
              <w:pStyle w:val="TableContents"/>
              <w:bidi w:val="0"/>
              <w:spacing w:before="0" w:after="0"/>
              <w:jc w:val="left"/>
              <w:rPr/>
            </w:pPr>
            <w:r>
              <w:rPr/>
              <w:t>Net loss from discontinued operations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FFFFFF" w:val="clear"/>
            <w:tcMar>
              <w:bottom w:w="28" w:type="dxa"/>
            </w:tcMar>
            <w:vAlign w:val="center"/>
          </w:tcPr>
          <w:p>
            <w:pPr>
              <w:pStyle w:val="TableContents"/>
              <w:bidi w:val="0"/>
              <w:spacing w:before="0" w:after="283"/>
              <w:jc w:val="right"/>
              <w:rPr/>
            </w:pPr>
            <w:r>
              <w:rPr/>
              <w:t>(3.92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shd w:fill="FFFFFF" w:val="clear"/>
            <w:tcMar>
              <w:bottom w:w="28" w:type="dxa"/>
            </w:tcMar>
            <w:vAlign w:val="center"/>
          </w:tcPr>
          <w:p>
            <w:pPr>
              <w:pStyle w:val="TableContents"/>
              <w:bidi w:val="0"/>
              <w:spacing w:before="0" w:after="283"/>
              <w:jc w:val="right"/>
              <w:rPr/>
            </w:pPr>
            <w:r>
              <w:rPr/>
              <w:t>(9.92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772" w:type="dxa"/>
            <w:tcBorders/>
            <w:shd w:fill="CCEEFF" w:val="clear"/>
            <w:vAlign w:val="center"/>
          </w:tcPr>
          <w:p>
            <w:pPr>
              <w:pStyle w:val="TableContents"/>
              <w:bidi w:val="0"/>
              <w:spacing w:before="0" w:after="0"/>
              <w:jc w:val="left"/>
              <w:rPr/>
            </w:pPr>
            <w:r>
              <w:rPr/>
              <w:t>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(5.20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CCEEFF" w:val="clear"/>
            <w:tcMar>
              <w:bottom w:w="28" w:type="dxa"/>
            </w:tcMar>
            <w:vAlign w:val="center"/>
          </w:tcPr>
          <w:p>
            <w:pPr>
              <w:pStyle w:val="TableContents"/>
              <w:bidi w:val="0"/>
              <w:spacing w:before="0" w:after="283"/>
              <w:jc w:val="right"/>
              <w:rPr/>
            </w:pPr>
            <w:r>
              <w:rPr/>
              <w:t>(0.31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shd w:fill="CCEEFF" w:val="clear"/>
            <w:tcMar>
              <w:bottom w:w="28" w:type="dxa"/>
            </w:tcMar>
            <w:vAlign w:val="center"/>
          </w:tcPr>
          <w:p>
            <w:pPr>
              <w:pStyle w:val="TableContents"/>
              <w:bidi w:val="0"/>
              <w:spacing w:before="0" w:after="283"/>
              <w:jc w:val="right"/>
              <w:rPr/>
            </w:pPr>
            <w:r>
              <w:rPr/>
              <w:t>(14.25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CCEEFF" w:val="clear"/>
            <w:tcMar>
              <w:bottom w:w="28" w:type="dxa"/>
            </w:tcMar>
            <w:vAlign w:val="center"/>
          </w:tcPr>
          <w:p>
            <w:pPr>
              <w:pStyle w:val="TableContents"/>
              <w:bidi w:val="0"/>
              <w:spacing w:before="0" w:after="283"/>
              <w:jc w:val="right"/>
              <w:rPr/>
            </w:pPr>
            <w:r>
              <w:rPr/>
              <w:t>(0.83</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3772" w:type="dxa"/>
            <w:tcBorders/>
            <w:shd w:fill="FFFFFF" w:val="clear"/>
            <w:vAlign w:val="center"/>
          </w:tcPr>
          <w:p>
            <w:pPr>
              <w:pStyle w:val="TableContents"/>
              <w:bidi w:val="0"/>
              <w:spacing w:before="0" w:after="0"/>
              <w:jc w:val="left"/>
              <w:rPr/>
            </w:pPr>
            <w:r>
              <w:rPr/>
              <w:t>Weighted-average shares used to compute 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double" w:sz="10"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39,821,078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13,431,410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double" w:sz="10"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16,969,979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13,053,367</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interest expense to related parties of less than $0.1 million and $0.4 million during the thirteen and thirty-nine weeks ended October 1, 2023, respectively, and zero and $0.1 million during the three and nine months ended September 30, 2022, respectively.</w:t>
            </w:r>
          </w:p>
        </w:tc>
      </w:tr>
    </w:tbl>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income (expense), net includes other expense, net to related parties of $36.9 million for each of the thirteen and thirty-nine weeks ended October 1, 2023, and other income, net of zero and $1.4 million during the three and nine months ended September 30, 2022, respectively.</w:t>
            </w:r>
          </w:p>
        </w:tc>
      </w:tr>
    </w:tbl>
    <w:p>
      <w:pPr>
        <w:pStyle w:val="TextBody"/>
        <w:bidi w:val="0"/>
        <w:spacing w:before="0" w:after="0"/>
        <w:ind w:left="153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5"/>
      <w:bookmarkEnd w:id="8"/>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Stockholders’ Deficit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4676" w:right="4669"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3"/>
        <w:gridCol w:w="60"/>
        <w:gridCol w:w="60"/>
        <w:gridCol w:w="890"/>
        <w:gridCol w:w="80"/>
        <w:gridCol w:w="60"/>
        <w:gridCol w:w="110"/>
        <w:gridCol w:w="665"/>
        <w:gridCol w:w="80"/>
        <w:gridCol w:w="60"/>
        <w:gridCol w:w="60"/>
        <w:gridCol w:w="830"/>
        <w:gridCol w:w="60"/>
        <w:gridCol w:w="60"/>
        <w:gridCol w:w="179"/>
        <w:gridCol w:w="426"/>
        <w:gridCol w:w="80"/>
        <w:gridCol w:w="60"/>
        <w:gridCol w:w="120"/>
        <w:gridCol w:w="665"/>
        <w:gridCol w:w="80"/>
        <w:gridCol w:w="60"/>
        <w:gridCol w:w="136"/>
        <w:gridCol w:w="834"/>
        <w:gridCol w:w="80"/>
        <w:gridCol w:w="60"/>
        <w:gridCol w:w="335"/>
        <w:gridCol w:w="795"/>
        <w:gridCol w:w="60"/>
        <w:gridCol w:w="60"/>
        <w:gridCol w:w="143"/>
        <w:gridCol w:w="867"/>
        <w:gridCol w:w="97"/>
      </w:tblGrid>
      <w:tr>
        <w:trPr/>
        <w:tc>
          <w:tcPr>
            <w:tcW w:w="199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8055" w:type="dxa"/>
            <w:gridSpan w:val="30"/>
            <w:tcBorders>
              <w:bottom w:val="single" w:sz="12" w:space="0" w:color="000000"/>
            </w:tcBorders>
            <w:tcMar>
              <w:bottom w:w="28" w:type="dxa"/>
            </w:tcMar>
            <w:vAlign w:val="center"/>
          </w:tcPr>
          <w:p>
            <w:pPr>
              <w:pStyle w:val="TableContents"/>
              <w:bidi w:val="0"/>
              <w:spacing w:before="0" w:after="283"/>
              <w:jc w:val="center"/>
              <w:rPr>
                <w:b/>
                <w:sz w:val="16"/>
              </w:rPr>
            </w:pPr>
            <w:r>
              <w:rPr>
                <w:b/>
                <w:sz w:val="16"/>
              </w:rPr>
              <w:t>Thirteen Week Period Ended October 1, 2023</w:t>
            </w:r>
          </w:p>
        </w:tc>
        <w:tc>
          <w:tcPr>
            <w:tcW w:w="97" w:type="dxa"/>
            <w:tcBorders/>
            <w:vAlign w:val="center"/>
          </w:tcPr>
          <w:p>
            <w:pPr>
              <w:pStyle w:val="TableContents"/>
              <w:bidi w:val="0"/>
              <w:spacing w:before="0" w:after="283"/>
              <w:ind w:left="0" w:right="0" w:hanging="180"/>
              <w:jc w:val="center"/>
              <w:rPr/>
            </w:pPr>
            <w:r>
              <w:rPr/>
              <w:t> </w:t>
            </w:r>
          </w:p>
        </w:tc>
      </w:tr>
      <w:tr>
        <w:trPr/>
        <w:tc>
          <w:tcPr>
            <w:tcW w:w="19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6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Redeemable Convertible</w:t>
              <w:br/>
              <w:t>Preferred Stock</w:t>
            </w:r>
          </w:p>
        </w:tc>
        <w:tc>
          <w:tcPr>
            <w:tcW w:w="8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 xml:space="preserve">Paid-in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b/>
                <w:sz w:val="16"/>
              </w:rPr>
            </w:pPr>
            <w:r>
              <w:rPr>
                <w:b/>
                <w:sz w:val="16"/>
              </w:rPr>
              <w:t xml:space="preserve">Accumulated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w:t>
              <w:br/>
              <w:t xml:space="preserve">(Deficit) </w:t>
            </w:r>
          </w:p>
        </w:tc>
        <w:tc>
          <w:tcPr>
            <w:tcW w:w="97" w:type="dxa"/>
            <w:tcBorders/>
            <w:vAlign w:val="center"/>
          </w:tcPr>
          <w:p>
            <w:pPr>
              <w:pStyle w:val="TableContents"/>
              <w:bidi w:val="0"/>
              <w:spacing w:before="0" w:after="283"/>
              <w:ind w:left="0" w:right="0" w:hanging="180"/>
              <w:jc w:val="center"/>
              <w:rPr/>
            </w:pPr>
            <w:r>
              <w:rPr/>
              <w:t> </w:t>
            </w:r>
          </w:p>
        </w:tc>
      </w:tr>
      <w:tr>
        <w:trPr/>
        <w:tc>
          <w:tcPr>
            <w:tcW w:w="19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Equity</w:t>
            </w:r>
          </w:p>
        </w:tc>
        <w:tc>
          <w:tcPr>
            <w:tcW w:w="97" w:type="dxa"/>
            <w:tcBorders/>
            <w:vAlign w:val="center"/>
          </w:tcPr>
          <w:p>
            <w:pPr>
              <w:pStyle w:val="TableContents"/>
              <w:bidi w:val="0"/>
              <w:spacing w:before="0" w:after="283"/>
              <w:ind w:left="0" w:right="0" w:hanging="180"/>
              <w:jc w:val="center"/>
              <w:rPr/>
            </w:pPr>
            <w:r>
              <w:rPr/>
              <w:t> </w:t>
            </w:r>
          </w:p>
        </w:tc>
      </w:tr>
      <w:tr>
        <w:trPr/>
        <w:tc>
          <w:tcPr>
            <w:tcW w:w="1993" w:type="dxa"/>
            <w:tcBorders/>
            <w:shd w:fill="CCEEFF" w:val="clear"/>
            <w:vAlign w:val="center"/>
          </w:tcPr>
          <w:p>
            <w:pPr>
              <w:pStyle w:val="TableContents"/>
              <w:bidi w:val="0"/>
              <w:spacing w:before="0" w:after="283"/>
              <w:jc w:val="left"/>
              <w:rPr>
                <w:b/>
                <w:sz w:val="16"/>
              </w:rPr>
            </w:pPr>
            <w:r>
              <w:rPr>
                <w:b/>
                <w:sz w:val="16"/>
              </w:rPr>
              <w:t>Balance as of July 2, 2023, as previously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34,311,133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155,630</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7,089,948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37,096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16"/>
              </w:rPr>
            </w:pPr>
            <w:r>
              <w:rPr>
                <w:sz w:val="16"/>
              </w:rPr>
              <w:t>$</w:t>
            </w:r>
          </w:p>
        </w:tc>
        <w:tc>
          <w:tcPr>
            <w:tcW w:w="834" w:type="dxa"/>
            <w:tcBorders/>
            <w:shd w:fill="CCEEFF" w:val="clear"/>
            <w:vAlign w:val="center"/>
          </w:tcPr>
          <w:p>
            <w:pPr>
              <w:pStyle w:val="TableContents"/>
              <w:bidi w:val="0"/>
              <w:spacing w:before="0" w:after="283"/>
              <w:jc w:val="right"/>
              <w:rPr>
                <w:sz w:val="16"/>
              </w:rPr>
            </w:pPr>
            <w:r>
              <w:rPr>
                <w:sz w:val="16"/>
              </w:rPr>
              <w:t>(120,397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16"/>
              </w:rPr>
            </w:pPr>
            <w:r>
              <w:rPr>
                <w:sz w:val="16"/>
              </w:rPr>
              <w:t>$</w:t>
            </w:r>
          </w:p>
        </w:tc>
        <w:tc>
          <w:tcPr>
            <w:tcW w:w="795" w:type="dxa"/>
            <w:tcBorders/>
            <w:shd w:fill="CCEEFF" w:val="clear"/>
            <w:vAlign w:val="center"/>
          </w:tcPr>
          <w:p>
            <w:pPr>
              <w:pStyle w:val="TableContents"/>
              <w:bidi w:val="0"/>
              <w:spacing w:before="0" w:after="283"/>
              <w:jc w:val="right"/>
              <w:rPr>
                <w:sz w:val="16"/>
              </w:rPr>
            </w:pPr>
            <w:r>
              <w:rPr>
                <w:sz w:val="16"/>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16"/>
              </w:rPr>
            </w:pPr>
            <w:r>
              <w:rPr>
                <w:sz w:val="16"/>
              </w:rPr>
              <w:t>$</w:t>
            </w:r>
          </w:p>
        </w:tc>
        <w:tc>
          <w:tcPr>
            <w:tcW w:w="867" w:type="dxa"/>
            <w:tcBorders/>
            <w:shd w:fill="CCEEFF" w:val="clear"/>
            <w:vAlign w:val="center"/>
          </w:tcPr>
          <w:p>
            <w:pPr>
              <w:pStyle w:val="TableContents"/>
              <w:bidi w:val="0"/>
              <w:spacing w:before="0" w:after="283"/>
              <w:jc w:val="right"/>
              <w:rPr>
                <w:sz w:val="16"/>
              </w:rPr>
            </w:pPr>
            <w:r>
              <w:rPr>
                <w:sz w:val="16"/>
              </w:rPr>
              <w:t>(83,260</w:t>
            </w:r>
          </w:p>
        </w:tc>
        <w:tc>
          <w:tcPr>
            <w:tcW w:w="97"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93" w:type="dxa"/>
            <w:tcBorders/>
            <w:shd w:fill="FFFFFF" w:val="clear"/>
            <w:vAlign w:val="center"/>
          </w:tcPr>
          <w:p>
            <w:pPr>
              <w:pStyle w:val="TableContents"/>
              <w:bidi w:val="0"/>
              <w:spacing w:before="0" w:after="283"/>
              <w:jc w:val="left"/>
              <w:rPr>
                <w:sz w:val="16"/>
              </w:rPr>
            </w:pPr>
            <w:r>
              <w:rPr>
                <w:sz w:val="16"/>
              </w:rPr>
              <w:t>Retroactive application of recapitalization (Note 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(34,311,133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(155,630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12,909,773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155,627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155,630</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Balance as of July 2, 2023, as adjusted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19,999,721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sz w:val="16"/>
              </w:rPr>
            </w:pPr>
            <w:r>
              <w:rPr>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192,723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sz w:val="16"/>
              </w:rPr>
            </w:pPr>
            <w:r>
              <w:rPr>
                <w:sz w:val="16"/>
              </w:rPr>
              <w:t>(120,397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sz w:val="16"/>
              </w:rPr>
            </w:pPr>
            <w:r>
              <w:rPr>
                <w:sz w:val="16"/>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72,370</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16"/>
              </w:rPr>
            </w:pPr>
            <w:r>
              <w:rPr>
                <w:sz w:val="16"/>
              </w:rPr>
              <w:t>Conversion of 2022 Convertible Notes into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5,460,075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sz w:val="16"/>
              </w:rPr>
            </w:pPr>
            <w:r>
              <w:rPr>
                <w:sz w:val="16"/>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40,950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40,952</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Issuance of common stock upon the reverse capitalization,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13,458,293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sz w:val="16"/>
              </w:rPr>
            </w:pPr>
            <w:r>
              <w:rPr>
                <w:sz w:val="16"/>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5,220</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Reclassification of prepaid PIPE</w:t>
            </w:r>
            <w:r>
              <w:rPr>
                <w:rFonts w:ascii="Times New Roman;Times;Serif" w:hAnsi="Times New Roman;Times;Serif"/>
                <w:position w:val="5"/>
                <w:sz w:val="13"/>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3,500</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Reclassification of warrant liabilities to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4,697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4,697</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16"/>
              </w:rPr>
            </w:pPr>
            <w:r>
              <w:rPr>
                <w:sz w:val="16"/>
              </w:rPr>
              <w:t>Reclassification of Legacy Complete Solaria common stock into Complete Solaria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sz w:val="16"/>
              </w:rPr>
            </w:pPr>
            <w:r>
              <w:rPr>
                <w:sz w:val="16"/>
              </w:rPr>
              <w:t>(1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1</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in connection with forward purchase agreements</w:t>
            </w:r>
            <w:r>
              <w:rPr>
                <w:rFonts w:ascii="Times New Roman;Times;Serif" w:hAnsi="Times New Roman;Times;Serif"/>
                <w:position w:val="5"/>
                <w:sz w:val="13"/>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5,558,488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sz w:val="16"/>
              </w:rPr>
            </w:pPr>
            <w:r>
              <w:rPr>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35,489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35,490</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bonus shares in connection with Mergers</w:t>
            </w:r>
            <w:r>
              <w:rPr>
                <w:rFonts w:ascii="Times New Roman;Times;Serif" w:hAnsi="Times New Roman;Times;Serif"/>
                <w:position w:val="5"/>
                <w:sz w:val="13"/>
                <w:sz w:val="16"/>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463,976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2,394</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Residual Mergers proceeds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161</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16"/>
              </w:rPr>
            </w:pPr>
            <w:r>
              <w:rPr>
                <w:sz w:val="16"/>
              </w:rPr>
              <w:t>Modification of Carlyle warrant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(10,862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(10,862</w:t>
            </w:r>
          </w:p>
        </w:tc>
        <w:tc>
          <w:tcPr>
            <w:tcW w:w="97"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993" w:type="dxa"/>
            <w:tcBorders/>
            <w:shd w:fill="CCEEFF" w:val="clear"/>
            <w:vAlign w:val="center"/>
          </w:tcPr>
          <w:p>
            <w:pPr>
              <w:pStyle w:val="TableContents"/>
              <w:bidi w:val="0"/>
              <w:spacing w:before="0" w:after="283"/>
              <w:jc w:val="left"/>
              <w:rPr>
                <w:sz w:val="16"/>
              </w:rPr>
            </w:pPr>
            <w:r>
              <w:rPr>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2,114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2,114</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16"/>
              </w:rPr>
            </w:pPr>
            <w:r>
              <w:rPr>
                <w:sz w:val="16"/>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21,690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52</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sz w:val="16"/>
              </w:rPr>
            </w:pPr>
            <w:r>
              <w:rPr>
                <w:sz w:val="16"/>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10</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(206,882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(206,882</w:t>
            </w:r>
          </w:p>
        </w:tc>
        <w:tc>
          <w:tcPr>
            <w:tcW w:w="97"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993" w:type="dxa"/>
            <w:tcBorders/>
            <w:shd w:fill="CCEEFF" w:val="clear"/>
            <w:vAlign w:val="center"/>
          </w:tcPr>
          <w:p>
            <w:pPr>
              <w:pStyle w:val="TableContents"/>
              <w:bidi w:val="0"/>
              <w:spacing w:before="0" w:after="283"/>
              <w:jc w:val="left"/>
              <w:rPr>
                <w:b/>
                <w:sz w:val="16"/>
              </w:rPr>
            </w:pPr>
            <w:r>
              <w:rPr>
                <w:b/>
                <w:sz w:val="16"/>
              </w:rPr>
              <w:t>Balance as of October 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45,312,243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26"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276,438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4"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(327,279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9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7"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(50,783</w:t>
            </w:r>
          </w:p>
        </w:tc>
        <w:tc>
          <w:tcPr>
            <w:tcW w:w="97"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ind w:left="4676" w:right="4669"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4676" w:right="4669"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3"/>
        <w:gridCol w:w="60"/>
        <w:gridCol w:w="60"/>
        <w:gridCol w:w="890"/>
        <w:gridCol w:w="80"/>
        <w:gridCol w:w="60"/>
        <w:gridCol w:w="110"/>
        <w:gridCol w:w="665"/>
        <w:gridCol w:w="80"/>
        <w:gridCol w:w="60"/>
        <w:gridCol w:w="60"/>
        <w:gridCol w:w="830"/>
        <w:gridCol w:w="60"/>
        <w:gridCol w:w="60"/>
        <w:gridCol w:w="179"/>
        <w:gridCol w:w="426"/>
        <w:gridCol w:w="80"/>
        <w:gridCol w:w="60"/>
        <w:gridCol w:w="120"/>
        <w:gridCol w:w="665"/>
        <w:gridCol w:w="80"/>
        <w:gridCol w:w="60"/>
        <w:gridCol w:w="136"/>
        <w:gridCol w:w="834"/>
        <w:gridCol w:w="80"/>
        <w:gridCol w:w="60"/>
        <w:gridCol w:w="335"/>
        <w:gridCol w:w="795"/>
        <w:gridCol w:w="60"/>
        <w:gridCol w:w="60"/>
        <w:gridCol w:w="143"/>
        <w:gridCol w:w="867"/>
        <w:gridCol w:w="97"/>
      </w:tblGrid>
      <w:tr>
        <w:trPr/>
        <w:tc>
          <w:tcPr>
            <w:tcW w:w="199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8055" w:type="dxa"/>
            <w:gridSpan w:val="30"/>
            <w:tcBorders>
              <w:bottom w:val="single" w:sz="12" w:space="0" w:color="000000"/>
            </w:tcBorders>
            <w:tcMar>
              <w:bottom w:w="28" w:type="dxa"/>
            </w:tcMar>
            <w:vAlign w:val="center"/>
          </w:tcPr>
          <w:p>
            <w:pPr>
              <w:pStyle w:val="TableContents"/>
              <w:bidi w:val="0"/>
              <w:spacing w:before="0" w:after="283"/>
              <w:jc w:val="center"/>
              <w:rPr>
                <w:b/>
                <w:sz w:val="16"/>
              </w:rPr>
            </w:pPr>
            <w:r>
              <w:rPr>
                <w:b/>
                <w:sz w:val="16"/>
              </w:rPr>
              <w:t>Thirty-Nine Week Period Ended October 1, 2023</w:t>
            </w:r>
          </w:p>
        </w:tc>
        <w:tc>
          <w:tcPr>
            <w:tcW w:w="97" w:type="dxa"/>
            <w:tcBorders/>
            <w:vAlign w:val="center"/>
          </w:tcPr>
          <w:p>
            <w:pPr>
              <w:pStyle w:val="TableContents"/>
              <w:bidi w:val="0"/>
              <w:spacing w:before="0" w:after="283"/>
              <w:ind w:left="0" w:right="0" w:hanging="180"/>
              <w:jc w:val="center"/>
              <w:rPr/>
            </w:pPr>
            <w:r>
              <w:rPr/>
              <w:t> </w:t>
            </w:r>
          </w:p>
        </w:tc>
      </w:tr>
      <w:tr>
        <w:trPr/>
        <w:tc>
          <w:tcPr>
            <w:tcW w:w="19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6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Redeemable Convertible</w:t>
              <w:br/>
              <w:t>Preferred Stock</w:t>
            </w:r>
          </w:p>
        </w:tc>
        <w:tc>
          <w:tcPr>
            <w:tcW w:w="8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 xml:space="preserve">Paid-in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b/>
                <w:sz w:val="16"/>
              </w:rPr>
            </w:pPr>
            <w:r>
              <w:rPr>
                <w:b/>
                <w:sz w:val="16"/>
              </w:rPr>
              <w:t xml:space="preserve">Accumulated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w:t>
              <w:br/>
              <w:t xml:space="preserve">(Deficit) </w:t>
            </w:r>
          </w:p>
        </w:tc>
        <w:tc>
          <w:tcPr>
            <w:tcW w:w="97" w:type="dxa"/>
            <w:tcBorders/>
            <w:vAlign w:val="center"/>
          </w:tcPr>
          <w:p>
            <w:pPr>
              <w:pStyle w:val="TableContents"/>
              <w:bidi w:val="0"/>
              <w:spacing w:before="0" w:after="283"/>
              <w:ind w:left="0" w:right="0" w:hanging="180"/>
              <w:jc w:val="center"/>
              <w:rPr/>
            </w:pPr>
            <w:r>
              <w:rPr/>
              <w:t> </w:t>
            </w:r>
          </w:p>
        </w:tc>
      </w:tr>
      <w:tr>
        <w:trPr/>
        <w:tc>
          <w:tcPr>
            <w:tcW w:w="19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Equity</w:t>
            </w:r>
          </w:p>
        </w:tc>
        <w:tc>
          <w:tcPr>
            <w:tcW w:w="97" w:type="dxa"/>
            <w:tcBorders/>
            <w:vAlign w:val="center"/>
          </w:tcPr>
          <w:p>
            <w:pPr>
              <w:pStyle w:val="TableContents"/>
              <w:bidi w:val="0"/>
              <w:spacing w:before="0" w:after="283"/>
              <w:ind w:left="0" w:right="0" w:hanging="180"/>
              <w:jc w:val="center"/>
              <w:rPr/>
            </w:pPr>
            <w:r>
              <w:rPr/>
              <w:t> </w:t>
            </w:r>
          </w:p>
        </w:tc>
      </w:tr>
      <w:tr>
        <w:trPr/>
        <w:tc>
          <w:tcPr>
            <w:tcW w:w="1993" w:type="dxa"/>
            <w:tcBorders/>
            <w:shd w:fill="CCEEFF" w:val="clear"/>
            <w:vAlign w:val="center"/>
          </w:tcPr>
          <w:p>
            <w:pPr>
              <w:pStyle w:val="TableContents"/>
              <w:bidi w:val="0"/>
              <w:spacing w:before="0" w:after="283"/>
              <w:jc w:val="left"/>
              <w:rPr>
                <w:b/>
                <w:sz w:val="16"/>
              </w:rPr>
            </w:pPr>
            <w:r>
              <w:rPr>
                <w:b/>
                <w:sz w:val="16"/>
              </w:rPr>
              <w:t>Balance as of December 31, 2022, as previously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34,311,133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155,630</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6,959,618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34,997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16"/>
              </w:rPr>
            </w:pPr>
            <w:r>
              <w:rPr>
                <w:sz w:val="16"/>
              </w:rPr>
              <w:t>$</w:t>
            </w:r>
          </w:p>
        </w:tc>
        <w:tc>
          <w:tcPr>
            <w:tcW w:w="834" w:type="dxa"/>
            <w:tcBorders/>
            <w:shd w:fill="CCEEFF" w:val="clear"/>
            <w:vAlign w:val="center"/>
          </w:tcPr>
          <w:p>
            <w:pPr>
              <w:pStyle w:val="TableContents"/>
              <w:bidi w:val="0"/>
              <w:spacing w:before="0" w:after="283"/>
              <w:jc w:val="right"/>
              <w:rPr>
                <w:sz w:val="16"/>
              </w:rPr>
            </w:pPr>
            <w:r>
              <w:rPr>
                <w:sz w:val="16"/>
              </w:rPr>
              <w:t>(85,373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16"/>
              </w:rPr>
            </w:pPr>
            <w:r>
              <w:rPr>
                <w:sz w:val="16"/>
              </w:rPr>
              <w:t>$</w:t>
            </w:r>
          </w:p>
        </w:tc>
        <w:tc>
          <w:tcPr>
            <w:tcW w:w="795" w:type="dxa"/>
            <w:tcBorders/>
            <w:shd w:fill="CCEEFF" w:val="clear"/>
            <w:vAlign w:val="center"/>
          </w:tcPr>
          <w:p>
            <w:pPr>
              <w:pStyle w:val="TableContents"/>
              <w:bidi w:val="0"/>
              <w:spacing w:before="0" w:after="283"/>
              <w:jc w:val="right"/>
              <w:rPr>
                <w:sz w:val="16"/>
              </w:rPr>
            </w:pPr>
            <w:r>
              <w:rPr>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16"/>
              </w:rPr>
            </w:pPr>
            <w:r>
              <w:rPr>
                <w:sz w:val="16"/>
              </w:rPr>
              <w:t>$</w:t>
            </w:r>
          </w:p>
        </w:tc>
        <w:tc>
          <w:tcPr>
            <w:tcW w:w="867" w:type="dxa"/>
            <w:tcBorders/>
            <w:shd w:fill="CCEEFF" w:val="clear"/>
            <w:vAlign w:val="center"/>
          </w:tcPr>
          <w:p>
            <w:pPr>
              <w:pStyle w:val="TableContents"/>
              <w:bidi w:val="0"/>
              <w:spacing w:before="0" w:after="283"/>
              <w:jc w:val="right"/>
              <w:rPr>
                <w:sz w:val="16"/>
              </w:rPr>
            </w:pPr>
            <w:r>
              <w:rPr>
                <w:sz w:val="16"/>
              </w:rPr>
              <w:t>(50,349</w:t>
            </w:r>
          </w:p>
        </w:tc>
        <w:tc>
          <w:tcPr>
            <w:tcW w:w="97"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93" w:type="dxa"/>
            <w:tcBorders/>
            <w:shd w:fill="FFFFFF" w:val="clear"/>
            <w:vAlign w:val="center"/>
          </w:tcPr>
          <w:p>
            <w:pPr>
              <w:pStyle w:val="TableContents"/>
              <w:bidi w:val="0"/>
              <w:spacing w:before="0" w:after="283"/>
              <w:jc w:val="left"/>
              <w:rPr>
                <w:sz w:val="16"/>
              </w:rPr>
            </w:pPr>
            <w:r>
              <w:rPr>
                <w:sz w:val="16"/>
              </w:rPr>
              <w:t>Retroactive application of recapitalization (Note 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(34,311,133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(155,630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12,972,811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155,627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155,630</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Balance as of December 31, 2022, as adjusted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19,932,429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sz w:val="16"/>
              </w:rPr>
            </w:pPr>
            <w:r>
              <w:rPr>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190,624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sz w:val="16"/>
              </w:rPr>
            </w:pPr>
            <w:r>
              <w:rPr>
                <w:sz w:val="16"/>
              </w:rPr>
              <w:t>(85,373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sz w:val="16"/>
              </w:rPr>
            </w:pPr>
            <w:r>
              <w:rPr>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105,281</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16"/>
              </w:rPr>
            </w:pPr>
            <w:r>
              <w:rPr>
                <w:sz w:val="16"/>
              </w:rPr>
              <w:t>Conversion of 2022 Convertible Notes into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5,460,075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sz w:val="16"/>
              </w:rPr>
            </w:pPr>
            <w:r>
              <w:rPr>
                <w:sz w:val="16"/>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40,950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40,952</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Issuance of common stock upon the reverse capitalization,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13,458,293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sz w:val="16"/>
              </w:rPr>
            </w:pPr>
            <w:r>
              <w:rPr>
                <w:sz w:val="16"/>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5,220</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Reclassification of prepaid PIPE</w:t>
            </w:r>
            <w:r>
              <w:rPr>
                <w:rFonts w:ascii="Times New Roman;Times;Serif" w:hAnsi="Times New Roman;Times;Serif"/>
                <w:position w:val="5"/>
                <w:sz w:val="13"/>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3,500</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Reclassification of warrant liabilities to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4,697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4,697</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16"/>
              </w:rPr>
            </w:pPr>
            <w:r>
              <w:rPr>
                <w:sz w:val="16"/>
              </w:rPr>
              <w:t>Reclassification of Legacy Complete Solaria common stock into Complete Solaria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sz w:val="16"/>
              </w:rPr>
            </w:pPr>
            <w:r>
              <w:rPr>
                <w:sz w:val="16"/>
              </w:rPr>
              <w:t>(1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1</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in connection with forward purchase agreements</w:t>
            </w:r>
            <w:r>
              <w:rPr>
                <w:rFonts w:ascii="Times New Roman;Times;Serif" w:hAnsi="Times New Roman;Times;Serif"/>
                <w:position w:val="5"/>
                <w:sz w:val="13"/>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5,558,488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sz w:val="16"/>
              </w:rPr>
            </w:pPr>
            <w:r>
              <w:rPr>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35,489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35,490</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bonus shares in connection with Mergers</w:t>
            </w:r>
            <w:r>
              <w:rPr>
                <w:rFonts w:ascii="Times New Roman;Times;Serif" w:hAnsi="Times New Roman;Times;Serif"/>
                <w:position w:val="5"/>
                <w:sz w:val="13"/>
                <w:sz w:val="16"/>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463,976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2,394</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Residual Mergers proceeds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161</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16"/>
              </w:rPr>
            </w:pPr>
            <w:r>
              <w:rPr>
                <w:sz w:val="16"/>
              </w:rPr>
              <w:t>Modification of Carlyle warrant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(10,862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(10,862</w:t>
            </w:r>
          </w:p>
        </w:tc>
        <w:tc>
          <w:tcPr>
            <w:tcW w:w="97"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993" w:type="dxa"/>
            <w:tcBorders/>
            <w:shd w:fill="CCEEFF" w:val="clear"/>
            <w:vAlign w:val="center"/>
          </w:tcPr>
          <w:p>
            <w:pPr>
              <w:pStyle w:val="TableContents"/>
              <w:bidi w:val="0"/>
              <w:spacing w:before="0" w:after="283"/>
              <w:jc w:val="left"/>
              <w:rPr>
                <w:sz w:val="16"/>
              </w:rPr>
            </w:pPr>
            <w:r>
              <w:rPr>
                <w:sz w:val="16"/>
              </w:rPr>
              <w:t>Exercise of 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67,292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57</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16"/>
              </w:rPr>
            </w:pPr>
            <w:r>
              <w:rPr>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4,156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4,156</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21,690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16"/>
              </w:rPr>
            </w:pPr>
            <w:r>
              <w:rPr>
                <w:sz w:val="16"/>
              </w:rPr>
              <w:t>52</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16"/>
              </w:rPr>
            </w:pPr>
            <w:r>
              <w:rPr>
                <w:sz w:val="16"/>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sz w:val="16"/>
              </w:rPr>
            </w:pPr>
            <w:r>
              <w:rPr>
                <w:sz w:val="16"/>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16"/>
              </w:rPr>
            </w:pPr>
            <w:r>
              <w:rPr>
                <w:sz w:val="16"/>
              </w:rPr>
              <w:t>24</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(241,906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(241,906</w:t>
            </w:r>
          </w:p>
        </w:tc>
        <w:tc>
          <w:tcPr>
            <w:tcW w:w="97"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93" w:type="dxa"/>
            <w:tcBorders/>
            <w:shd w:fill="FFFFFF" w:val="clear"/>
            <w:vAlign w:val="center"/>
          </w:tcPr>
          <w:p>
            <w:pPr>
              <w:pStyle w:val="TableContents"/>
              <w:bidi w:val="0"/>
              <w:spacing w:before="0" w:after="283"/>
              <w:jc w:val="left"/>
              <w:rPr>
                <w:b/>
                <w:sz w:val="16"/>
              </w:rPr>
            </w:pPr>
            <w:r>
              <w:rPr>
                <w:b/>
                <w:sz w:val="16"/>
              </w:rPr>
              <w:t>Balance as of October 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45,312,243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426"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276,438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4"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(327,279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35"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9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67"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(50,783</w:t>
            </w:r>
          </w:p>
        </w:tc>
        <w:tc>
          <w:tcPr>
            <w:tcW w:w="97" w:type="dxa"/>
            <w:tcBorders/>
            <w:shd w:fill="FFFFFF" w:val="clear"/>
            <w:vAlign w:val="center"/>
          </w:tcPr>
          <w:p>
            <w:pPr>
              <w:pStyle w:val="TableContents"/>
              <w:bidi w:val="0"/>
              <w:spacing w:before="0" w:after="283"/>
              <w:jc w:val="left"/>
              <w:rPr>
                <w:sz w:val="16"/>
              </w:rPr>
            </w:pPr>
            <w:r>
              <w:rPr>
                <w:sz w:val="16"/>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4676" w:right="4669"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5"/>
        <w:gridCol w:w="60"/>
        <w:gridCol w:w="60"/>
        <w:gridCol w:w="897"/>
        <w:gridCol w:w="80"/>
        <w:gridCol w:w="60"/>
        <w:gridCol w:w="110"/>
        <w:gridCol w:w="583"/>
        <w:gridCol w:w="80"/>
        <w:gridCol w:w="60"/>
        <w:gridCol w:w="60"/>
        <w:gridCol w:w="830"/>
        <w:gridCol w:w="60"/>
        <w:gridCol w:w="60"/>
        <w:gridCol w:w="179"/>
        <w:gridCol w:w="426"/>
        <w:gridCol w:w="60"/>
        <w:gridCol w:w="60"/>
        <w:gridCol w:w="138"/>
        <w:gridCol w:w="647"/>
        <w:gridCol w:w="60"/>
        <w:gridCol w:w="60"/>
        <w:gridCol w:w="154"/>
        <w:gridCol w:w="811"/>
        <w:gridCol w:w="80"/>
        <w:gridCol w:w="60"/>
        <w:gridCol w:w="335"/>
        <w:gridCol w:w="795"/>
        <w:gridCol w:w="60"/>
        <w:gridCol w:w="60"/>
        <w:gridCol w:w="162"/>
        <w:gridCol w:w="848"/>
        <w:gridCol w:w="95"/>
      </w:tblGrid>
      <w:tr>
        <w:trPr/>
        <w:tc>
          <w:tcPr>
            <w:tcW w:w="211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7935" w:type="dxa"/>
            <w:gridSpan w:val="30"/>
            <w:tcBorders>
              <w:bottom w:val="single" w:sz="12" w:space="0" w:color="000000"/>
            </w:tcBorders>
            <w:tcMar>
              <w:bottom w:w="28" w:type="dxa"/>
            </w:tcMar>
            <w:vAlign w:val="center"/>
          </w:tcPr>
          <w:p>
            <w:pPr>
              <w:pStyle w:val="TableContents"/>
              <w:bidi w:val="0"/>
              <w:spacing w:before="0" w:after="283"/>
              <w:jc w:val="center"/>
              <w:rPr>
                <w:b/>
                <w:sz w:val="16"/>
              </w:rPr>
            </w:pPr>
            <w:r>
              <w:rPr>
                <w:b/>
                <w:sz w:val="16"/>
              </w:rPr>
              <w:t>Three Month Period Ended September 30, 2022</w:t>
            </w:r>
          </w:p>
        </w:tc>
        <w:tc>
          <w:tcPr>
            <w:tcW w:w="95" w:type="dxa"/>
            <w:tcBorders/>
            <w:vAlign w:val="center"/>
          </w:tcPr>
          <w:p>
            <w:pPr>
              <w:pStyle w:val="TableContents"/>
              <w:bidi w:val="0"/>
              <w:spacing w:before="0" w:after="283"/>
              <w:ind w:left="0" w:right="0" w:hanging="180"/>
              <w:jc w:val="center"/>
              <w:rPr/>
            </w:pPr>
            <w:r>
              <w:rPr/>
              <w:t> </w:t>
            </w:r>
          </w:p>
        </w:tc>
      </w:tr>
      <w:tr>
        <w:trPr/>
        <w:tc>
          <w:tcPr>
            <w:tcW w:w="2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9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Redeemable Convertible</w:t>
              <w:br/>
              <w:t>Preferred Stock</w:t>
            </w:r>
          </w:p>
        </w:tc>
        <w:tc>
          <w:tcPr>
            <w:tcW w:w="8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w:t>
              <w:br/>
              <w:t>(Deficit)</w:t>
            </w:r>
          </w:p>
        </w:tc>
        <w:tc>
          <w:tcPr>
            <w:tcW w:w="95" w:type="dxa"/>
            <w:tcBorders/>
            <w:vAlign w:val="center"/>
          </w:tcPr>
          <w:p>
            <w:pPr>
              <w:pStyle w:val="TableContents"/>
              <w:bidi w:val="0"/>
              <w:spacing w:before="0" w:after="283"/>
              <w:ind w:left="0" w:right="0" w:hanging="180"/>
              <w:jc w:val="center"/>
              <w:rPr/>
            </w:pPr>
            <w:r>
              <w:rPr/>
              <w:t> </w:t>
            </w:r>
          </w:p>
        </w:tc>
      </w:tr>
      <w:tr>
        <w:trPr/>
        <w:tc>
          <w:tcPr>
            <w:tcW w:w="2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7"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Equity</w:t>
            </w:r>
          </w:p>
        </w:tc>
        <w:tc>
          <w:tcPr>
            <w:tcW w:w="95" w:type="dxa"/>
            <w:tcBorders/>
            <w:vAlign w:val="center"/>
          </w:tcPr>
          <w:p>
            <w:pPr>
              <w:pStyle w:val="TableContents"/>
              <w:bidi w:val="0"/>
              <w:spacing w:before="0" w:after="283"/>
              <w:ind w:left="0" w:right="0" w:hanging="180"/>
              <w:jc w:val="center"/>
              <w:rPr/>
            </w:pPr>
            <w:r>
              <w:rPr/>
              <w:t> </w:t>
            </w:r>
          </w:p>
        </w:tc>
      </w:tr>
      <w:tr>
        <w:trPr/>
        <w:tc>
          <w:tcPr>
            <w:tcW w:w="2115" w:type="dxa"/>
            <w:tcBorders/>
            <w:shd w:fill="CCEEFF" w:val="clear"/>
            <w:vAlign w:val="center"/>
          </w:tcPr>
          <w:p>
            <w:pPr>
              <w:pStyle w:val="TableContents"/>
              <w:bidi w:val="0"/>
              <w:spacing w:before="0" w:after="283"/>
              <w:jc w:val="left"/>
              <w:rPr>
                <w:b/>
                <w:sz w:val="16"/>
              </w:rPr>
            </w:pPr>
            <w:r>
              <w:rPr>
                <w:b/>
                <w:sz w:val="16"/>
              </w:rPr>
              <w:t>Balance as of June 30, 2022, as previously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sz w:val="16"/>
              </w:rPr>
            </w:pPr>
            <w:r>
              <w:rPr>
                <w:sz w:val="16"/>
              </w:rPr>
              <w:t>19,335,921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583" w:type="dxa"/>
            <w:tcBorders/>
            <w:shd w:fill="CCEEFF" w:val="clear"/>
            <w:vAlign w:val="center"/>
          </w:tcPr>
          <w:p>
            <w:pPr>
              <w:pStyle w:val="TableContents"/>
              <w:bidi w:val="0"/>
              <w:spacing w:before="0" w:after="283"/>
              <w:jc w:val="right"/>
              <w:rPr>
                <w:sz w:val="16"/>
              </w:rPr>
            </w:pPr>
            <w:r>
              <w:rPr>
                <w:sz w:val="16"/>
              </w:rPr>
              <w:t>42,959</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3,931,068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sz w:val="16"/>
              </w:rPr>
            </w:pPr>
            <w:r>
              <w:rPr>
                <w:sz w:val="16"/>
              </w:rPr>
              <w:t>$</w:t>
            </w:r>
          </w:p>
        </w:tc>
        <w:tc>
          <w:tcPr>
            <w:tcW w:w="647" w:type="dxa"/>
            <w:tcBorders/>
            <w:shd w:fill="CCEEFF" w:val="clear"/>
            <w:vAlign w:val="center"/>
          </w:tcPr>
          <w:p>
            <w:pPr>
              <w:pStyle w:val="TableContents"/>
              <w:bidi w:val="0"/>
              <w:spacing w:before="0" w:after="283"/>
              <w:jc w:val="right"/>
              <w:rPr>
                <w:sz w:val="16"/>
              </w:rPr>
            </w:pPr>
            <w:r>
              <w:rPr>
                <w:sz w:val="16"/>
              </w:rPr>
              <w:t>6,703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16"/>
              </w:rPr>
            </w:pPr>
            <w:r>
              <w:rPr>
                <w:sz w:val="16"/>
              </w:rPr>
              <w:t>$</w:t>
            </w:r>
          </w:p>
        </w:tc>
        <w:tc>
          <w:tcPr>
            <w:tcW w:w="811" w:type="dxa"/>
            <w:tcBorders/>
            <w:shd w:fill="CCEEFF" w:val="clear"/>
            <w:vAlign w:val="center"/>
          </w:tcPr>
          <w:p>
            <w:pPr>
              <w:pStyle w:val="TableContents"/>
              <w:bidi w:val="0"/>
              <w:spacing w:before="0" w:after="283"/>
              <w:jc w:val="right"/>
              <w:rPr>
                <w:sz w:val="16"/>
              </w:rPr>
            </w:pPr>
            <w:r>
              <w:rPr>
                <w:sz w:val="16"/>
              </w:rPr>
              <w:t>(62,559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16"/>
              </w:rPr>
            </w:pPr>
            <w:r>
              <w:rPr>
                <w:sz w:val="16"/>
              </w:rPr>
              <w:t>$</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16"/>
              </w:rPr>
            </w:pPr>
            <w:r>
              <w:rPr>
                <w:sz w:val="16"/>
              </w:rPr>
              <w:t>$</w:t>
            </w:r>
          </w:p>
        </w:tc>
        <w:tc>
          <w:tcPr>
            <w:tcW w:w="848" w:type="dxa"/>
            <w:tcBorders/>
            <w:shd w:fill="CCEEFF" w:val="clear"/>
            <w:vAlign w:val="center"/>
          </w:tcPr>
          <w:p>
            <w:pPr>
              <w:pStyle w:val="TableContents"/>
              <w:bidi w:val="0"/>
              <w:spacing w:before="0" w:after="283"/>
              <w:jc w:val="right"/>
              <w:rPr>
                <w:sz w:val="16"/>
              </w:rPr>
            </w:pPr>
            <w:r>
              <w:rPr>
                <w:sz w:val="16"/>
              </w:rPr>
              <w:t>(55,856</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2115" w:type="dxa"/>
            <w:tcBorders/>
            <w:shd w:fill="FFFFFF" w:val="clear"/>
            <w:vAlign w:val="center"/>
          </w:tcPr>
          <w:p>
            <w:pPr>
              <w:pStyle w:val="TableContents"/>
              <w:bidi w:val="0"/>
              <w:spacing w:before="0" w:after="283"/>
              <w:jc w:val="left"/>
              <w:rPr>
                <w:sz w:val="16"/>
              </w:rPr>
            </w:pPr>
            <w:r>
              <w:rPr>
                <w:sz w:val="16"/>
              </w:rPr>
              <w:t>Retroactive application of recapitalization (Note 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(19,335,921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3"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(42,959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7,306,130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42,958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42,959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2115" w:type="dxa"/>
            <w:tcBorders/>
            <w:shd w:fill="CCEEFF" w:val="clear"/>
            <w:vAlign w:val="center"/>
          </w:tcPr>
          <w:p>
            <w:pPr>
              <w:pStyle w:val="TableContents"/>
              <w:bidi w:val="0"/>
              <w:spacing w:before="0" w:after="283"/>
              <w:jc w:val="left"/>
              <w:rPr>
                <w:sz w:val="16"/>
              </w:rPr>
            </w:pPr>
            <w:r>
              <w:rPr>
                <w:sz w:val="16"/>
              </w:rPr>
              <w:t>Balance as of June 30, 2022, as adjusted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11,237,198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sz w:val="16"/>
              </w:rPr>
            </w:pPr>
            <w:r>
              <w:rPr>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49,661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sz w:val="16"/>
              </w:rPr>
            </w:pPr>
            <w:r>
              <w:rPr>
                <w:sz w:val="16"/>
              </w:rPr>
              <w:t>(62,559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sz w:val="16"/>
              </w:rPr>
            </w:pPr>
            <w:r>
              <w:rPr>
                <w:sz w:val="16"/>
              </w:rPr>
              <w:t>(12,897</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2115" w:type="dxa"/>
            <w:tcBorders/>
            <w:shd w:fill="FFFFFF" w:val="clear"/>
            <w:vAlign w:val="center"/>
          </w:tcPr>
          <w:p>
            <w:pPr>
              <w:pStyle w:val="TableContents"/>
              <w:bidi w:val="0"/>
              <w:spacing w:before="0" w:after="283"/>
              <w:jc w:val="left"/>
              <w:rPr>
                <w:sz w:val="16"/>
              </w:rPr>
            </w:pPr>
            <w:r>
              <w:rPr>
                <w:sz w:val="16"/>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10,867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sz w:val="16"/>
              </w:rPr>
            </w:pPr>
            <w:r>
              <w:rPr>
                <w:sz w:val="16"/>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sz w:val="16"/>
              </w:rPr>
            </w:pPr>
            <w:r>
              <w:rPr>
                <w:sz w:val="16"/>
              </w:rPr>
              <w:t>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2115" w:type="dxa"/>
            <w:tcBorders/>
            <w:shd w:fill="CCEEFF" w:val="clear"/>
            <w:vAlign w:val="center"/>
          </w:tcPr>
          <w:p>
            <w:pPr>
              <w:pStyle w:val="TableContents"/>
              <w:bidi w:val="0"/>
              <w:spacing w:before="0" w:after="283"/>
              <w:jc w:val="left"/>
              <w:rPr>
                <w:sz w:val="16"/>
              </w:rPr>
            </w:pPr>
            <w:r>
              <w:rPr>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sz w:val="16"/>
              </w:rPr>
            </w:pPr>
            <w:r>
              <w:rPr>
                <w:sz w:val="16"/>
              </w:rPr>
              <w:t>85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211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(4,146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(4,146</w:t>
            </w:r>
          </w:p>
        </w:tc>
        <w:tc>
          <w:tcPr>
            <w:tcW w:w="9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2115" w:type="dxa"/>
            <w:tcBorders/>
            <w:shd w:fill="CCEEFF" w:val="clear"/>
            <w:vAlign w:val="center"/>
          </w:tcPr>
          <w:p>
            <w:pPr>
              <w:pStyle w:val="TableContents"/>
              <w:bidi w:val="0"/>
              <w:spacing w:before="0" w:after="283"/>
              <w:jc w:val="left"/>
              <w:rPr>
                <w:b/>
                <w:sz w:val="16"/>
              </w:rPr>
            </w:pPr>
            <w:r>
              <w:rPr>
                <w:b/>
                <w:sz w:val="16"/>
              </w:rPr>
              <w:t>Balance as of September 30, 2022, as adjusted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8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11,248,065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26"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47"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49,755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1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(66,705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48"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(16,949</w:t>
            </w:r>
          </w:p>
        </w:tc>
        <w:tc>
          <w:tcPr>
            <w:tcW w:w="95"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ind w:left="4676" w:right="4669"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4676" w:right="4669"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76" w:right="4669"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4676" w:right="4669"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0"/>
        <w:gridCol w:w="60"/>
        <w:gridCol w:w="64"/>
        <w:gridCol w:w="959"/>
        <w:gridCol w:w="86"/>
        <w:gridCol w:w="64"/>
        <w:gridCol w:w="118"/>
        <w:gridCol w:w="620"/>
        <w:gridCol w:w="80"/>
        <w:gridCol w:w="60"/>
        <w:gridCol w:w="60"/>
        <w:gridCol w:w="830"/>
        <w:gridCol w:w="60"/>
        <w:gridCol w:w="60"/>
        <w:gridCol w:w="179"/>
        <w:gridCol w:w="426"/>
        <w:gridCol w:w="60"/>
        <w:gridCol w:w="60"/>
        <w:gridCol w:w="138"/>
        <w:gridCol w:w="647"/>
        <w:gridCol w:w="60"/>
        <w:gridCol w:w="60"/>
        <w:gridCol w:w="154"/>
        <w:gridCol w:w="811"/>
        <w:gridCol w:w="80"/>
        <w:gridCol w:w="60"/>
        <w:gridCol w:w="335"/>
        <w:gridCol w:w="795"/>
        <w:gridCol w:w="60"/>
        <w:gridCol w:w="60"/>
        <w:gridCol w:w="162"/>
        <w:gridCol w:w="848"/>
        <w:gridCol w:w="99"/>
      </w:tblGrid>
      <w:tr>
        <w:trPr/>
        <w:tc>
          <w:tcPr>
            <w:tcW w:w="199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8056" w:type="dxa"/>
            <w:gridSpan w:val="30"/>
            <w:tcBorders>
              <w:bottom w:val="single" w:sz="12" w:space="0" w:color="000000"/>
            </w:tcBorders>
            <w:tcMar>
              <w:bottom w:w="28" w:type="dxa"/>
            </w:tcMar>
            <w:vAlign w:val="center"/>
          </w:tcPr>
          <w:p>
            <w:pPr>
              <w:pStyle w:val="TableContents"/>
              <w:bidi w:val="0"/>
              <w:spacing w:before="0" w:after="283"/>
              <w:jc w:val="center"/>
              <w:rPr>
                <w:b/>
                <w:sz w:val="16"/>
              </w:rPr>
            </w:pPr>
            <w:r>
              <w:rPr>
                <w:b/>
                <w:sz w:val="16"/>
              </w:rPr>
              <w:t>Nine Month Period Ended September 30, 2022</w:t>
            </w:r>
          </w:p>
        </w:tc>
        <w:tc>
          <w:tcPr>
            <w:tcW w:w="99" w:type="dxa"/>
            <w:tcBorders/>
            <w:vAlign w:val="center"/>
          </w:tcPr>
          <w:p>
            <w:pPr>
              <w:pStyle w:val="TableContents"/>
              <w:bidi w:val="0"/>
              <w:spacing w:before="0" w:after="283"/>
              <w:ind w:left="0" w:right="0" w:hanging="180"/>
              <w:jc w:val="center"/>
              <w:rPr/>
            </w:pPr>
            <w:r>
              <w:rPr/>
              <w:t> </w:t>
            </w:r>
          </w:p>
        </w:tc>
      </w:tr>
      <w:tr>
        <w:trPr/>
        <w:tc>
          <w:tcPr>
            <w:tcW w:w="1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11"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Redeemable Convertible Preferred Stock</w:t>
            </w:r>
          </w:p>
        </w:tc>
        <w:tc>
          <w:tcPr>
            <w:tcW w:w="8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w:t>
              <w:br/>
              <w:t xml:space="preserve">(Deficit) </w:t>
            </w:r>
          </w:p>
        </w:tc>
        <w:tc>
          <w:tcPr>
            <w:tcW w:w="99" w:type="dxa"/>
            <w:tcBorders/>
            <w:vAlign w:val="center"/>
          </w:tcPr>
          <w:p>
            <w:pPr>
              <w:pStyle w:val="TableContents"/>
              <w:bidi w:val="0"/>
              <w:spacing w:before="0" w:after="283"/>
              <w:ind w:left="0" w:right="0" w:hanging="180"/>
              <w:jc w:val="center"/>
              <w:rPr/>
            </w:pPr>
            <w:r>
              <w:rPr/>
              <w:t> </w:t>
            </w:r>
          </w:p>
        </w:tc>
      </w:tr>
      <w:tr>
        <w:trPr/>
        <w:tc>
          <w:tcPr>
            <w:tcW w:w="1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86"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738"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Equity</w:t>
            </w:r>
          </w:p>
        </w:tc>
        <w:tc>
          <w:tcPr>
            <w:tcW w:w="99" w:type="dxa"/>
            <w:tcBorders/>
            <w:vAlign w:val="center"/>
          </w:tcPr>
          <w:p>
            <w:pPr>
              <w:pStyle w:val="TableContents"/>
              <w:bidi w:val="0"/>
              <w:spacing w:before="0" w:after="283"/>
              <w:ind w:left="0" w:right="0" w:hanging="180"/>
              <w:jc w:val="center"/>
              <w:rPr/>
            </w:pPr>
            <w:r>
              <w:rPr/>
              <w:t> </w:t>
            </w:r>
          </w:p>
        </w:tc>
      </w:tr>
      <w:tr>
        <w:trPr/>
        <w:tc>
          <w:tcPr>
            <w:tcW w:w="1990" w:type="dxa"/>
            <w:tcBorders/>
            <w:shd w:fill="CCEEFF" w:val="clear"/>
            <w:vAlign w:val="center"/>
          </w:tcPr>
          <w:p>
            <w:pPr>
              <w:pStyle w:val="TableContents"/>
              <w:bidi w:val="0"/>
              <w:spacing w:before="0" w:after="283"/>
              <w:jc w:val="left"/>
              <w:rPr>
                <w:b/>
                <w:sz w:val="16"/>
              </w:rPr>
            </w:pPr>
            <w:r>
              <w:rPr>
                <w:b/>
                <w:sz w:val="16"/>
              </w:rPr>
              <w:t>Balance as of December 31, 2021, as previously reported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16,564,370</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sz w:val="16"/>
              </w:rPr>
            </w:pPr>
            <w:r>
              <w:rPr>
                <w:sz w:val="16"/>
              </w:rPr>
              <w:t>$</w:t>
            </w:r>
          </w:p>
        </w:tc>
        <w:tc>
          <w:tcPr>
            <w:tcW w:w="620" w:type="dxa"/>
            <w:tcBorders/>
            <w:shd w:fill="CCEEFF" w:val="clear"/>
            <w:vAlign w:val="center"/>
          </w:tcPr>
          <w:p>
            <w:pPr>
              <w:pStyle w:val="TableContents"/>
              <w:bidi w:val="0"/>
              <w:spacing w:before="0" w:after="283"/>
              <w:jc w:val="right"/>
              <w:rPr>
                <w:sz w:val="16"/>
              </w:rPr>
            </w:pPr>
            <w:r>
              <w:rPr>
                <w:sz w:val="16"/>
              </w:rPr>
              <w:t>31,401</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3,739,572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sz w:val="16"/>
              </w:rPr>
            </w:pPr>
            <w:r>
              <w:rPr>
                <w:sz w:val="16"/>
              </w:rPr>
              <w:t>$</w:t>
            </w:r>
          </w:p>
        </w:tc>
        <w:tc>
          <w:tcPr>
            <w:tcW w:w="647" w:type="dxa"/>
            <w:tcBorders/>
            <w:shd w:fill="CCEEFF" w:val="clear"/>
            <w:vAlign w:val="center"/>
          </w:tcPr>
          <w:p>
            <w:pPr>
              <w:pStyle w:val="TableContents"/>
              <w:bidi w:val="0"/>
              <w:spacing w:before="0" w:after="283"/>
              <w:jc w:val="right"/>
              <w:rPr>
                <w:sz w:val="16"/>
              </w:rPr>
            </w:pPr>
            <w:r>
              <w:rPr>
                <w:sz w:val="16"/>
              </w:rPr>
              <w:t>3,105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16"/>
              </w:rPr>
            </w:pPr>
            <w:r>
              <w:rPr>
                <w:sz w:val="16"/>
              </w:rPr>
              <w:t>$</w:t>
            </w:r>
          </w:p>
        </w:tc>
        <w:tc>
          <w:tcPr>
            <w:tcW w:w="811" w:type="dxa"/>
            <w:tcBorders/>
            <w:shd w:fill="CCEEFF" w:val="clear"/>
            <w:vAlign w:val="center"/>
          </w:tcPr>
          <w:p>
            <w:pPr>
              <w:pStyle w:val="TableContents"/>
              <w:bidi w:val="0"/>
              <w:spacing w:before="0" w:after="283"/>
              <w:jc w:val="right"/>
              <w:rPr>
                <w:sz w:val="16"/>
              </w:rPr>
            </w:pPr>
            <w:r>
              <w:rPr>
                <w:sz w:val="16"/>
              </w:rPr>
              <w:t>(55,896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16"/>
              </w:rPr>
            </w:pPr>
            <w:r>
              <w:rPr>
                <w:sz w:val="16"/>
              </w:rPr>
              <w:t>$</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16"/>
              </w:rPr>
            </w:pPr>
            <w:r>
              <w:rPr>
                <w:sz w:val="16"/>
              </w:rPr>
              <w:t>$</w:t>
            </w:r>
          </w:p>
        </w:tc>
        <w:tc>
          <w:tcPr>
            <w:tcW w:w="848" w:type="dxa"/>
            <w:tcBorders/>
            <w:shd w:fill="CCEEFF" w:val="clear"/>
            <w:vAlign w:val="center"/>
          </w:tcPr>
          <w:p>
            <w:pPr>
              <w:pStyle w:val="TableContents"/>
              <w:bidi w:val="0"/>
              <w:spacing w:before="0" w:after="283"/>
              <w:jc w:val="right"/>
              <w:rPr>
                <w:sz w:val="16"/>
              </w:rPr>
            </w:pPr>
            <w:r>
              <w:rPr>
                <w:sz w:val="16"/>
              </w:rPr>
              <w:t>(52,791</w:t>
            </w:r>
          </w:p>
        </w:tc>
        <w:tc>
          <w:tcPr>
            <w:tcW w:w="99"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90" w:type="dxa"/>
            <w:tcBorders/>
            <w:shd w:fill="FFFFFF" w:val="clear"/>
            <w:vAlign w:val="center"/>
          </w:tcPr>
          <w:p>
            <w:pPr>
              <w:pStyle w:val="TableContents"/>
              <w:bidi w:val="0"/>
              <w:spacing w:before="0" w:after="283"/>
              <w:jc w:val="left"/>
              <w:rPr>
                <w:sz w:val="16"/>
              </w:rPr>
            </w:pPr>
            <w:r>
              <w:rPr>
                <w:sz w:val="16"/>
              </w:rPr>
              <w:t>Retroactive application of recapitalization (Note 4)</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(16,564,370</w:t>
            </w:r>
          </w:p>
        </w:tc>
        <w:tc>
          <w:tcPr>
            <w:tcW w:w="86" w:type="dxa"/>
            <w:tcBorders/>
            <w:shd w:fill="FFFFFF" w:val="clear"/>
            <w:vAlign w:val="center"/>
          </w:tcPr>
          <w:p>
            <w:pPr>
              <w:pStyle w:val="TableContents"/>
              <w:bidi w:val="0"/>
              <w:spacing w:before="0" w:after="283"/>
              <w:jc w:val="left"/>
              <w:rPr>
                <w:sz w:val="16"/>
              </w:rPr>
            </w:pPr>
            <w:r>
              <w:rPr>
                <w:sz w:val="16"/>
              </w:rPr>
              <w:t>)</w:t>
            </w:r>
          </w:p>
        </w:tc>
        <w:tc>
          <w:tcPr>
            <w:tcW w:w="64"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(31,401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6,066,571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31,400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31,401</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1990" w:type="dxa"/>
            <w:tcBorders/>
            <w:shd w:fill="CCEEFF" w:val="clear"/>
            <w:vAlign w:val="center"/>
          </w:tcPr>
          <w:p>
            <w:pPr>
              <w:pStyle w:val="TableContents"/>
              <w:bidi w:val="0"/>
              <w:spacing w:before="0" w:after="283"/>
              <w:jc w:val="left"/>
              <w:rPr>
                <w:sz w:val="16"/>
              </w:rPr>
            </w:pPr>
            <w:r>
              <w:rPr>
                <w:sz w:val="16"/>
              </w:rPr>
              <w:t>Balance at December 31, 2021, as adjusted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9,806,143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sz w:val="16"/>
              </w:rPr>
            </w:pPr>
            <w:r>
              <w:rPr>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34,505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sz w:val="16"/>
              </w:rPr>
            </w:pPr>
            <w:r>
              <w:rPr>
                <w:sz w:val="16"/>
              </w:rPr>
              <w:t>(55,896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sz w:val="16"/>
              </w:rPr>
            </w:pPr>
            <w:r>
              <w:rPr>
                <w:sz w:val="16"/>
              </w:rPr>
              <w:t>(21,390</w:t>
            </w:r>
          </w:p>
        </w:tc>
        <w:tc>
          <w:tcPr>
            <w:tcW w:w="99"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9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Series D-1, D-2, and D-3 redeemable convertible preferred stock upon conversion of convertible notes and SAFEs</w:t>
            </w: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sz w:val="16"/>
              </w:rPr>
            </w:pPr>
            <w:r>
              <w:rPr>
                <w:sz w:val="16"/>
              </w:rPr>
              <w:t>2,771,551</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sz w:val="16"/>
              </w:rPr>
            </w:pPr>
            <w:r>
              <w:rPr>
                <w:sz w:val="16"/>
              </w:rPr>
              <w:t>11,558</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1990" w:type="dxa"/>
            <w:tcBorders/>
            <w:shd w:fill="CCEEFF" w:val="clear"/>
            <w:vAlign w:val="center"/>
          </w:tcPr>
          <w:p>
            <w:pPr>
              <w:pStyle w:val="TableContents"/>
              <w:bidi w:val="0"/>
              <w:spacing w:before="0" w:after="283"/>
              <w:jc w:val="left"/>
              <w:rPr>
                <w:sz w:val="16"/>
              </w:rPr>
            </w:pPr>
            <w:r>
              <w:rPr>
                <w:sz w:val="16"/>
              </w:rPr>
              <w:t>Issuance of common stock options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103,353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sz w:val="16"/>
              </w:rPr>
            </w:pPr>
            <w:r>
              <w:rPr>
                <w:sz w:val="16"/>
              </w:rPr>
              <w:t>28</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1990" w:type="dxa"/>
            <w:tcBorders/>
            <w:shd w:fill="FFFFFF" w:val="clear"/>
            <w:vAlign w:val="center"/>
          </w:tcPr>
          <w:p>
            <w:pPr>
              <w:pStyle w:val="TableContents"/>
              <w:bidi w:val="0"/>
              <w:spacing w:before="0" w:after="283"/>
              <w:jc w:val="left"/>
              <w:rPr>
                <w:sz w:val="16"/>
              </w:rPr>
            </w:pPr>
            <w:r>
              <w:rPr>
                <w:sz w:val="16"/>
              </w:rPr>
              <w:t>Issuance of common stock warrants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sz w:val="16"/>
              </w:rPr>
            </w:pPr>
            <w:r>
              <w:rPr>
                <w:sz w:val="16"/>
              </w:rPr>
              <w:t>3,447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sz w:val="16"/>
              </w:rPr>
            </w:pPr>
            <w:r>
              <w:rPr>
                <w:sz w:val="16"/>
              </w:rPr>
              <w:t>3,447</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1990" w:type="dxa"/>
            <w:tcBorders/>
            <w:shd w:fill="CCEEFF" w:val="clear"/>
            <w:vAlign w:val="center"/>
          </w:tcPr>
          <w:p>
            <w:pPr>
              <w:pStyle w:val="TableContents"/>
              <w:bidi w:val="0"/>
              <w:spacing w:before="0" w:after="283"/>
              <w:jc w:val="left"/>
              <w:rPr>
                <w:sz w:val="16"/>
              </w:rPr>
            </w:pPr>
            <w:r>
              <w:rPr>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sz w:val="16"/>
              </w:rPr>
            </w:pPr>
            <w:r>
              <w:rPr>
                <w:sz w:val="16"/>
              </w:rPr>
              <w:t>217</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1990"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(10,809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(10,809</w:t>
            </w:r>
          </w:p>
        </w:tc>
        <w:tc>
          <w:tcPr>
            <w:tcW w:w="99"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990" w:type="dxa"/>
            <w:tcBorders/>
            <w:shd w:fill="CCEEFF" w:val="clear"/>
            <w:vAlign w:val="center"/>
          </w:tcPr>
          <w:p>
            <w:pPr>
              <w:pStyle w:val="TableContents"/>
              <w:bidi w:val="0"/>
              <w:spacing w:before="0" w:after="283"/>
              <w:jc w:val="left"/>
              <w:rPr>
                <w:sz w:val="16"/>
              </w:rPr>
            </w:pPr>
            <w:r>
              <w:rPr>
                <w:sz w:val="16"/>
              </w:rPr>
              <w:t>Balance as of September 30, 2022, as previously reported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2,771,551</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16"/>
              </w:rPr>
            </w:pPr>
            <w:r>
              <w:rPr>
                <w:sz w:val="16"/>
              </w:rPr>
              <w:t>11,558</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9,909,496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sz w:val="16"/>
              </w:rPr>
            </w:pPr>
            <w:r>
              <w:rPr>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38,197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sz w:val="16"/>
              </w:rPr>
            </w:pPr>
            <w:r>
              <w:rPr>
                <w:sz w:val="16"/>
              </w:rPr>
              <w:t>(66,705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sz w:val="16"/>
              </w:rPr>
            </w:pPr>
            <w:r>
              <w:rPr>
                <w:sz w:val="16"/>
              </w:rPr>
              <w:t>(28,507</w:t>
            </w:r>
          </w:p>
        </w:tc>
        <w:tc>
          <w:tcPr>
            <w:tcW w:w="99"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990" w:type="dxa"/>
            <w:tcBorders/>
            <w:shd w:fill="FFFFFF" w:val="clear"/>
            <w:vAlign w:val="center"/>
          </w:tcPr>
          <w:p>
            <w:pPr>
              <w:pStyle w:val="TableContents"/>
              <w:bidi w:val="0"/>
              <w:spacing w:before="0" w:after="283"/>
              <w:jc w:val="left"/>
              <w:rPr>
                <w:sz w:val="16"/>
              </w:rPr>
            </w:pPr>
            <w:r>
              <w:rPr>
                <w:sz w:val="16"/>
              </w:rPr>
              <w:t>Retroactive application of recapitalization (Note 4)</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(2,771,551</w:t>
            </w:r>
          </w:p>
        </w:tc>
        <w:tc>
          <w:tcPr>
            <w:tcW w:w="86" w:type="dxa"/>
            <w:tcBorders/>
            <w:shd w:fill="FFFFFF" w:val="clear"/>
            <w:vAlign w:val="center"/>
          </w:tcPr>
          <w:p>
            <w:pPr>
              <w:pStyle w:val="TableContents"/>
              <w:bidi w:val="0"/>
              <w:spacing w:before="0" w:after="283"/>
              <w:jc w:val="left"/>
              <w:rPr>
                <w:sz w:val="16"/>
              </w:rPr>
            </w:pPr>
            <w:r>
              <w:rPr>
                <w:sz w:val="16"/>
              </w:rPr>
              <w:t>)</w:t>
            </w:r>
          </w:p>
        </w:tc>
        <w:tc>
          <w:tcPr>
            <w:tcW w:w="64"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(11,558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1,338,569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11,558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11,558</w:t>
            </w:r>
          </w:p>
        </w:tc>
        <w:tc>
          <w:tcPr>
            <w:tcW w:w="99" w:type="dxa"/>
            <w:tcBorders/>
            <w:shd w:fill="FFFFFF" w:val="clear"/>
            <w:vAlign w:val="center"/>
          </w:tcPr>
          <w:p>
            <w:pPr>
              <w:pStyle w:val="TableContents"/>
              <w:bidi w:val="0"/>
              <w:spacing w:before="0" w:after="283"/>
              <w:ind w:left="0" w:right="0" w:hanging="180"/>
              <w:jc w:val="left"/>
              <w:rPr>
                <w:sz w:val="4"/>
                <w:szCs w:val="4"/>
              </w:rPr>
            </w:pPr>
            <w:r>
              <w:rPr>
                <w:sz w:val="4"/>
                <w:szCs w:val="4"/>
              </w:rPr>
            </w:r>
          </w:p>
        </w:tc>
      </w:tr>
      <w:tr>
        <w:trPr/>
        <w:tc>
          <w:tcPr>
            <w:tcW w:w="1990" w:type="dxa"/>
            <w:tcBorders/>
            <w:shd w:fill="CCEEFF" w:val="clear"/>
            <w:vAlign w:val="center"/>
          </w:tcPr>
          <w:p>
            <w:pPr>
              <w:pStyle w:val="TableContents"/>
              <w:bidi w:val="0"/>
              <w:spacing w:before="0" w:after="283"/>
              <w:jc w:val="left"/>
              <w:rPr>
                <w:b/>
                <w:sz w:val="16"/>
              </w:rPr>
            </w:pPr>
            <w:r>
              <w:rPr>
                <w:b/>
                <w:sz w:val="16"/>
              </w:rPr>
              <w:t>Balance as of September 30, 2022, as adjusted</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11,248,065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26"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47"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49,755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1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(66,705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48"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(16,949</w:t>
            </w:r>
          </w:p>
        </w:tc>
        <w:tc>
          <w:tcPr>
            <w:tcW w:w="99"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ind w:left="4676" w:right="4669"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osition w:val="8"/>
                <w:sz w:val="19"/>
              </w:rPr>
            </w:pPr>
            <w:r>
              <w:rPr>
                <w:position w:val="8"/>
                <w:sz w:val="19"/>
              </w:rPr>
              <w:t>(1)</w:t>
            </w:r>
          </w:p>
        </w:tc>
        <w:tc>
          <w:tcPr>
            <w:tcW w:w="9939" w:type="dxa"/>
            <w:tcBorders/>
            <w:vAlign w:val="center"/>
          </w:tcPr>
          <w:p>
            <w:pPr>
              <w:pStyle w:val="TableContents"/>
              <w:bidi w:val="0"/>
              <w:spacing w:before="0" w:after="283"/>
              <w:jc w:val="both"/>
              <w:rPr/>
            </w:pPr>
            <w:r>
              <w:rPr/>
              <w:t>Includes 1,315,287 shares of Series D-1 redeemable convertible preferred stock with a carrying value of $6.3 million, issued to related parties.</w:t>
            </w:r>
          </w:p>
        </w:tc>
      </w:tr>
    </w:tbl>
    <w:tbl>
      <w:tblPr>
        <w:tblW w:w="7083" w:type="dxa"/>
        <w:jc w:val="left"/>
        <w:tblInd w:w="0" w:type="dxa"/>
        <w:tblLayout w:type="fixed"/>
        <w:tblCellMar>
          <w:top w:w="0" w:type="dxa"/>
          <w:left w:w="0" w:type="dxa"/>
          <w:bottom w:w="0" w:type="dxa"/>
          <w:right w:w="0" w:type="dxa"/>
        </w:tblCellMar>
      </w:tblPr>
      <w:tblGrid>
        <w:gridCol w:w="38"/>
        <w:gridCol w:w="245"/>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(2)</w:t>
            </w:r>
          </w:p>
        </w:tc>
        <w:tc>
          <w:tcPr>
            <w:tcW w:w="6800" w:type="dxa"/>
            <w:tcBorders/>
            <w:vAlign w:val="center"/>
          </w:tcPr>
          <w:p>
            <w:pPr>
              <w:pStyle w:val="TableContents"/>
              <w:bidi w:val="0"/>
              <w:spacing w:before="0" w:after="283"/>
              <w:jc w:val="both"/>
              <w:rPr/>
            </w:pPr>
            <w:r>
              <w:rPr/>
              <w:t>Reclassification of pre-funded PIPE was transacted with a related party.</w:t>
            </w:r>
          </w:p>
        </w:tc>
      </w:tr>
    </w:tbl>
    <w:tbl>
      <w:tblPr>
        <w:tblW w:w="8583" w:type="dxa"/>
        <w:jc w:val="left"/>
        <w:tblInd w:w="0" w:type="dxa"/>
        <w:tblLayout w:type="fixed"/>
        <w:tblCellMar>
          <w:top w:w="0" w:type="dxa"/>
          <w:left w:w="0" w:type="dxa"/>
          <w:bottom w:w="0" w:type="dxa"/>
          <w:right w:w="0" w:type="dxa"/>
        </w:tblCellMar>
      </w:tblPr>
      <w:tblGrid>
        <w:gridCol w:w="38"/>
        <w:gridCol w:w="245"/>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(3)</w:t>
            </w:r>
          </w:p>
        </w:tc>
        <w:tc>
          <w:tcPr>
            <w:tcW w:w="8300" w:type="dxa"/>
            <w:tcBorders/>
            <w:vAlign w:val="center"/>
          </w:tcPr>
          <w:p>
            <w:pPr>
              <w:pStyle w:val="TableContents"/>
              <w:bidi w:val="0"/>
              <w:spacing w:before="0" w:after="283"/>
              <w:jc w:val="both"/>
              <w:rPr/>
            </w:pPr>
            <w:r>
              <w:rPr/>
              <w:t>Includes 4,508,488 shares of Complete Solaria Common Stock issued to related parties.</w:t>
            </w:r>
          </w:p>
        </w:tc>
      </w:tr>
    </w:tbl>
    <w:tbl>
      <w:tblPr>
        <w:tblW w:w="8403" w:type="dxa"/>
        <w:jc w:val="left"/>
        <w:tblInd w:w="0" w:type="dxa"/>
        <w:tblLayout w:type="fixed"/>
        <w:tblCellMar>
          <w:top w:w="0" w:type="dxa"/>
          <w:left w:w="0" w:type="dxa"/>
          <w:bottom w:w="0" w:type="dxa"/>
          <w:right w:w="0" w:type="dxa"/>
        </w:tblCellMar>
      </w:tblPr>
      <w:tblGrid>
        <w:gridCol w:w="38"/>
        <w:gridCol w:w="245"/>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(4)</w:t>
            </w:r>
          </w:p>
        </w:tc>
        <w:tc>
          <w:tcPr>
            <w:tcW w:w="8120" w:type="dxa"/>
            <w:tcBorders/>
            <w:vAlign w:val="center"/>
          </w:tcPr>
          <w:p>
            <w:pPr>
              <w:pStyle w:val="TableContents"/>
              <w:bidi w:val="0"/>
              <w:spacing w:before="0" w:after="283"/>
              <w:jc w:val="both"/>
              <w:rPr/>
            </w:pPr>
            <w:r>
              <w:rPr/>
              <w:t>Includes 120,000 shares of Complete Solaria Common Stock issued to related parties.</w:t>
            </w:r>
          </w:p>
        </w:tc>
      </w:tr>
    </w:tbl>
    <w:p>
      <w:pPr>
        <w:pStyle w:val="TextBody"/>
        <w:bidi w:val="0"/>
        <w:spacing w:before="0" w:after="0"/>
        <w:ind w:left="4676" w:right="4669"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6"/>
      <w:bookmarkEnd w:id="9"/>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3780" w:right="407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0"/>
        <w:gridCol w:w="60"/>
        <w:gridCol w:w="170"/>
        <w:gridCol w:w="1065"/>
        <w:gridCol w:w="95"/>
        <w:gridCol w:w="60"/>
        <w:gridCol w:w="230"/>
        <w:gridCol w:w="1245"/>
        <w:gridCol w:w="100"/>
      </w:tblGrid>
      <w:tr>
        <w:trPr/>
        <w:tc>
          <w:tcPr>
            <w:tcW w:w="7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Thirty-Nine</w:t>
              <w:br/>
              <w:t>Weeks</w:t>
              <w:br/>
              <w:t>Ended</w:t>
              <w:br/>
              <w:t>October 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Ended</w:t>
              <w:br/>
              <w:t>September 30,</w:t>
              <w:br/>
              <w:t>2022</w:t>
            </w:r>
          </w:p>
        </w:tc>
        <w:tc>
          <w:tcPr>
            <w:tcW w:w="100" w:type="dxa"/>
            <w:tcBorders/>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b/>
              </w:rPr>
            </w:pPr>
            <w:r>
              <w:rPr>
                <w:b/>
              </w:rPr>
              <w:t>Cash flows from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235"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5" w:type="dxa"/>
            <w:gridSpan w:val="2"/>
            <w:tcBorders/>
            <w:shd w:fill="CCEEFF" w:val="clear"/>
            <w:vAlign w:val="center"/>
          </w:tcPr>
          <w:p>
            <w:pPr>
              <w:pStyle w:val="TableContents"/>
              <w:bidi w:val="0"/>
              <w:spacing w:before="0" w:after="283"/>
              <w:jc w:val="center"/>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65" w:type="dxa"/>
            <w:tcBorders/>
            <w:shd w:fill="FFFFFF" w:val="clear"/>
            <w:vAlign w:val="center"/>
          </w:tcPr>
          <w:p>
            <w:pPr>
              <w:pStyle w:val="TableContents"/>
              <w:bidi w:val="0"/>
              <w:spacing w:before="0" w:after="283"/>
              <w:jc w:val="right"/>
              <w:rPr/>
            </w:pPr>
            <w:r>
              <w:rPr/>
              <w:t>(241,906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5" w:type="dxa"/>
            <w:tcBorders/>
            <w:shd w:fill="FFFFFF" w:val="clear"/>
            <w:vAlign w:val="center"/>
          </w:tcPr>
          <w:p>
            <w:pPr>
              <w:pStyle w:val="TableContents"/>
              <w:bidi w:val="0"/>
              <w:spacing w:before="0" w:after="283"/>
              <w:jc w:val="right"/>
              <w:rPr/>
            </w:pPr>
            <w:r>
              <w:rPr/>
              <w:t>(10,809</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80" w:type="dxa"/>
            <w:tcBorders/>
            <w:shd w:fill="CCEEFF" w:val="clear"/>
            <w:vAlign w:val="center"/>
          </w:tcPr>
          <w:p>
            <w:pPr>
              <w:pStyle w:val="TableContents"/>
              <w:bidi w:val="0"/>
              <w:spacing w:before="0" w:after="283"/>
              <w:jc w:val="left"/>
              <w:rPr/>
            </w:pPr>
            <w:r>
              <w:rPr/>
              <w:t>Loss from discontinued operations, net of income taxes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(168,458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Net loss from continuing operations, net of tax</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(73,448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(10,809</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80" w:type="dxa"/>
            <w:tcBorders/>
            <w:shd w:fill="CCEEFF" w:val="clear"/>
            <w:vAlign w:val="center"/>
          </w:tcPr>
          <w:p>
            <w:pPr>
              <w:pStyle w:val="TableContents"/>
              <w:bidi w:val="0"/>
              <w:spacing w:before="0" w:after="283"/>
              <w:jc w:val="left"/>
              <w:rPr/>
            </w:pPr>
            <w:r>
              <w:rPr/>
              <w:t>Adjustments to reconcile net loss from continuing operations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217</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Non-cash interest expense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(76</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304</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extinguishment of convertible notes and SAFEs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(3,235</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463</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716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Change in reserve for excess and obsolete inventory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3,091</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forward purchase agreements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forward purchase agreement liabilities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6,661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Loss on CS Solis debt extinguishment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10,338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142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Accretion of debt in CS Solis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2,581</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in connection with forward purchase agreements</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35,490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bonus shares in connection with the Mergers</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Issuance of restricted stock units in connection with vendor services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(11,823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(3,036</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8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(3,896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(5,047</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(8,326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504</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(15</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4,372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190</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(2,056</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(359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(316</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80" w:type="dxa"/>
            <w:tcBorders/>
            <w:shd w:fill="CCEEFF" w:val="clear"/>
            <w:vAlign w:val="center"/>
          </w:tcPr>
          <w:p>
            <w:pPr>
              <w:pStyle w:val="TableContents"/>
              <w:bidi w:val="0"/>
              <w:spacing w:before="0" w:after="283"/>
              <w:jc w:val="left"/>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(584</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(1,766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283"/>
              <w:jc w:val="right"/>
              <w:rPr/>
            </w:pPr>
            <w:r>
              <w:rPr/>
              <w:t>(231</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80" w:type="dxa"/>
            <w:tcBorders/>
            <w:shd w:fill="CCEEFF" w:val="clear"/>
            <w:vAlign w:val="center"/>
          </w:tcPr>
          <w:p>
            <w:pPr>
              <w:pStyle w:val="TableContents"/>
              <w:bidi w:val="0"/>
              <w:spacing w:before="0" w:after="283"/>
              <w:jc w:val="left"/>
              <w:rPr/>
            </w:pPr>
            <w:r>
              <w:rPr/>
              <w:t>Net cash used in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(47,152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(17,197</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pPr>
            <w:r>
              <w:rPr/>
              <w:t>Net cash provided by operating activities from discontinued operations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(46,962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283"/>
              <w:jc w:val="right"/>
              <w:rPr/>
            </w:pPr>
            <w:r>
              <w:rPr/>
              <w:t>(17,197</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b/>
              </w:rPr>
            </w:pPr>
            <w:r>
              <w:rPr>
                <w:b/>
              </w:rPr>
              <w:t>Cash flows from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Capitalization of internal-use software costs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(1,505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283"/>
              <w:jc w:val="right"/>
              <w:rPr/>
            </w:pPr>
            <w:r>
              <w:rPr/>
              <w:t>(1,048</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80" w:type="dxa"/>
            <w:tcBorders/>
            <w:shd w:fill="CCEEFF" w:val="clear"/>
            <w:vAlign w:val="center"/>
          </w:tcPr>
          <w:p>
            <w:pPr>
              <w:pStyle w:val="TableContents"/>
              <w:bidi w:val="0"/>
              <w:spacing w:before="0" w:after="283"/>
              <w:jc w:val="left"/>
              <w:rPr/>
            </w:pPr>
            <w:r>
              <w:rPr/>
              <w:t>Net cash used in investing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(1,534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283"/>
              <w:jc w:val="right"/>
              <w:rPr/>
            </w:pPr>
            <w:r>
              <w:rPr/>
              <w:t>(1,048</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b/>
              </w:rPr>
            </w:pPr>
            <w:r>
              <w:rPr>
                <w:b/>
              </w:rPr>
              <w:t>Cash flows from financing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Proceeds from issuance of notes payable, net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14,102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Principal repayment of notes payable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(9,653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(9,507</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80" w:type="dxa"/>
            <w:tcBorders/>
            <w:shd w:fill="CCEEFF" w:val="clear"/>
            <w:vAlign w:val="center"/>
          </w:tcPr>
          <w:p>
            <w:pPr>
              <w:pStyle w:val="TableContents"/>
              <w:bidi w:val="0"/>
              <w:spacing w:before="0" w:after="283"/>
              <w:jc w:val="left"/>
              <w:rPr/>
            </w:pPr>
            <w:r>
              <w:rPr/>
              <w:t>Proceeds from issuance of convertible notes, net of issuance cost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17,750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Proceeds from issuance of convertible notes, net of issuance cost, due to related parties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3,500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Repayment of convertible notes to related parties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(500</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pPr>
            <w:r>
              <w:rPr/>
              <w:t>Proceeds from issuance of long-term debt with CS Solis, net of issuance cost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25,000</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Proceeds from exercise of common stock options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28</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Proceeds from Mergers and PIPE Financing</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4,219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Proceeds from Mergers and PIPE Financing from related parties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15,600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Payments for issuance of Series D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283"/>
              <w:jc w:val="right"/>
              <w:rPr/>
            </w:pPr>
            <w:r>
              <w:rPr/>
              <w:t>(1,317</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80" w:type="dxa"/>
            <w:tcBorders/>
            <w:shd w:fill="CCEEFF" w:val="clear"/>
            <w:vAlign w:val="center"/>
          </w:tcPr>
          <w:p>
            <w:pPr>
              <w:pStyle w:val="TableContents"/>
              <w:bidi w:val="0"/>
              <w:spacing w:before="0" w:after="283"/>
              <w:jc w:val="left"/>
              <w:rPr/>
            </w:pPr>
            <w:r>
              <w:rPr/>
              <w:t>Net cash provided by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45,575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283"/>
              <w:jc w:val="right"/>
              <w:rPr/>
            </w:pPr>
            <w:r>
              <w:rPr/>
              <w:t>13,704</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(2,897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(4,541</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80" w:type="dxa"/>
            <w:tcBorders/>
            <w:shd w:fill="FFFFFF" w:val="clear"/>
            <w:vAlign w:val="center"/>
          </w:tcPr>
          <w:p>
            <w:pPr>
              <w:pStyle w:val="TableContents"/>
              <w:bidi w:val="0"/>
              <w:spacing w:before="0" w:after="283"/>
              <w:jc w:val="left"/>
              <w:rPr/>
            </w:pPr>
            <w:r>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8,316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283"/>
              <w:jc w:val="right"/>
              <w:rPr/>
            </w:pPr>
            <w:r>
              <w:rPr/>
              <w:t>5,276</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5" w:type="dxa"/>
            <w:tcBorders>
              <w:bottom w:val="double" w:sz="10" w:space="0" w:color="000000"/>
            </w:tcBorders>
            <w:shd w:fill="CCEEFF" w:val="clear"/>
            <w:tcMar>
              <w:bottom w:w="28" w:type="dxa"/>
            </w:tcMar>
            <w:vAlign w:val="center"/>
          </w:tcPr>
          <w:p>
            <w:pPr>
              <w:pStyle w:val="TableContents"/>
              <w:bidi w:val="0"/>
              <w:spacing w:before="0" w:after="283"/>
              <w:jc w:val="right"/>
              <w:rPr/>
            </w:pPr>
            <w:r>
              <w:rPr/>
              <w:t>5,419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5" w:type="dxa"/>
            <w:tcBorders>
              <w:bottom w:val="double" w:sz="10" w:space="0" w:color="000000"/>
            </w:tcBorders>
            <w:shd w:fill="CCEEFF" w:val="clear"/>
            <w:tcMar>
              <w:bottom w:w="28" w:type="dxa"/>
            </w:tcMar>
            <w:vAlign w:val="center"/>
          </w:tcPr>
          <w:p>
            <w:pPr>
              <w:pStyle w:val="TableContents"/>
              <w:bidi w:val="0"/>
              <w:spacing w:before="0" w:after="283"/>
              <w:jc w:val="right"/>
              <w:rPr/>
            </w:pPr>
            <w:r>
              <w:rPr/>
              <w:t>735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Cash paid during the year for interest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Cash paid during the year for income taxes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38</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b/>
              </w:rPr>
            </w:pPr>
            <w:r>
              <w:rPr>
                <w:b/>
              </w:rPr>
              <w:t>Supplemental schedule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Operating lease 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245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Carlyle warrant modification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(10,862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Reclassification of liability-classified warrants to equity-classified warrants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30,625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Issuance of common stock warrants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3,447</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Issuance of Series D redeemable convertible preferred stock upon conversion of SAFE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6,550</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Issuance of Series D redeemable convertible preferred stock upon conversion of convertible debt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10,680</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Conversion of 2022 Convertible Notes into common stock</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21,561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Conversion of 2022 Convertible Notes issued to related parties into common stock</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19,390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Conversion of preferred stock into common stock</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155,630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in connection with forward purchase agreements</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35,490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bonus shares in connection with the Mergers</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80" w:type="dxa"/>
            <w:tcBorders/>
            <w:shd w:fill="FFFFFF" w:val="clear"/>
            <w:vAlign w:val="center"/>
          </w:tcPr>
          <w:p>
            <w:pPr>
              <w:pStyle w:val="TableContents"/>
              <w:bidi w:val="0"/>
              <w:spacing w:before="0" w:after="283"/>
              <w:jc w:val="left"/>
              <w:rPr/>
            </w:pPr>
            <w:r>
              <w:rPr/>
              <w:t>Recapitalization of Legacy Complete Solaria Common stock into Complete Solaria Common Stock</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0"/>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80" w:type="dxa"/>
            <w:tcBorders/>
            <w:shd w:fill="CCEEFF" w:val="clear"/>
            <w:vAlign w:val="center"/>
          </w:tcPr>
          <w:p>
            <w:pPr>
              <w:pStyle w:val="TableContents"/>
              <w:bidi w:val="0"/>
              <w:spacing w:before="0" w:after="283"/>
              <w:jc w:val="left"/>
              <w:rPr/>
            </w:pPr>
            <w:r>
              <w:rPr/>
              <w:t>Reclassification of investor related to PIPE funds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3,500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780" w:right="407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osition w:val="8"/>
                <w:sz w:val="19"/>
              </w:rPr>
            </w:pPr>
            <w:r>
              <w:rPr>
                <w:position w:val="8"/>
                <w:sz w:val="19"/>
              </w:rPr>
              <w:t>(1)</w:t>
            </w:r>
          </w:p>
        </w:tc>
        <w:tc>
          <w:tcPr>
            <w:tcW w:w="9959" w:type="dxa"/>
            <w:tcBorders/>
            <w:vAlign w:val="center"/>
          </w:tcPr>
          <w:p>
            <w:pPr>
              <w:pStyle w:val="TableContents"/>
              <w:bidi w:val="0"/>
              <w:spacing w:before="0" w:after="283"/>
              <w:jc w:val="both"/>
              <w:rPr/>
            </w:pPr>
            <w:r>
              <w:rPr/>
              <w:t>Non-cash interest expense to related parties of $0.1 million and $0.4 million during the thirteen and thirty-nine weeks ended October 1, 2023, respectively, and zero and $0.1 million during the three and nine months ended September 30, 2022, respectively.</w:t>
            </w:r>
          </w:p>
        </w:tc>
      </w:tr>
    </w:tbl>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on extinguishment of convertible notes and SAFEs includes other income from related parties of zero during each of the thirteen and thirty-nine weeks ended October 1, 2023, and zero and $1.4 million during the three and nine months ended September 30, 2022, respectively.</w:t>
            </w:r>
          </w:p>
        </w:tc>
      </w:tr>
    </w:tbl>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forward purchase agreements includes other income from related parties of $0.3 million for each of the thirteen and thirty-nine weeks ended October 1, 2023, and zero for each of the three and nine months ended September 30, 2022.</w:t>
            </w:r>
          </w:p>
        </w:tc>
      </w:tr>
    </w:tbl>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 includes other expense from related parties of $5.9 million for each of the thirteen and thirty-nine weeks ended October 1, 2023, and zero for each of the three and nine months ended September 30, 2022.</w:t>
            </w:r>
          </w:p>
        </w:tc>
      </w:tr>
    </w:tbl>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common stock in connection with forward purchase agreements includes other expense from related parties of $30.7 million for each of the thirteen and thirty-nine weeks ended October 1, 2023, and zero for each of the three and nine months ended September 30, 2022.</w:t>
            </w:r>
          </w:p>
        </w:tc>
      </w:tr>
    </w:tbl>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common stock bonus shares to related parties in connection with the Mergers includes other expense of $0.7 million for each of the thirteen and thirty-nine weeks ended October 1, 2023, and zero for each of the three and nine months ended September 30, 2022.</w:t>
            </w:r>
          </w:p>
        </w:tc>
      </w:tr>
    </w:tbl>
    <w:p>
      <w:pPr>
        <w:pStyle w:val="TextBody"/>
        <w:bidi w:val="0"/>
        <w:spacing w:before="0" w:after="0"/>
        <w:ind w:left="135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 w:name="a_007"/>
      <w:bookmarkStart w:id="11" w:name="a_007"/>
      <w:bookmarkEnd w:id="11"/>
    </w:p>
    <w:tbl>
      <w:tblPr>
        <w:tblW w:w="1698" w:type="dxa"/>
        <w:jc w:val="left"/>
        <w:tblInd w:w="0" w:type="dxa"/>
        <w:tblLayout w:type="fixed"/>
        <w:tblCellMar>
          <w:top w:w="0" w:type="dxa"/>
          <w:left w:w="0" w:type="dxa"/>
          <w:bottom w:w="0" w:type="dxa"/>
          <w:right w:w="0" w:type="dxa"/>
        </w:tblCellMar>
      </w:tblPr>
      <w:tblGrid>
        <w:gridCol w:w="38"/>
        <w:gridCol w:w="29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(1)</w:t>
            </w:r>
          </w:p>
        </w:tc>
        <w:tc>
          <w:tcPr>
            <w:tcW w:w="1370" w:type="dxa"/>
            <w:tcBorders/>
            <w:vAlign w:val="center"/>
          </w:tcPr>
          <w:p>
            <w:pPr>
              <w:pStyle w:val="TableContents"/>
              <w:bidi w:val="0"/>
              <w:spacing w:before="0" w:after="283"/>
              <w:jc w:val="both"/>
              <w:rPr>
                <w:b/>
              </w:rPr>
            </w:pPr>
            <w:r>
              <w:rPr>
                <w:b/>
              </w:rPr>
              <w:t>Organization</w:t>
            </w:r>
          </w:p>
        </w:tc>
      </w:tr>
    </w:tbl>
    <w:p>
      <w:pPr>
        <w:pStyle w:val="TextBody"/>
        <w:bidi w:val="0"/>
        <w:spacing w:before="0" w:after="0"/>
        <w:ind w:left="0" w:right="0" w:hanging="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9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(a)</w:t>
            </w:r>
          </w:p>
        </w:tc>
        <w:tc>
          <w:tcPr>
            <w:tcW w:w="2345" w:type="dxa"/>
            <w:tcBorders/>
            <w:vAlign w:val="center"/>
          </w:tcPr>
          <w:p>
            <w:pPr>
              <w:pStyle w:val="TableContents"/>
              <w:bidi w:val="0"/>
              <w:spacing w:before="0" w:after="283"/>
              <w:jc w:val="both"/>
              <w:rPr>
                <w:b/>
                <w:i/>
              </w:rPr>
            </w:pPr>
            <w:r>
              <w:rPr>
                <w:b/>
                <w:i/>
              </w:rPr>
              <w:t>Description of Business</w:t>
            </w:r>
          </w:p>
        </w:tc>
      </w:tr>
    </w:tbl>
    <w:p>
      <w:pPr>
        <w:pStyle w:val="TextBody"/>
        <w:bidi w:val="0"/>
        <w:spacing w:before="0" w:after="0"/>
        <w:ind w:left="920" w:right="92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Inc. (the “Company” or “Complete Solaria”) is a residential solar installer headquartered in Fremont, California, which was formed through Complete Solar Holding Corporation’s acquisition of The Solaria Corporation (“Solaria”).</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a single legal entity as Complete Solar, Inc.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The capitalization structure was not changed because of the Reorganization as all shares of Complete Solar, Inc common stock and preferred stock were exchanged on a one for one basis with shares of Complete Solar Holdings common stock and preferred stock. The Reorganization was accounted for as a change in reporting entity for entities under common control. The historical assets and liabilities of Complete Solar, Inc. are transferred to Complete Solar Holdings at their carrying value, and there is no change to net income, other comprehensive income (loss), or any related per share amounts reported in the unaudited condensed consolidated financial statements requiring retrospective application.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Company entered into a business combination agreement, as amended on December 26, 2022 and January 17, 2023 (“Original Business Combination Agreement”) and as amended on May 26, 2023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Complete Solar Holding Corporation, a Delaware corporation, and Solaria, a Delaware corporation.</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contemplated by the Amended and Restated Business Combination Agreement were consummated on July 18, 2023 (“Closing Date”). Following the consummation of the Merger on the Closing Date, FACT changed its name to “Complete Solaria, Inc.”</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transactions contemplated by the Amended and Restated Business Combination Agreement, FACT affected a deregistration under the Cayman Islands Companies Act and a domestication under Section 388 of the Delaware’s General Corporation Law (the “DGCL” or “Domestication”). On the Closing Date, following the Domestication, First Merger Sub merged with and into Complete Solaria, with Complete Solaria surviving such merger as a wholly owned subsidiary of FACT (the “First Merger”), and immediately following the First Merger, Complete Solaria merged with and into Second Merger Sub, with Second Merger Sub surviving as a wholly owned subsidiary of FACT (the “Second Merger”), and Second Merger Sub changed its name to CS, LLC, and immediately following the Second Merger, Solaria merged with and into a newly formed Delaware limited liability company and wholly-owned subsidiary of FACT and changed its name to The Solaria Corporation LLC (“Third Merger Sub”), with Third Merger Sub surviving as a wholly-owned subsidiary of FACT (the “Additional Merger”, and together with the First Merger and the Second Merger, the “Mergers”).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Mergers:</w:t>
      </w:r>
    </w:p>
    <w:p>
      <w:pPr>
        <w:pStyle w:val="TextBody"/>
        <w:bidi w:val="0"/>
        <w:spacing w:before="0" w:after="0"/>
        <w:ind w:left="1520" w:right="9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share of the Company’s capital stock, inclusive of shares converted from 2022 Convertible Notes, issued and outstanding immediately prior to the Closing (“Legacy Complete Solaria Capital Stock”) were cancelled and exchanged into an aggregate of 25,494,332 shares of Complete Solaria Common Stock.</w:t>
            </w:r>
          </w:p>
        </w:tc>
      </w:tr>
    </w:tbl>
    <w:p>
      <w:pPr>
        <w:pStyle w:val="TextBody"/>
        <w:bidi w:val="0"/>
        <w:spacing w:before="0" w:after="0"/>
        <w:ind w:left="2240" w:right="92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(i) Meteora Special Opportunity Fund I, LP (“MSOF”), Meteora Capital Partners, LP (“MCP”) and Meteora Select Trading Opportunities Master, LP (“MSTO”) (with MSOF, MCP, and MSTO collectively as “Meteora”); (ii) Polar Multi-Strategy Master Fund (“Polar”), and (iii) Diametric True Alpha Market Neutral Master Fund, LP, Diametric True Alpha Enhanced Market Neutral Master Fund, LP, and Pinebridge Partners Master Fund, LP (collectively, “Sandia”) (together, the “FPA Funding PIPE Investors”) entered into separate subscription agreements (the “FPA Funding Amount PIPE Subscription Agreements”) pursuant to which, the FPA Funding PIPE Investors subscribed for on the Closing Date, an aggregate of 6,300,000 shares of FACT Class A Ordinary Shares, less, in the case of Meteora, 1,161,512 FACT Class A Ordinary Shares purchased by Meteora separately from third parties through a broker in the open market (“Recycled Shares”) in connection with the Forward Purchase Agreements (“FPAs”). Subsequent to the Closing Date, Complete Solaria entered into an additional FPA Funding PIPE Subscription Agreement with Meteora, to subscribe for and purchase, and Complete Solaria agreed to issue and sell, an aggregate of 420,000 shares of Complete Solaria Common Stock. The Company issued shares of Complete Solaria Common Stock underlying the FPAs as of the latter of the closing of the Mergers or execution of the FPAs.</w:t>
      </w:r>
    </w:p>
    <w:p>
      <w:pPr>
        <w:pStyle w:val="TextBody"/>
        <w:bidi w:val="0"/>
        <w:spacing w:before="0" w:after="0"/>
        <w:ind w:left="1440" w:right="9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certain investors (the “PIPE Investors”) purchased from the Company an aggregate of 1,570,000 shares of Complete Solaria Common Stock (the “PIPE Shares”) for a purchase price of $10.00 per share, for aggregate gross proceeds of $15.7 million (the “PIPE Financing”), including $3.5 million that was funded prior to the Closing Date, pursuant to subscription agreements (the “Subscription Agreements”). At the time of the PIPE Financing, Complete Solaria issued an additional 60,000 shares to certain investors as an incentive to participate in the PIPE Financing.</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or around the Closing Date, pursuant to the New Money PIPE Subscription Agreements, certain investors affiliated with the New Money PIPE Subscription Agreements (“New Money PIPE Investors”) agreed to subscribe for and purchase, and Complete Solaria agreed to issue and sell to the New Money PIPE Investors an aggregate of 120,000 shares of Complete Solaria Common Stock for a purchase price of $5.00 per share, for aggregate gross proceeds of $0.6 million. Pursuant to its New Money PIPE Subscription Agreement, Complete Solaria issued an additional 60,000 shares of Complete Solaria Common Stock in consideration of certain services provided by it in the structuring of its FPA and the transactions described therein.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the Closing, Complete Solaria issued an additional 193,976 shares of Complete Solaria Common Stock to the sponsors for reimbursing sponsors’ transfer to certain counterparties and issued an additional 150,000 shares of Complete Solaria Common Stock to an FPA investor for services provided in connection with the Mergers.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March 2023, holders of 23,256,504 of the originally issued 34,500,000 FACT Class A Ordinary shares exercised their rights to redeem those shares for cash, and immediately prior to the Closing there were 11,243,496 FACT Class A Ordinary Shares that remained outstanding. At the Closing, holders of 7,784,739 shares of Class A common stock of FACT exercised their rights to redeem those shares for cash, for an aggregate of approximately $82.2 million which was paid to such holders at Closing. The remaining FACT Class A Ordinary Share converted, on a one-for-one basis, into one share of Complete Solaria Common Stock;</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issued and outstanding FACT Class B Ordinary Share converted, on a one-for-one basis, into one share of Complete Solaria Common Stock.</w:t>
            </w:r>
          </w:p>
        </w:tc>
      </w:tr>
    </w:tbl>
    <w:p>
      <w:pPr>
        <w:pStyle w:val="TextBody"/>
        <w:bidi w:val="0"/>
        <w:spacing w:before="0" w:after="0"/>
        <w:ind w:left="920" w:right="9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Complete Solar Holdings acquired Solaria (as described in Note 6 – Business Combination) and changed its name to Complete Solaria, Inc. On August 18, 2023, the Company entered into a Non-Binding Letter of Intent to sell certain of Complete Solaria’s North American solar panel assets to Maxeon, Inc. (“Maxeon”). In October 2023, the Company completed the sale of its solar panel business to Maxeon. The disposition met the criteria for held for sale and discontinued operations classification as of October 1, 2023. Refer to Note 1(c) – Divestiture, Note 8 – Divestiture, and Note 22 – Subsequent Events.</w:t>
      </w:r>
    </w:p>
    <w:p>
      <w:pPr>
        <w:pStyle w:val="TextBody"/>
        <w:bidi w:val="0"/>
        <w:spacing w:before="0" w:after="0"/>
        <w:ind w:left="1440" w:right="92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29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(b)</w:t>
            </w:r>
          </w:p>
        </w:tc>
        <w:tc>
          <w:tcPr>
            <w:tcW w:w="8855" w:type="dxa"/>
            <w:tcBorders/>
            <w:vAlign w:val="center"/>
          </w:tcPr>
          <w:p>
            <w:pPr>
              <w:pStyle w:val="TableContents"/>
              <w:bidi w:val="0"/>
              <w:spacing w:before="0" w:after="283"/>
              <w:jc w:val="both"/>
              <w:rPr>
                <w:b/>
                <w:i/>
              </w:rPr>
            </w:pPr>
            <w:r>
              <w:rPr>
                <w:b/>
                <w:i/>
              </w:rPr>
              <w:t>Basis of Presentation of Unaudited Interim Condensed Consolidated Financial Statements</w:t>
            </w:r>
          </w:p>
        </w:tc>
      </w:tr>
    </w:tbl>
    <w:p>
      <w:pPr>
        <w:pStyle w:val="TextBody"/>
        <w:bidi w:val="0"/>
        <w:spacing w:before="0" w:after="0"/>
        <w:ind w:left="1520" w:right="108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of the Company have been prepared in accordance with accounting principles generally accepted in the United States of America (“GAAP”) for interim financial information and with the instructions for interim reporting as prescribed by the Securities and Exchange Commission. Accordingly, they do not include all of the information and footnotes required by GAAP for complete condensed consolidated financial statements. The unaudited condensed consolidated financial statements include the accounts of the Company and its wholly owned subsidiaries. Intercompany accounts and transactions are eliminated upon consolidation.</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2023, the Company changed its fiscal quarters to four thirteen-week periods within a standard calendar year. Each annual reporting period begins on January 1 and ends on December 31. Since the fiscal quarter change was made after the end of fiscal 2022, the Company will continue to report prior year financial information based on its prior year fiscal calendar. The Company’s financial results for the thirteen and thirty-nine weeks ended October 1, 2023 are compared to its results for the three and nine months ended September 30, 2022. The comparison of these periods is primarily affected by the difference of one day between the first three quarters of fiscal 2023 and first three quarters of 2022, which the Company notes is immaterial.</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(consisting of normal recurring accruals) considered necessary to make the unaudited condensed consolidated financial statements not misleading have been included. The information included in this report should be read in conjunction with the audited consolidated financial statements as of and for the year ended December 31, 2022, as filed with the Securities and Exchange Commission (“SEC”) on Form S-4. The condensed consolidated balance sheet as of December 31, 2022 included herein was derived from the audited consolidated financial statements as of that date.</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financial results are not necessarily indicative of the results that may be expected for any future period.</w:t>
      </w:r>
    </w:p>
    <w:p>
      <w:pPr>
        <w:pStyle w:val="TextBody"/>
        <w:bidi w:val="0"/>
        <w:spacing w:before="0" w:after="0"/>
        <w:ind w:left="1520" w:right="1080" w:hanging="0"/>
        <w:jc w:val="left"/>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275"/>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i/>
              </w:rPr>
            </w:pPr>
            <w:r>
              <w:rPr>
                <w:b/>
                <w:i/>
              </w:rPr>
              <w:t>(c)</w:t>
            </w:r>
          </w:p>
        </w:tc>
        <w:tc>
          <w:tcPr>
            <w:tcW w:w="1085" w:type="dxa"/>
            <w:tcBorders/>
            <w:vAlign w:val="center"/>
          </w:tcPr>
          <w:p>
            <w:pPr>
              <w:pStyle w:val="TableContents"/>
              <w:bidi w:val="0"/>
              <w:spacing w:before="0" w:after="283"/>
              <w:jc w:val="both"/>
              <w:rPr>
                <w:b/>
                <w:i/>
              </w:rPr>
            </w:pPr>
            <w:r>
              <w:rPr>
                <w:b/>
                <w:i/>
              </w:rPr>
              <w:t>Divestiture</w:t>
            </w:r>
          </w:p>
        </w:tc>
      </w:tr>
    </w:tbl>
    <w:p>
      <w:pPr>
        <w:pStyle w:val="TextBody"/>
        <w:bidi w:val="0"/>
        <w:spacing w:before="0" w:after="0"/>
        <w:ind w:left="1520" w:right="1241"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2023, the Company entered into a Non-Binding Letter of Intent to sell certain of Complete Solaria’s North American solar panel assets to Maxeon. On September 20, 2023, the Company and Maxeon entered into an Asset Purchase Agreement (the “Disposal Agreement”) for the sale of certain assets, inclusive of certain intellectual property and customer contracts, to Maxeon. On October 6, 2023, the Company completed the sale of certain of Complete Solaria’s North American solar panel assets, inclusive of certain intellectual property and customer contracts, to Maxeon, pursuant to the terms of the Disposal Agreement. Under the terms of the Disposal Agreement, Maxeon agreed to acquire certain assets and employees of Complete Solaria, for an aggregate purchase price consisting of 1,100,000 shares of Maxeon common stock.</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divestiture represents a strategic shift in Complete Solaria’s business and qualifies as held for sale and as a discontinued operation as of October 1, 2023. Based on the held for sale classification of the assets, the Company has reduced the carrying value of the disposal group to its fair value, less cost to sell and recorded an impairment loss associated with the held for sale intangible assets and goodwill. As a result, the Company classified the results of its solar panel business in discontinued operations in its unaudited condensed consolidated statements of operations and comprehensive income (loss) for all periods presented. The cash flows related to discontinued operations have been segregated and are included in the unaudited condensed consolidated statements of cash flows for all periods presented. Unless otherwise noted, discussion within the notes to the unaudited condensed consolidated financial statements relates to continuing operations only and excludes the historical activities of the North American panel business. See Note 8 – Divestiture for additional information.</w:t>
      </w:r>
    </w:p>
    <w:p>
      <w:pPr>
        <w:pStyle w:val="TextBody"/>
        <w:bidi w:val="0"/>
        <w:spacing w:before="0" w:after="0"/>
        <w:ind w:left="1520" w:right="1241" w:hanging="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29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(d)</w:t>
            </w:r>
          </w:p>
        </w:tc>
        <w:tc>
          <w:tcPr>
            <w:tcW w:w="2930" w:type="dxa"/>
            <w:tcBorders/>
            <w:vAlign w:val="center"/>
          </w:tcPr>
          <w:p>
            <w:pPr>
              <w:pStyle w:val="TableContents"/>
              <w:bidi w:val="0"/>
              <w:spacing w:before="0" w:after="283"/>
              <w:jc w:val="both"/>
              <w:rPr>
                <w:b/>
                <w:i/>
              </w:rPr>
            </w:pPr>
            <w:r>
              <w:rPr>
                <w:b/>
                <w:i/>
              </w:rPr>
              <w:t>Liquidity and Going Concern</w:t>
            </w:r>
          </w:p>
        </w:tc>
      </w:tr>
    </w:tbl>
    <w:p>
      <w:pPr>
        <w:pStyle w:val="TextBody"/>
        <w:bidi w:val="0"/>
        <w:spacing w:before="0" w:after="0"/>
        <w:ind w:left="1520" w:right="1241"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the Company has incurred recurring losses and negative cash flows from operations. The Company incurred net losses of $51.0 million and $73.4 million during the thirteen and thirty-nine weeks ended October 1, 2023, respectively, and net losses of $4.1 million and $10.8 million during the three and nine months ended September 30, 2022, respectively, and had an accumulated deficit of $327.3 million as of October 1, 2023. The Company had cash and cash equivalents of $1.7 million as of October 1, 2023. These conditions raise substantial doubt about the Company’s ability to continue as a going concern. These unaudited condensed consolidated financial statements do not include any adjustments that might result from the outcome of this uncertainty. Historically, the Company’s activities have been financed through private placements of equity securities, debt and proceeds from the Merger. The Company expects to incur significant operating expenses as it continues to grow its business. The Company believes that its operating losses and negative operating cash flows will continue into the foreseeable future. The Company’s history of recurring losses, negative operating cash flows since inception and the need to raise additional funding to meet its obligations and finance its operations raise substantial doubt about the Company’s ability to continue as a going concern. The Company’s ability to continue as a going concern requires that the Company obtains sufficient funding to meet its obligations and finance its operations. 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entity’s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1520" w:right="92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75"/>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i/>
              </w:rPr>
            </w:pPr>
            <w:r>
              <w:rPr>
                <w:b/>
                <w:i/>
              </w:rPr>
              <w:t>(e)</w:t>
            </w:r>
          </w:p>
        </w:tc>
        <w:tc>
          <w:tcPr>
            <w:tcW w:w="5870" w:type="dxa"/>
            <w:tcBorders/>
            <w:vAlign w:val="center"/>
          </w:tcPr>
          <w:p>
            <w:pPr>
              <w:pStyle w:val="TableContents"/>
              <w:bidi w:val="0"/>
              <w:spacing w:before="0" w:after="283"/>
              <w:jc w:val="both"/>
              <w:rPr>
                <w:b/>
                <w:i/>
              </w:rPr>
            </w:pPr>
            <w:r>
              <w:rPr>
                <w:b/>
                <w:i/>
              </w:rPr>
              <w:t>Immaterial Correction of Prior Period Financial Statements</w:t>
            </w:r>
          </w:p>
        </w:tc>
      </w:tr>
    </w:tbl>
    <w:p>
      <w:pPr>
        <w:pStyle w:val="TextBody"/>
        <w:bidi w:val="0"/>
        <w:spacing w:before="0" w:after="0"/>
        <w:ind w:left="920" w:right="920" w:firstLine="144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issuance of the Company’s unaudited condensed consolidated financial statements for the three and nine months ended September 30, 2022, the Company identified a misstatement in redeemable convertible preferred stock and other income (expense), net, related to the accounting for the issuance of its Series D preferred stock and conversion of SAFEs and convertible notes. Such misstatement relates to the use of an incorrect factor for the conversion of these instruments into preferred stock.</w:t>
      </w:r>
    </w:p>
    <w:p>
      <w:pPr>
        <w:pStyle w:val="TextBody"/>
        <w:bidi w:val="0"/>
        <w:spacing w:before="0" w:after="0"/>
        <w:ind w:left="1440" w:right="9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considered both quantitative and qualitative factors and determined the effect of the misstatement was immaterial to the previously issued unaudited condensed consolidated financial statements for the three and nine months ended September 30, 2022. The Company identified and corrected the misstatement prior to the issuance of the consolidated financial statements for the year ended December 31, 2022, which were filed in FACT’s S-4 registration statement. The adjustment in the fourth quarter resulted in a $4.4 million decrease in redeemable convertible preferred stock and other income (expense), net, as well as net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statements of operations and comprehensive income (loss) and statements of stockholders’ deficit for the three and nine months ended September 30, 2022 reflect such adjustment. Accordingly, the accompanying unaudited condensed consolidated statements of cash flows reflect such adjustment, and there was no change to net cash used in operating activities from continuing operations, net cash used in investing activities from continuing operations, or net cash provided by financing activities from continuing operations for the nine months ended September 30, 2022.</w:t>
      </w:r>
    </w:p>
    <w:p>
      <w:pPr>
        <w:pStyle w:val="TextBody"/>
        <w:bidi w:val="0"/>
        <w:spacing w:before="0" w:after="0"/>
        <w:ind w:left="1440" w:right="920" w:hanging="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29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(2)</w:t>
            </w:r>
          </w:p>
        </w:tc>
        <w:tc>
          <w:tcPr>
            <w:tcW w:w="4475"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112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29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(a)</w:t>
            </w:r>
          </w:p>
        </w:tc>
        <w:tc>
          <w:tcPr>
            <w:tcW w:w="1655" w:type="dxa"/>
            <w:tcBorders/>
            <w:vAlign w:val="center"/>
          </w:tcPr>
          <w:p>
            <w:pPr>
              <w:pStyle w:val="TableContents"/>
              <w:bidi w:val="0"/>
              <w:spacing w:before="0" w:after="283"/>
              <w:jc w:val="both"/>
              <w:rPr>
                <w:b/>
                <w:i/>
              </w:rPr>
            </w:pPr>
            <w:r>
              <w:rPr>
                <w:b/>
                <w:i/>
              </w:rPr>
              <w:t>Use of Estimates</w:t>
            </w:r>
          </w:p>
        </w:tc>
      </w:tr>
    </w:tbl>
    <w:p>
      <w:pPr>
        <w:pStyle w:val="TextBody"/>
        <w:bidi w:val="0"/>
        <w:spacing w:before="0" w:after="0"/>
        <w:ind w:left="1520" w:right="1107"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unaudited condensed consolidated financial statements in conformity with GAAP requires management to make estimates and assumptions that affect the reported amounts of assets, liabilities, revenue, expenses, as well as related disclosure of contingent assets and liabilities. Significant estimates and assumptions made by management include, but are not limited to, the determination of:</w:t>
      </w:r>
    </w:p>
    <w:p>
      <w:pPr>
        <w:pStyle w:val="TextBody"/>
        <w:bidi w:val="0"/>
        <w:spacing w:before="0" w:after="0"/>
        <w:ind w:left="1627" w:right="0" w:hanging="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allocation of the transaction price to identified performance obligations;</w:t>
            </w:r>
          </w:p>
        </w:tc>
      </w:tr>
    </w:tbl>
    <w:p>
      <w:pPr>
        <w:pStyle w:val="TextBody"/>
        <w:bidi w:val="0"/>
        <w:spacing w:before="0" w:after="0"/>
        <w:ind w:left="1627" w:right="920" w:firstLine="263"/>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170"/>
        <w:gridCol w:w="2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of warrant liabilities;</w:t>
            </w:r>
          </w:p>
        </w:tc>
      </w:tr>
    </w:tbl>
    <w:p>
      <w:pPr>
        <w:pStyle w:val="TextBody"/>
        <w:bidi w:val="0"/>
        <w:spacing w:before="0" w:after="0"/>
        <w:ind w:left="1627" w:right="920" w:firstLine="263"/>
        <w:jc w:val="both"/>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75"/>
        <w:gridCol w:w="170"/>
        <w:gridCol w:w="6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value of assets acquired and liabilities assumed for business combinations;</w:t>
            </w:r>
          </w:p>
        </w:tc>
      </w:tr>
    </w:tbl>
    <w:p>
      <w:pPr>
        <w:pStyle w:val="TextBody"/>
        <w:bidi w:val="0"/>
        <w:spacing w:before="0" w:after="0"/>
        <w:ind w:left="1627" w:right="920" w:firstLine="263"/>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170"/>
        <w:gridCol w:w="4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reserve methodology for inventory obsolescence;</w:t>
            </w:r>
          </w:p>
        </w:tc>
      </w:tr>
    </w:tbl>
    <w:p>
      <w:pPr>
        <w:pStyle w:val="TextBody"/>
        <w:bidi w:val="0"/>
        <w:spacing w:before="0" w:after="0"/>
        <w:ind w:left="1627" w:right="920" w:firstLine="263"/>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170"/>
        <w:gridCol w:w="3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reserve methodology for product warranty;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170"/>
        <w:gridCol w:w="5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reserve methodology for the allowance for credit losses; and</w:t>
            </w:r>
          </w:p>
        </w:tc>
      </w:tr>
    </w:tbl>
    <w:p>
      <w:pPr>
        <w:pStyle w:val="TextBody"/>
        <w:bidi w:val="0"/>
        <w:spacing w:before="0" w:after="0"/>
        <w:ind w:left="1627" w:right="0" w:firstLine="263"/>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value of the forward purchase agreements.</w:t>
            </w:r>
          </w:p>
        </w:tc>
      </w:tr>
    </w:tbl>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there are material differences between these estimates and actual results, the Company’s financial condition or operating results will be affected.</w:t>
      </w:r>
    </w:p>
    <w:p>
      <w:pPr>
        <w:pStyle w:val="TextBody"/>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9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(b)</w:t>
            </w:r>
          </w:p>
        </w:tc>
        <w:tc>
          <w:tcPr>
            <w:tcW w:w="3500" w:type="dxa"/>
            <w:tcBorders/>
            <w:vAlign w:val="center"/>
          </w:tcPr>
          <w:p>
            <w:pPr>
              <w:pStyle w:val="TableContents"/>
              <w:bidi w:val="0"/>
              <w:spacing w:before="0" w:after="283"/>
              <w:jc w:val="both"/>
              <w:rPr>
                <w:b/>
                <w:i/>
              </w:rPr>
            </w:pPr>
            <w:r>
              <w:rPr>
                <w:b/>
                <w:i/>
              </w:rPr>
              <w:t>Supply Chain Constraints and Risk</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a very small number of suppliers of solar energy systems and other equipment. If any of the Company’s suppliers was unable or unwilling to provide the Company with contracted quantities in a timely manner at prices, quality levels and volumes acceptable to the Company, the Company would have very limited alternatives for supply, and the Company may not be able find suitable replacements for the Company’s customers, or at all. Such an event could materially adversely affect the Company’s business, prospects, financial condition and results of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global supply chain and the Company’s industry have experienced significant disruptions in recent periods. The Company has seen supply chain challenges and logistics constraints increase, including shortages of panels, inverters, batteries and associated component parts for inverters and solar energy systems available for purchase. In certain cases, this has caused delays in critical equipment and inventory, longer lead times, and has resulted in cost volatility. These shortages and delays can be attributed in part to the COVID-19 pandemic and resulting government action, broader macroeconomic conditions, and have been exacerbated by the ongoing conflicts in Ukraine and Israel. While the Company believes that a majority of the Company’s suppliers have secured sufficient supply to permit them to continue delivery and installations through the end of 2023, if these shortages and delays persist into 2024, they could adversely affect the timing of when battery energy storage systems can be delivered and installed, and when (or if) the Company can begin to generate revenue from those systems. In addition, the Company has experienced and is experiencing varying levels of volatility in costs of equipment and labor resulting in part from disruptions caused by general global economic conditions, including inflationary pressures and the COVID-19 pandemic.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cannot predict the full effects these events will have on the Company’s business, cash flows, liquidity, financial condition and results of operations at this time due to numerous uncertainties. In the event the Company is unable to mitigate the impact of delays or price volatility in solar energy systems, raw materials, and freight, it could materially adversely affect the Company’s business, prospects,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75"/>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i/>
              </w:rPr>
            </w:pPr>
            <w:r>
              <w:rPr>
                <w:b/>
                <w:i/>
              </w:rPr>
              <w:t>(c)</w:t>
            </w:r>
          </w:p>
        </w:tc>
        <w:tc>
          <w:tcPr>
            <w:tcW w:w="2120" w:type="dxa"/>
            <w:tcBorders/>
            <w:vAlign w:val="center"/>
          </w:tcPr>
          <w:p>
            <w:pPr>
              <w:pStyle w:val="TableContents"/>
              <w:bidi w:val="0"/>
              <w:spacing w:before="0" w:after="283"/>
              <w:jc w:val="both"/>
              <w:rPr>
                <w:b/>
                <w:i/>
              </w:rPr>
            </w:pPr>
            <w:r>
              <w:rPr>
                <w:b/>
                <w:i/>
              </w:rPr>
              <w:t>Segment Information</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its business in one operating segment that provides custom solar solutions through a standardized platform to its residential solar providers and companies to facilitate the sale and installation of solar energy systems under a single product group. The Company’s Chief Executive Officer (“CEO”) is the Chief Operating Decision Maker (“CODM”). The CODM allocates resources and makes operating decisions based on financial information presented on a consolidated basis. The profitability of the Company’s product group is not a determining factor in allocating resources and the CODM does not evaluate profitability below the level of the consolidated company. All the Company’s long-lived assets are maintained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9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(d)</w:t>
            </w:r>
          </w:p>
        </w:tc>
        <w:tc>
          <w:tcPr>
            <w:tcW w:w="1565" w:type="dxa"/>
            <w:tcBorders/>
            <w:vAlign w:val="center"/>
          </w:tcPr>
          <w:p>
            <w:pPr>
              <w:pStyle w:val="TableContents"/>
              <w:bidi w:val="0"/>
              <w:spacing w:before="0" w:after="283"/>
              <w:jc w:val="both"/>
              <w:rPr>
                <w:b/>
                <w:i/>
              </w:rPr>
            </w:pPr>
            <w:r>
              <w:rPr>
                <w:b/>
                <w:i/>
              </w:rPr>
              <w:t>Restricted Cash</w:t>
            </w:r>
          </w:p>
        </w:tc>
      </w:tr>
    </w:tbl>
    <w:p>
      <w:pPr>
        <w:pStyle w:val="TextBody"/>
        <w:bidi w:val="0"/>
        <w:spacing w:before="0" w:after="0"/>
        <w:ind w:left="11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all cash for which usage is limited by contractual provisions as restricted cash. Restricted cash balance as of October 1, 2023 and December 31, 2022, was $3.8 million and $3.9 million, respectively. The restricted cash consists of deposits in money market accounts, which is used as cash collateral backing letters of credit related to customs duty authorities’ requirements. The Company has presented these balances under restricted cash, as a long-term asset, in the unaudited condensed consolidated balance sheets. The Company reconciles cash, cash equivalents, and restricted cash reported in the unaudited condensed consolidated balance sheets that aggregate to the beginning and ending balances shown in the unaudited condensed consolidated statements of cash flows as follows (in thousands):</w:t>
      </w:r>
    </w:p>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4535"/>
        <w:gridCol w:w="60"/>
        <w:gridCol w:w="325"/>
        <w:gridCol w:w="1300"/>
        <w:gridCol w:w="60"/>
        <w:gridCol w:w="60"/>
        <w:gridCol w:w="391"/>
        <w:gridCol w:w="1564"/>
        <w:gridCol w:w="75"/>
      </w:tblGrid>
      <w:tr>
        <w:trPr/>
        <w:tc>
          <w:tcPr>
            <w:tcW w:w="4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1,661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4,409</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3,758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12" w:space="0" w:color="000000"/>
            </w:tcBorders>
            <w:shd w:fill="FFFFFF" w:val="clear"/>
            <w:tcMar>
              <w:bottom w:w="28" w:type="dxa"/>
            </w:tcMar>
            <w:vAlign w:val="center"/>
          </w:tcPr>
          <w:p>
            <w:pPr>
              <w:pStyle w:val="TableContents"/>
              <w:bidi w:val="0"/>
              <w:spacing w:before="0" w:after="283"/>
              <w:jc w:val="right"/>
              <w:rPr/>
            </w:pPr>
            <w:r>
              <w:rPr/>
              <w:t>3,907</w:t>
            </w:r>
          </w:p>
        </w:tc>
        <w:tc>
          <w:tcPr>
            <w:tcW w:w="7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32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5,419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10" w:space="0" w:color="000000"/>
            </w:tcBorders>
            <w:shd w:fill="CCEEFF" w:val="clear"/>
            <w:tcMar>
              <w:bottom w:w="28" w:type="dxa"/>
            </w:tcMar>
            <w:vAlign w:val="center"/>
          </w:tcPr>
          <w:p>
            <w:pPr>
              <w:pStyle w:val="TableContents"/>
              <w:bidi w:val="0"/>
              <w:spacing w:before="0" w:after="283"/>
              <w:jc w:val="right"/>
              <w:rPr/>
            </w:pPr>
            <w:r>
              <w:rPr/>
              <w:t>8,316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2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75"/>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i/>
              </w:rPr>
            </w:pPr>
            <w:r>
              <w:rPr>
                <w:b/>
                <w:i/>
              </w:rPr>
              <w:t>(e)</w:t>
            </w:r>
          </w:p>
        </w:tc>
        <w:tc>
          <w:tcPr>
            <w:tcW w:w="2135" w:type="dxa"/>
            <w:tcBorders/>
            <w:vAlign w:val="center"/>
          </w:tcPr>
          <w:p>
            <w:pPr>
              <w:pStyle w:val="TableContents"/>
              <w:bidi w:val="0"/>
              <w:spacing w:before="0" w:after="283"/>
              <w:jc w:val="both"/>
              <w:rPr>
                <w:b/>
                <w:i/>
              </w:rPr>
            </w:pPr>
            <w:r>
              <w:rPr>
                <w:b/>
                <w:i/>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table below for the Company’s revenue recognized by product and service type (in thousands):</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3110"/>
        <w:gridCol w:w="60"/>
        <w:gridCol w:w="280"/>
        <w:gridCol w:w="1360"/>
        <w:gridCol w:w="60"/>
        <w:gridCol w:w="60"/>
        <w:gridCol w:w="251"/>
        <w:gridCol w:w="1224"/>
        <w:gridCol w:w="60"/>
        <w:gridCol w:w="60"/>
        <w:gridCol w:w="210"/>
        <w:gridCol w:w="1025"/>
        <w:gridCol w:w="60"/>
        <w:gridCol w:w="60"/>
        <w:gridCol w:w="250"/>
        <w:gridCol w:w="1225"/>
        <w:gridCol w:w="75"/>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Thirteen 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Three Months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Thirty-Nine</w:t>
              <w:br/>
              <w:t>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Nine Months</w:t>
              <w:br/>
              <w:t>Ended</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Solar energy system installations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1360" w:type="dxa"/>
            <w:tcBorders/>
            <w:shd w:fill="CCEEFF" w:val="clear"/>
            <w:vAlign w:val="center"/>
          </w:tcPr>
          <w:p>
            <w:pPr>
              <w:pStyle w:val="TableContents"/>
              <w:bidi w:val="0"/>
              <w:spacing w:before="0" w:after="283"/>
              <w:jc w:val="right"/>
              <w:rPr/>
            </w:pPr>
            <w:r>
              <w:rPr/>
              <w:t>23,915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11,120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64,511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46,214</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Software enhanced services</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0" w:type="dxa"/>
            <w:tcBorders>
              <w:bottom w:val="single" w:sz="12" w:space="0" w:color="000000"/>
            </w:tcBorders>
            <w:shd w:fill="FFFFFF" w:val="clear"/>
            <w:tcMar>
              <w:bottom w:w="28" w:type="dxa"/>
            </w:tcMar>
            <w:vAlign w:val="center"/>
          </w:tcPr>
          <w:p>
            <w:pPr>
              <w:pStyle w:val="TableContents"/>
              <w:bidi w:val="0"/>
              <w:spacing w:before="0" w:after="283"/>
              <w:jc w:val="right"/>
              <w:rPr/>
            </w:pPr>
            <w:r>
              <w:rPr/>
              <w:t>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1,140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2,376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2,760</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0" w:type="dxa"/>
            <w:tcBorders>
              <w:bottom w:val="double" w:sz="10" w:space="0" w:color="000000"/>
            </w:tcBorders>
            <w:shd w:fill="CCEEFF" w:val="clear"/>
            <w:tcMar>
              <w:bottom w:w="28" w:type="dxa"/>
            </w:tcMar>
            <w:vAlign w:val="center"/>
          </w:tcPr>
          <w:p>
            <w:pPr>
              <w:pStyle w:val="TableContents"/>
              <w:bidi w:val="0"/>
              <w:spacing w:before="0" w:after="283"/>
              <w:jc w:val="right"/>
              <w:rPr/>
            </w:pPr>
            <w:r>
              <w:rPr/>
              <w:t>24,590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12,260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66,887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48,974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revenue recognized by geography based on the location of the customer for the thirteen and thirty-nine weeks ended October 1, 2023 and three and nine months ended September 30, 2022 was in the United States.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practical expedient not to disclose remaining performance obligations for contracts that are less than one year in length. The Company has deferred $1.0 million and $1.3 million associated with a long-term service contract as of October 1, 2023 and December 31, 2022,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Incremental costs of obtaining customer contracts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 in accordance with the timing of the related revenue recognition. Amortization of deferred commissions is recorded as sales commissions in the accompanying unaudited condensed consolidated statements of operations and comprehensive income (loss). As of October 1, 2023 and December 31, 2022, deferred commissions were $5.5 million and $2.8 million, respectively, which were included in prepaid expenses and other current assets in the accompanying unaudited condensed consolidated balance sheets.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invoices its customers upon completion of set milestones, generally upon installation of the solar energy system with the remaining balance invoiced upon passing the final building inspection. Standard payment terms to customers range from 30 to 60 days. When the Company receives consideration, or when such consideration is unconditionally due, from a customer prior to delivering goods or services to the customer under the terms of a customer agreement, the Company records deferred revenue. As installation projects are typically completed within 12-months, the majority of the Company’s deferred revenue is reflected in current liabilities in the accompanying unaudited condensed consolidated balance sheets. The Company also has deferred revenue associated with a long-term service contract which is reflected in non-current liabilities in the accompanying unaudited condensed consolidated balance sheets. The amount of revenue recognized during the thirty-nine weeks ended October 1, 2023 and the nine months ended September 30, 2022 that was included in deferred revenue at the beginning of the year was $2.5 million and $3.9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60"/>
        <w:gridCol w:w="2600"/>
      </w:tblGrid>
      <w:tr>
        <w:trPr/>
        <w:tc>
          <w:tcPr>
            <w:tcW w:w="260" w:type="dxa"/>
            <w:tcBorders/>
            <w:vAlign w:val="center"/>
          </w:tcPr>
          <w:p>
            <w:pPr>
              <w:pStyle w:val="TableContents"/>
              <w:bidi w:val="0"/>
              <w:spacing w:before="0" w:after="283"/>
              <w:jc w:val="left"/>
              <w:rPr>
                <w:b/>
                <w:i/>
              </w:rPr>
            </w:pPr>
            <w:r>
              <w:rPr>
                <w:b/>
                <w:i/>
              </w:rPr>
              <w:t>(f)</w:t>
            </w:r>
          </w:p>
        </w:tc>
        <w:tc>
          <w:tcPr>
            <w:tcW w:w="2600" w:type="dxa"/>
            <w:tcBorders/>
            <w:vAlign w:val="center"/>
          </w:tcPr>
          <w:p>
            <w:pPr>
              <w:pStyle w:val="TableContents"/>
              <w:bidi w:val="0"/>
              <w:spacing w:before="0" w:after="283"/>
              <w:jc w:val="both"/>
              <w:rPr>
                <w:b/>
                <w:i/>
              </w:rPr>
            </w:pPr>
            <w:r>
              <w:rPr>
                <w:b/>
                <w:i/>
              </w:rPr>
              <w:t>Fair Value Measurements</w:t>
            </w:r>
          </w:p>
        </w:tc>
      </w:tr>
    </w:tbl>
    <w:p>
      <w:pPr>
        <w:pStyle w:val="TextBody"/>
        <w:bidi w:val="0"/>
        <w:spacing w:before="0" w:after="0"/>
        <w:ind w:left="11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15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inputs: Unadjusted quoted prices in active markets for identical assets or liabilities accessible to the reporting entity at the measurement date.</w:t>
            </w:r>
          </w:p>
        </w:tc>
      </w:tr>
    </w:tbl>
    <w:p>
      <w:pPr>
        <w:pStyle w:val="TextBody"/>
        <w:bidi w:val="0"/>
        <w:spacing w:before="0" w:after="0"/>
        <w:ind w:left="22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inputs: Other than quoted prices included in Level 1 inputs that are observable for the asset or liability, either directly or indirectly, for substantially the full term of the asset or liability.</w:t>
            </w:r>
          </w:p>
        </w:tc>
      </w:tr>
    </w:tbl>
    <w:p>
      <w:pPr>
        <w:pStyle w:val="TextBody"/>
        <w:bidi w:val="0"/>
        <w:spacing w:before="0" w:after="0"/>
        <w:ind w:left="22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0"/>
        <w:ind w:left="1920" w:right="0" w:hanging="30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held by the Company measured at fair value on a recurring basis as of October 1, 2023 and December 31, 2022 include cash and cash equivalents, accounts receivable, accounts payable, accrued expenses, the warrant liabilities and FPA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and accrued expenses approximate their fair value because of their short-term nature (classified as Level 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liabilities and FPA liabilities are measured at fair value using Level 3 inputs. The Company records subsequent adjustments to reflect the increase or decrease in estimated fair value at each reporting date within the unaudited condensed consolidated statements of operations and comprehensive income (loss) as a component of other income (expense), net.</w:t>
      </w:r>
    </w:p>
    <w:p>
      <w:pPr>
        <w:pStyle w:val="TextBody"/>
        <w:bidi w:val="0"/>
        <w:spacing w:before="0" w:after="0"/>
        <w:ind w:left="153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305"/>
        <w:gridCol w:w="2120"/>
      </w:tblGrid>
      <w:tr>
        <w:trPr/>
        <w:tc>
          <w:tcPr>
            <w:tcW w:w="305" w:type="dxa"/>
            <w:tcBorders/>
            <w:vAlign w:val="center"/>
          </w:tcPr>
          <w:p>
            <w:pPr>
              <w:pStyle w:val="TableContents"/>
              <w:bidi w:val="0"/>
              <w:spacing w:before="0" w:after="283"/>
              <w:jc w:val="left"/>
              <w:rPr>
                <w:b/>
                <w:i/>
              </w:rPr>
            </w:pPr>
            <w:r>
              <w:rPr>
                <w:b/>
                <w:i/>
              </w:rPr>
              <w:t>(g)</w:t>
            </w:r>
          </w:p>
        </w:tc>
        <w:tc>
          <w:tcPr>
            <w:tcW w:w="2120" w:type="dxa"/>
            <w:tcBorders/>
            <w:vAlign w:val="center"/>
          </w:tcPr>
          <w:p>
            <w:pPr>
              <w:pStyle w:val="TableContents"/>
              <w:bidi w:val="0"/>
              <w:spacing w:before="0" w:after="283"/>
              <w:jc w:val="both"/>
              <w:rPr>
                <w:b/>
                <w:i/>
              </w:rPr>
            </w:pPr>
            <w:r>
              <w:rPr>
                <w:b/>
                <w:i/>
              </w:rPr>
              <w:t>Direct Offering Costs</w:t>
            </w:r>
          </w:p>
        </w:tc>
      </w:tr>
    </w:tbl>
    <w:p>
      <w:pPr>
        <w:pStyle w:val="TextBody"/>
        <w:bidi w:val="0"/>
        <w:spacing w:before="0" w:after="0"/>
        <w:ind w:left="11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offering costs represent legal, accounting and other direct costs related to the Mergers, which was consummated in July 2023. In accounting for the Mergers, direct offering costs of approximately $5.7 million were reclassified to additional paid-in capital and netted against the Mergers proceeds received upon close. As of October 1, 2023 and December 31, 2022, the Company had no deferred offering costs included within prepaid expenses and other current assets in its unaudited condensed consolidated balance sheets.</w:t>
      </w:r>
    </w:p>
    <w:p>
      <w:pPr>
        <w:pStyle w:val="TextBody"/>
        <w:bidi w:val="0"/>
        <w:spacing w:before="0" w:after="0"/>
        <w:ind w:left="153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60"/>
        <w:gridCol w:w="1640"/>
      </w:tblGrid>
      <w:tr>
        <w:trPr/>
        <w:tc>
          <w:tcPr>
            <w:tcW w:w="26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(h)</w:t>
            </w:r>
          </w:p>
        </w:tc>
        <w:tc>
          <w:tcPr>
            <w:tcW w:w="164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Warrant Liabilities</w:t>
            </w:r>
          </w:p>
        </w:tc>
      </w:tr>
    </w:tbl>
    <w:p>
      <w:pPr>
        <w:pStyle w:val="TextBody"/>
        <w:bidi w:val="0"/>
        <w:spacing w:before="0" w:after="0"/>
        <w:ind w:left="153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warrant liabilities in accordance with the guidance in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under which the warrants that do not meet the criteria for equity classification and must be recorded as liabilities. The warrant liabilities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with any subsequent changes in fair value recognized in other income (expense), net on the unaudited condensed consolidated statements of operations and comprehensive income (loss). Refer to Note 3 – Fair Value Measurements and Note 15 – Warrants.</w:t>
      </w:r>
    </w:p>
    <w:p>
      <w:pPr>
        <w:pStyle w:val="TextBody"/>
        <w:bidi w:val="0"/>
        <w:spacing w:before="0" w:after="0"/>
        <w:ind w:left="153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45"/>
        <w:gridCol w:w="3110"/>
      </w:tblGrid>
      <w:tr>
        <w:trPr/>
        <w:tc>
          <w:tcPr>
            <w:tcW w:w="245" w:type="dxa"/>
            <w:tcBorders/>
            <w:vAlign w:val="center"/>
          </w:tcPr>
          <w:p>
            <w:pPr>
              <w:pStyle w:val="TableContents"/>
              <w:bidi w:val="0"/>
              <w:spacing w:before="0" w:after="283"/>
              <w:jc w:val="left"/>
              <w:rPr>
                <w:b/>
                <w:i/>
              </w:rPr>
            </w:pPr>
            <w:r>
              <w:rPr>
                <w:b/>
                <w:i/>
              </w:rPr>
              <w:t>(i)</w:t>
            </w:r>
          </w:p>
        </w:tc>
        <w:tc>
          <w:tcPr>
            <w:tcW w:w="3110" w:type="dxa"/>
            <w:tcBorders/>
            <w:vAlign w:val="center"/>
          </w:tcPr>
          <w:p>
            <w:pPr>
              <w:pStyle w:val="TableContents"/>
              <w:bidi w:val="0"/>
              <w:spacing w:before="0" w:after="283"/>
              <w:jc w:val="left"/>
              <w:rPr>
                <w:b/>
                <w:i/>
              </w:rPr>
            </w:pPr>
            <w:r>
              <w:rPr>
                <w:b/>
                <w:i/>
              </w:rPr>
              <w:t>Forward Purchase Agreements</w:t>
            </w:r>
          </w:p>
        </w:tc>
      </w:tr>
    </w:tbl>
    <w:p>
      <w:pPr>
        <w:pStyle w:val="TextBody"/>
        <w:bidi w:val="0"/>
        <w:spacing w:before="0" w:after="0"/>
        <w:ind w:left="153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FPAs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 the agreements embody an obligation to transfer assets to settle a forward contract. The warrant liabilities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with any subsequent changes in fair value recognized in other income (expense), net on the unaudited condensed consolidated statements of operations and comprehensive income (loss). Refer to Note 3 – Fair Value Measurements and Note 5 – Forward Purchase Agreements.</w:t>
      </w:r>
    </w:p>
    <w:p>
      <w:pPr>
        <w:pStyle w:val="TextBody"/>
        <w:bidi w:val="0"/>
        <w:spacing w:before="0" w:after="0"/>
        <w:ind w:left="153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15"/>
        <w:gridCol w:w="1595"/>
      </w:tblGrid>
      <w:tr>
        <w:trPr/>
        <w:tc>
          <w:tcPr>
            <w:tcW w:w="21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(j)</w:t>
            </w:r>
          </w:p>
        </w:tc>
        <w:tc>
          <w:tcPr>
            <w:tcW w:w="1595"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Net Loss Per Share</w:t>
            </w:r>
          </w:p>
        </w:tc>
      </w:tr>
    </w:tbl>
    <w:p>
      <w:pPr>
        <w:pStyle w:val="TextBody"/>
        <w:bidi w:val="0"/>
        <w:spacing w:before="0" w:after="0"/>
        <w:ind w:left="153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net loss per share following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Basic net loss per share is measured as the income or loss available to common stockholders divided by the weighted average common shares outstanding for the period. Diluted net loss per share presents the dilutive effect on a per-share basis from the potential exercise of options and/or warrants. The potentially dilutive effect of options or warrants are computed using the treasury stock method. Securities that potentially have an anti-dilutive effect (i.e., those that increase income per share or decrease loss per share) are excluded from the diluted loss per share calculation.</w:t>
      </w:r>
    </w:p>
    <w:p>
      <w:pPr>
        <w:pStyle w:val="TextBody"/>
        <w:bidi w:val="0"/>
        <w:spacing w:before="0" w:after="0"/>
        <w:ind w:left="152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60"/>
        <w:gridCol w:w="3935"/>
      </w:tblGrid>
      <w:tr>
        <w:trPr/>
        <w:tc>
          <w:tcPr>
            <w:tcW w:w="26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(k)</w:t>
            </w:r>
          </w:p>
        </w:tc>
        <w:tc>
          <w:tcPr>
            <w:tcW w:w="3935"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Recently Adopted Accounting Pronouncements</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2016, the FASB issued ASU 2016-13, </w:t>
      </w:r>
      <w:r>
        <w:rPr>
          <w:rFonts w:ascii="Times New Roman;Times;Serif" w:hAnsi="Times New Roman;Times;Serif"/>
          <w:b w:val="false"/>
          <w:i/>
          <w:caps w:val="false"/>
          <w:smallCaps w:val="false"/>
          <w:sz w:val="20"/>
        </w:rPr>
        <w:t>Financial instruments — Credit Losses (Topic 326): Measurement of Credit Losses on Financial Instruments</w:t>
      </w:r>
      <w:r>
        <w:rPr>
          <w:rFonts w:ascii="Times New Roman;Times;Serif" w:hAnsi="Times New Roman;Times;Serif"/>
          <w:b w:val="false"/>
          <w:i w:val="false"/>
          <w:caps w:val="false"/>
          <w:smallCaps w:val="false"/>
          <w:sz w:val="20"/>
        </w:rPr>
        <w:t>, and subsequent related ASUs, which amends the guidance on the impairment of financial instruments by requiring measurement and recognition of expected credit losses for financial assets held. ASU 2016-13 is effective for public and private companies’ fiscal years, and for interim periods within those fiscal years, beginning after December 15, 2019, and December 15, 2022, respectively. The Company adopted ASU 2016-13 under the private company transition guidance beginning January 1, 2023. The adoption did not have a material impact on the Company’s unaudited condensed consolidated financial statements.</w:t>
      </w:r>
    </w:p>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1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2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29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(3)</w:t>
            </w:r>
          </w:p>
        </w:tc>
        <w:tc>
          <w:tcPr>
            <w:tcW w:w="2675" w:type="dxa"/>
            <w:tcBorders/>
            <w:vAlign w:val="center"/>
          </w:tcPr>
          <w:p>
            <w:pPr>
              <w:pStyle w:val="TableContents"/>
              <w:bidi w:val="0"/>
              <w:spacing w:before="0" w:after="283"/>
              <w:jc w:val="both"/>
              <w:rPr>
                <w:b/>
              </w:rPr>
            </w:pPr>
            <w:r>
              <w:rPr>
                <w:b/>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financial assets and liabilities that were measured at fair value, on a recurring basis (in thousands):</w:t>
      </w:r>
    </w:p>
    <w:p>
      <w:pPr>
        <w:pStyle w:val="TextBody"/>
        <w:bidi w:val="0"/>
        <w:spacing w:before="0" w:after="0"/>
        <w:ind w:left="1520" w:right="0" w:hanging="0"/>
        <w:jc w:val="left"/>
        <w:rPr>
          <w:caps w:val="false"/>
          <w:smallCaps w:val="false"/>
        </w:rPr>
      </w:pPr>
      <w:r>
        <w:rPr>
          <w:caps w:val="false"/>
          <w:smallCaps w:val="false"/>
        </w:rPr>
        <w:t> </w:t>
      </w:r>
    </w:p>
    <w:tbl>
      <w:tblPr>
        <w:tblW w:w="7325" w:type="dxa"/>
        <w:jc w:val="left"/>
        <w:tblInd w:w="0" w:type="dxa"/>
        <w:tblLayout w:type="fixed"/>
        <w:tblCellMar>
          <w:top w:w="0" w:type="dxa"/>
          <w:left w:w="0" w:type="dxa"/>
          <w:bottom w:w="0" w:type="dxa"/>
          <w:right w:w="0" w:type="dxa"/>
        </w:tblCellMar>
      </w:tblPr>
      <w:tblGrid>
        <w:gridCol w:w="3680"/>
        <w:gridCol w:w="60"/>
        <w:gridCol w:w="151"/>
        <w:gridCol w:w="604"/>
        <w:gridCol w:w="60"/>
        <w:gridCol w:w="60"/>
        <w:gridCol w:w="151"/>
        <w:gridCol w:w="604"/>
        <w:gridCol w:w="60"/>
        <w:gridCol w:w="60"/>
        <w:gridCol w:w="140"/>
        <w:gridCol w:w="680"/>
        <w:gridCol w:w="60"/>
        <w:gridCol w:w="60"/>
        <w:gridCol w:w="140"/>
        <w:gridCol w:w="680"/>
        <w:gridCol w:w="75"/>
      </w:tblGrid>
      <w:tr>
        <w:trPr/>
        <w:tc>
          <w:tcPr>
            <w:tcW w:w="368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5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October 1, 2023</w:t>
            </w:r>
          </w:p>
        </w:tc>
        <w:tc>
          <w:tcPr>
            <w:tcW w:w="75" w:type="dxa"/>
            <w:tcBorders/>
            <w:vAlign w:val="center"/>
          </w:tcPr>
          <w:p>
            <w:pPr>
              <w:pStyle w:val="TableContents"/>
              <w:bidi w:val="0"/>
              <w:spacing w:before="0" w:after="283"/>
              <w:ind w:left="0" w:right="0" w:hanging="180"/>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b/>
              </w:rPr>
            </w:pPr>
            <w:r>
              <w:rPr>
                <w:b/>
              </w:rPr>
              <w:t>Financial Liabilities</w:t>
            </w:r>
          </w:p>
        </w:tc>
        <w:tc>
          <w:tcPr>
            <w:tcW w:w="60" w:type="dxa"/>
            <w:tcBorders/>
            <w:shd w:fill="CCEEFF" w:val="clear"/>
            <w:vAlign w:val="center"/>
          </w:tcPr>
          <w:p>
            <w:pPr>
              <w:pStyle w:val="TableContents"/>
              <w:bidi w:val="0"/>
              <w:spacing w:before="0" w:after="283"/>
              <w:jc w:val="left"/>
              <w:rPr/>
            </w:pPr>
            <w:r>
              <w:rPr/>
              <w:t> </w:t>
            </w:r>
          </w:p>
        </w:tc>
        <w:tc>
          <w:tcPr>
            <w:tcW w:w="7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pPr>
            <w:r>
              <w:rPr/>
              <w:t>Carlyle warrants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7,683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7,683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pPr>
            <w:r>
              <w:rPr/>
              <w:t>Private placement warrants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1,027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1,027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pPr>
            <w:r>
              <w:rPr/>
              <w:t>Working capital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80" w:type="dxa"/>
            <w:tcBorders/>
            <w:shd w:fill="FFFFFF" w:val="clear"/>
            <w:vAlign w:val="center"/>
          </w:tcPr>
          <w:p>
            <w:pPr>
              <w:pStyle w:val="TableContents"/>
              <w:bidi w:val="0"/>
              <w:spacing w:before="0" w:after="283"/>
              <w:jc w:val="left"/>
              <w:rPr/>
            </w:pPr>
            <w:r>
              <w:rPr/>
              <w:t>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6,586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10" w:space="0" w:color="000000"/>
            </w:tcBorders>
            <w:shd w:fill="CCEEFF" w:val="clear"/>
            <w:tcMar>
              <w:bottom w:w="28" w:type="dxa"/>
            </w:tcMar>
            <w:vAlign w:val="center"/>
          </w:tcPr>
          <w:p>
            <w:pPr>
              <w:pStyle w:val="TableContents"/>
              <w:bidi w:val="0"/>
              <w:spacing w:before="0" w:after="283"/>
              <w:jc w:val="right"/>
              <w:rPr/>
            </w:pPr>
            <w:r>
              <w:rPr/>
              <w:t>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10" w:space="0" w:color="000000"/>
            </w:tcBorders>
            <w:shd w:fill="CCEEFF" w:val="clear"/>
            <w:tcMar>
              <w:bottom w:w="28" w:type="dxa"/>
            </w:tcMar>
            <w:vAlign w:val="center"/>
          </w:tcPr>
          <w:p>
            <w:pPr>
              <w:pStyle w:val="TableContents"/>
              <w:bidi w:val="0"/>
              <w:spacing w:before="0" w:after="283"/>
              <w:jc w:val="right"/>
              <w:rPr/>
            </w:pPr>
            <w:r>
              <w:rPr/>
              <w:t>1,144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14,269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16,826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20" w:right="0" w:hanging="0"/>
        <w:jc w:val="left"/>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5330"/>
        <w:gridCol w:w="60"/>
        <w:gridCol w:w="263"/>
        <w:gridCol w:w="491"/>
        <w:gridCol w:w="60"/>
        <w:gridCol w:w="60"/>
        <w:gridCol w:w="263"/>
        <w:gridCol w:w="491"/>
        <w:gridCol w:w="60"/>
        <w:gridCol w:w="60"/>
        <w:gridCol w:w="140"/>
        <w:gridCol w:w="680"/>
        <w:gridCol w:w="60"/>
        <w:gridCol w:w="60"/>
        <w:gridCol w:w="140"/>
        <w:gridCol w:w="680"/>
        <w:gridCol w:w="75"/>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2022</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Financial Liabilities</w:t>
            </w:r>
          </w:p>
        </w:tc>
        <w:tc>
          <w:tcPr>
            <w:tcW w:w="60" w:type="dxa"/>
            <w:tcBorders/>
            <w:shd w:fill="CCEEFF" w:val="clear"/>
            <w:vAlign w:val="center"/>
          </w:tcPr>
          <w:p>
            <w:pPr>
              <w:pStyle w:val="TableContents"/>
              <w:bidi w:val="0"/>
              <w:spacing w:before="0" w:after="283"/>
              <w:jc w:val="left"/>
              <w:rPr/>
            </w:pPr>
            <w:r>
              <w:rPr/>
              <w:t> </w:t>
            </w:r>
          </w:p>
        </w:tc>
        <w:tc>
          <w:tcPr>
            <w:tcW w:w="75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Redeemable convertible preferred stock warrant liability</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14,152</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14,152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14,152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Carlyle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amended and restated warrant agreement with CRSEF Solis Holdings, LLC (“Carlyle”), the Company issued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amended and restated warrant agreement, an additional 350,000 shares; plus (c) on and after the date that is thirty (30) days after the date of the amended and restated warrant agreement, if the original investment amount has not been repaid, an additional 150,000 shares; plus (d) on and after the date that is ninety (90) days after the date of the amended and restated warrant agreement, if the original investment amount has not been repaid, an additional 250,000 shares, in each case, of Complete Solaria Common Stock at a price of $0.01 per share. As the warrant is exercisable into a variable number of shares based on the Company’s fully diluted capitalization table, the Company has classified the warrants as liabilities. The Company valued the warrants based on a Black-Scholes Option Pricing Method, which included the following inputs:</w:t>
      </w:r>
    </w:p>
    <w:p>
      <w:pPr>
        <w:pStyle w:val="TextBody"/>
        <w:bidi w:val="0"/>
        <w:spacing w:before="0" w:after="0"/>
        <w:ind w:left="1520" w:right="0" w:hanging="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2330"/>
        <w:gridCol w:w="60"/>
        <w:gridCol w:w="129"/>
        <w:gridCol w:w="955"/>
        <w:gridCol w:w="215"/>
        <w:gridCol w:w="60"/>
        <w:gridCol w:w="275"/>
        <w:gridCol w:w="1199"/>
        <w:gridCol w:w="75"/>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2022</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77.0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3.92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Private Placement and Working Capital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private placement and working capital warrants are measured at fair value on a recurring basis. The public warrants were valued based on the closing price of the publicly traded instrument. The private placement and working capital warrants were valued using observable inputs for similar publicly traded instruments.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Purchase Agreement Liabilities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FPA liabilities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pStyle w:val="TextBody"/>
        <w:bidi w:val="0"/>
        <w:spacing w:before="0" w:after="0"/>
        <w:ind w:left="1520" w:right="0" w:hanging="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2720"/>
        <w:gridCol w:w="60"/>
        <w:gridCol w:w="172"/>
        <w:gridCol w:w="912"/>
        <w:gridCol w:w="215"/>
        <w:gridCol w:w="60"/>
        <w:gridCol w:w="264"/>
        <w:gridCol w:w="1150"/>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7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Common stock trading price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2.10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Simulation period</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5.12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178.0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Redeemable Convertible Preferred Stock Warrant Liabilities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historically issued redeemable convertible warrants, which were classified as liabilities and adjusted to fair value using the Black Scholes Option Pricing Method. The terms of the redeemable convertible preferred stock warrants are described in Note 15 –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Redeemable Convertible Preferred Stock Warrant</w:t>
      </w:r>
    </w:p>
    <w:p>
      <w:pPr>
        <w:pStyle w:val="TextBody"/>
        <w:bidi w:val="0"/>
        <w:spacing w:before="0" w:after="0"/>
        <w:ind w:left="1520" w:right="0" w:hanging="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2330"/>
        <w:gridCol w:w="60"/>
        <w:gridCol w:w="202"/>
        <w:gridCol w:w="882"/>
        <w:gridCol w:w="60"/>
        <w:gridCol w:w="60"/>
        <w:gridCol w:w="168"/>
        <w:gridCol w:w="1246"/>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 years</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72.5</w:t>
            </w:r>
          </w:p>
        </w:tc>
        <w:tc>
          <w:tcPr>
            <w:tcW w:w="23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4.2</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Redeemable Convertible Preferred Stock Warrant</w:t>
      </w:r>
    </w:p>
    <w:p>
      <w:pPr>
        <w:pStyle w:val="TextBody"/>
        <w:bidi w:val="0"/>
        <w:spacing w:before="0" w:after="0"/>
        <w:ind w:left="1520" w:right="0" w:hanging="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2330"/>
        <w:gridCol w:w="60"/>
        <w:gridCol w:w="202"/>
        <w:gridCol w:w="882"/>
        <w:gridCol w:w="60"/>
        <w:gridCol w:w="60"/>
        <w:gridCol w:w="168"/>
        <w:gridCol w:w="1246"/>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 years</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72.5</w:t>
            </w:r>
          </w:p>
        </w:tc>
        <w:tc>
          <w:tcPr>
            <w:tcW w:w="23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4.0</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D-7 Redeemable Convertible Preferred Stock Warrant</w:t>
      </w:r>
    </w:p>
    <w:p>
      <w:pPr>
        <w:pStyle w:val="TextBody"/>
        <w:bidi w:val="0"/>
        <w:spacing w:before="0" w:after="0"/>
        <w:ind w:left="1520" w:right="0" w:hanging="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2330"/>
        <w:gridCol w:w="60"/>
        <w:gridCol w:w="202"/>
        <w:gridCol w:w="882"/>
        <w:gridCol w:w="60"/>
        <w:gridCol w:w="60"/>
        <w:gridCol w:w="168"/>
        <w:gridCol w:w="1246"/>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 years</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78.5</w:t>
            </w:r>
          </w:p>
        </w:tc>
        <w:tc>
          <w:tcPr>
            <w:tcW w:w="23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4.7</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redeemable convertible preferred stock warrant liabilities were measured at fair value at the issuance date and as of each subsequent reporting period with changes in the fair value recorded within other income (expense), net in the accompanying unaudited condensed consolidated statements of operations and comprehensive income (loss). As described in Note 15 – Warrants, the redeemable convertible preferred stock warrant liabilities were reclassified to additional paid-in capital upon the closing of the Mergers.</w:t>
      </w:r>
    </w:p>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1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20" w:right="0" w:hanging="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9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(4)</w:t>
            </w:r>
          </w:p>
        </w:tc>
        <w:tc>
          <w:tcPr>
            <w:tcW w:w="2540" w:type="dxa"/>
            <w:tcBorders/>
            <w:vAlign w:val="center"/>
          </w:tcPr>
          <w:p>
            <w:pPr>
              <w:pStyle w:val="TableContents"/>
              <w:bidi w:val="0"/>
              <w:spacing w:before="0" w:after="283"/>
              <w:jc w:val="both"/>
              <w:rPr>
                <w:b/>
              </w:rPr>
            </w:pPr>
            <w:r>
              <w:rPr>
                <w:b/>
              </w:rPr>
              <w:t>Reverse Recapitalization</w:t>
            </w:r>
          </w:p>
        </w:tc>
      </w:tr>
    </w:tbl>
    <w:p>
      <w:pPr>
        <w:pStyle w:val="TextBody"/>
        <w:bidi w:val="0"/>
        <w:spacing w:before="0" w:after="0"/>
        <w:ind w:left="11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 Organization, on July 18, 2023, the Company consummated the Mergers pursuant to the Amended and Restated Business Combination Agreement. The Mergers was accounted for as a reverse recapitalization, rather than a business combination, for financial accounting and reporting purposes. Accordingly, Complete Solaria was deemed the accounting acquirer (and legal acquiree) and FACT was treated as the accounting acquiree (and legal acquirer). Complete Solaria has been determined to be the accounting acquirer based on evaluation of the following facts and circumstances:</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Complete Solaria’s pre-combination stockholders have the majority of the voting power in the post-merged company;</w:t>
            </w:r>
          </w:p>
        </w:tc>
      </w:tr>
    </w:tbl>
    <w:p>
      <w:pPr>
        <w:pStyle w:val="TextBody"/>
        <w:bidi w:val="0"/>
        <w:spacing w:before="0" w:after="0"/>
        <w:ind w:left="22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Legacy Complete Solaria’s stockholders have the ability to appoint a majority of the Complete Solaria Board of Directors;</w:t>
            </w:r>
          </w:p>
        </w:tc>
      </w:tr>
    </w:tbl>
    <w:p>
      <w:pPr>
        <w:pStyle w:val="TextBody"/>
        <w:bidi w:val="0"/>
        <w:spacing w:before="0" w:after="0"/>
        <w:ind w:left="22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Legacy Complete Solaria’s management team is considered the management team of the post-merged company;</w:t>
            </w:r>
          </w:p>
        </w:tc>
      </w:tr>
    </w:tbl>
    <w:p>
      <w:pPr>
        <w:pStyle w:val="TextBody"/>
        <w:bidi w:val="0"/>
        <w:spacing w:before="0" w:after="0"/>
        <w:ind w:left="22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Legacy Complete Solaria’s prior operations is comprised of the ongoing operations of the post-merged company;</w:t>
            </w:r>
          </w:p>
        </w:tc>
      </w:tr>
    </w:tbl>
    <w:p>
      <w:pPr>
        <w:pStyle w:val="TextBody"/>
        <w:bidi w:val="0"/>
        <w:spacing w:before="0" w:after="0"/>
        <w:ind w:left="22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1"/>
        <w:gridCol w:w="9972"/>
      </w:tblGrid>
      <w:tr>
        <w:trPr/>
        <w:tc>
          <w:tcPr>
            <w:tcW w:w="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Complete Solaria is the larger entity based on historical revenues and business operations; and</w:t>
            </w:r>
          </w:p>
        </w:tc>
      </w:tr>
    </w:tbl>
    <w:p>
      <w:pPr>
        <w:pStyle w:val="TextBody"/>
        <w:bidi w:val="0"/>
        <w:spacing w:before="0" w:after="0"/>
        <w:ind w:left="2240" w:right="0" w:hanging="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post-merged company has assumed Complete Solaria’s operating name.</w:t>
            </w:r>
          </w:p>
        </w:tc>
      </w:tr>
    </w:tbl>
    <w:p>
      <w:pPr>
        <w:pStyle w:val="TextBody"/>
        <w:bidi w:val="0"/>
        <w:spacing w:before="0" w:after="0"/>
        <w:ind w:left="224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of accounting, the reverse recapitalization was treated as the equivalent of Complete Solaria issuing stock for the net assets of FACT, accompanied by a recapitalization. The net assets of FACT are stated at historical cost, with no goodwill or other intangible assets recorded. The consolidated assets, liabilities, and results of operations prior to the Mergers are those of Legacy Complete Solaria. All periods prior to the Mergers have been retrospectively adjusted in accordance with the Amended and Restated Business Combination Agreement for the equivalent number of preferred or common shares outstanding immediately after the Mergers to effect the reverse recapitalization.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Mergers and the PIPE Financing in July 2023, the Company received net cash proceeds of $19.7 million. The following table reconciles the elements of the Mergers to the unaudited condensed consolidated statements of cash flows and the unaudited condensed consolidated statements of stockholders’ deficit for the thirty-nine week ended October 1, 2023 (in thousands):</w:t>
      </w:r>
    </w:p>
    <w:p>
      <w:pPr>
        <w:pStyle w:val="TextBody"/>
        <w:bidi w:val="0"/>
        <w:spacing w:before="0" w:after="0"/>
        <w:ind w:left="1520" w:right="0" w:hanging="0"/>
        <w:jc w:val="left"/>
        <w:rPr>
          <w:caps w:val="false"/>
          <w:smallCaps w:val="false"/>
        </w:rPr>
      </w:pPr>
      <w:r>
        <w:rPr>
          <w:caps w:val="false"/>
          <w:smallCaps w:val="false"/>
        </w:rPr>
        <w:t> </w:t>
      </w:r>
    </w:p>
    <w:tbl>
      <w:tblPr>
        <w:tblW w:w="8550" w:type="dxa"/>
        <w:jc w:val="left"/>
        <w:tblInd w:w="0" w:type="dxa"/>
        <w:tblLayout w:type="fixed"/>
        <w:tblCellMar>
          <w:top w:w="0" w:type="dxa"/>
          <w:left w:w="0" w:type="dxa"/>
          <w:bottom w:w="0" w:type="dxa"/>
          <w:right w:w="0" w:type="dxa"/>
        </w:tblCellMar>
      </w:tblPr>
      <w:tblGrid>
        <w:gridCol w:w="6725"/>
        <w:gridCol w:w="60"/>
        <w:gridCol w:w="258"/>
        <w:gridCol w:w="1397"/>
        <w:gridCol w:w="110"/>
      </w:tblGrid>
      <w:tr>
        <w:trPr/>
        <w:tc>
          <w:tcPr>
            <w:tcW w:w="6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Recapitalization</w:t>
            </w:r>
          </w:p>
        </w:tc>
        <w:tc>
          <w:tcPr>
            <w:tcW w:w="110" w:type="dxa"/>
            <w:tcBorders/>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pPr>
            <w:r>
              <w:rPr/>
              <w:t>Cash proceeds from FACT, net of redemptions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283"/>
              <w:jc w:val="right"/>
              <w:rPr/>
            </w:pPr>
            <w:r>
              <w:rPr/>
              <w:t>36,539</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pPr>
            <w:r>
              <w:rPr/>
              <w:t>Cash proceeds from PIPE Financing</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12,800</w:t>
            </w:r>
          </w:p>
        </w:tc>
        <w:tc>
          <w:tcPr>
            <w:tcW w:w="11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pPr>
            <w:r>
              <w:rPr/>
              <w:t>Less: cash payment of FACT transaction costs and underwriting fees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(10,680</w:t>
            </w:r>
          </w:p>
        </w:tc>
        <w:tc>
          <w:tcPr>
            <w:tcW w:w="110" w:type="dxa"/>
            <w:tcBorders/>
            <w:shd w:fill="CCEEFF" w:val="clear"/>
            <w:vAlign w:val="center"/>
          </w:tcPr>
          <w:p>
            <w:pPr>
              <w:pStyle w:val="TableContents"/>
              <w:bidi w:val="0"/>
              <w:spacing w:before="0" w:after="283"/>
              <w:jc w:val="left"/>
              <w:rPr/>
            </w:pPr>
            <w:r>
              <w:rPr/>
              <w:t>)</w:t>
            </w:r>
          </w:p>
        </w:tc>
      </w:tr>
      <w:tr>
        <w:trPr/>
        <w:tc>
          <w:tcPr>
            <w:tcW w:w="6725" w:type="dxa"/>
            <w:tcBorders/>
            <w:shd w:fill="FFFFFF" w:val="clear"/>
            <w:vAlign w:val="center"/>
          </w:tcPr>
          <w:p>
            <w:pPr>
              <w:pStyle w:val="TableContents"/>
              <w:bidi w:val="0"/>
              <w:spacing w:before="0" w:after="283"/>
              <w:jc w:val="left"/>
              <w:rPr/>
            </w:pPr>
            <w:r>
              <w:rPr/>
              <w:t>Less: cash payment to FPA investors for rebates and recycled shares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(17,831</w:t>
            </w:r>
          </w:p>
        </w:tc>
        <w:tc>
          <w:tcPr>
            <w:tcW w:w="110" w:type="dxa"/>
            <w:tcBorders/>
            <w:shd w:fill="FFFFFF" w:val="clear"/>
            <w:vAlign w:val="center"/>
          </w:tcPr>
          <w:p>
            <w:pPr>
              <w:pStyle w:val="TableContents"/>
              <w:bidi w:val="0"/>
              <w:spacing w:before="0" w:after="283"/>
              <w:jc w:val="left"/>
              <w:rPr/>
            </w:pPr>
            <w:r>
              <w:rPr/>
              <w:t>)</w:t>
            </w:r>
          </w:p>
        </w:tc>
      </w:tr>
      <w:tr>
        <w:trPr/>
        <w:tc>
          <w:tcPr>
            <w:tcW w:w="6725" w:type="dxa"/>
            <w:tcBorders/>
            <w:shd w:fill="CCEEFF" w:val="clear"/>
            <w:vAlign w:val="center"/>
          </w:tcPr>
          <w:p>
            <w:pPr>
              <w:pStyle w:val="TableContents"/>
              <w:bidi w:val="0"/>
              <w:spacing w:before="0" w:after="283"/>
              <w:jc w:val="left"/>
              <w:rPr/>
            </w:pPr>
            <w:r>
              <w:rPr/>
              <w:t>Less: cash payment for Promissory Note</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CCEEFF" w:val="clear"/>
            <w:tcMar>
              <w:bottom w:w="28" w:type="dxa"/>
            </w:tcMar>
            <w:vAlign w:val="center"/>
          </w:tcPr>
          <w:p>
            <w:pPr>
              <w:pStyle w:val="TableContents"/>
              <w:bidi w:val="0"/>
              <w:spacing w:before="0" w:after="283"/>
              <w:jc w:val="right"/>
              <w:rPr/>
            </w:pPr>
            <w:r>
              <w:rPr/>
              <w:t>(1,170</w:t>
            </w:r>
          </w:p>
        </w:tc>
        <w:tc>
          <w:tcPr>
            <w:tcW w:w="110" w:type="dxa"/>
            <w:tcBorders/>
            <w:shd w:fill="CCEEFF" w:val="clear"/>
            <w:vAlign w:val="center"/>
          </w:tcPr>
          <w:p>
            <w:pPr>
              <w:pStyle w:val="TableContents"/>
              <w:bidi w:val="0"/>
              <w:spacing w:before="0" w:after="283"/>
              <w:jc w:val="left"/>
              <w:rPr/>
            </w:pPr>
            <w:r>
              <w:rPr/>
              <w:t>)</w:t>
            </w:r>
          </w:p>
        </w:tc>
      </w:tr>
      <w:tr>
        <w:trPr/>
        <w:tc>
          <w:tcPr>
            <w:tcW w:w="6725" w:type="dxa"/>
            <w:tcBorders/>
            <w:shd w:fill="FFFFFF" w:val="clear"/>
            <w:vAlign w:val="center"/>
          </w:tcPr>
          <w:p>
            <w:pPr>
              <w:pStyle w:val="TableContents"/>
              <w:bidi w:val="0"/>
              <w:spacing w:before="0" w:after="283"/>
              <w:jc w:val="left"/>
              <w:rPr/>
            </w:pPr>
            <w:r>
              <w:rPr/>
              <w:t>Net cash proceeds upon the closing of the Mergers and PIPE financing</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19,658</w:t>
            </w:r>
          </w:p>
        </w:tc>
        <w:tc>
          <w:tcPr>
            <w:tcW w:w="11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pPr>
            <w:r>
              <w:rPr/>
              <w:t>Less: non-cash net liabilities assumed from FACT</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CCEEFF" w:val="clear"/>
            <w:tcMar>
              <w:bottom w:w="28" w:type="dxa"/>
            </w:tcMar>
            <w:vAlign w:val="center"/>
          </w:tcPr>
          <w:p>
            <w:pPr>
              <w:pStyle w:val="TableContents"/>
              <w:bidi w:val="0"/>
              <w:spacing w:before="0" w:after="283"/>
              <w:jc w:val="right"/>
              <w:rPr/>
            </w:pPr>
            <w:r>
              <w:rPr/>
              <w:t>(10,135</w:t>
            </w:r>
          </w:p>
        </w:tc>
        <w:tc>
          <w:tcPr>
            <w:tcW w:w="110" w:type="dxa"/>
            <w:tcBorders/>
            <w:shd w:fill="CCEEFF" w:val="clear"/>
            <w:vAlign w:val="center"/>
          </w:tcPr>
          <w:p>
            <w:pPr>
              <w:pStyle w:val="TableContents"/>
              <w:bidi w:val="0"/>
              <w:spacing w:before="0" w:after="283"/>
              <w:jc w:val="left"/>
              <w:rPr/>
            </w:pPr>
            <w:r>
              <w:rPr/>
              <w:t>)</w:t>
            </w:r>
          </w:p>
        </w:tc>
      </w:tr>
      <w:tr>
        <w:trPr/>
        <w:tc>
          <w:tcPr>
            <w:tcW w:w="6725" w:type="dxa"/>
            <w:tcBorders/>
            <w:shd w:fill="FFFFFF" w:val="clear"/>
            <w:vAlign w:val="center"/>
          </w:tcPr>
          <w:p>
            <w:pPr>
              <w:pStyle w:val="TableContents"/>
              <w:bidi w:val="0"/>
              <w:spacing w:before="0" w:after="283"/>
              <w:jc w:val="left"/>
              <w:rPr/>
            </w:pPr>
            <w:r>
              <w:rPr/>
              <w:t>Net contributions from the Mergers and PIPE financing upon closing</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97" w:type="dxa"/>
            <w:tcBorders>
              <w:bottom w:val="double" w:sz="10" w:space="0" w:color="000000"/>
            </w:tcBorders>
            <w:shd w:fill="FFFFFF" w:val="clear"/>
            <w:tcMar>
              <w:bottom w:w="28" w:type="dxa"/>
            </w:tcMar>
            <w:vAlign w:val="center"/>
          </w:tcPr>
          <w:p>
            <w:pPr>
              <w:pStyle w:val="TableContents"/>
              <w:bidi w:val="0"/>
              <w:spacing w:before="0" w:after="283"/>
              <w:jc w:val="right"/>
              <w:rPr/>
            </w:pPr>
            <w:r>
              <w:rPr/>
              <w:t>9,523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upon closing of the Mergers, the Company had 45,290,553 shares issued and outstanding of Class A Common Stock. The following table presents the number of shares of Complete Solaria Common Stock outstanding immediately following the consummation of the Mergers:</w:t>
      </w:r>
    </w:p>
    <w:p>
      <w:pPr>
        <w:pStyle w:val="TextBody"/>
        <w:bidi w:val="0"/>
        <w:spacing w:before="0" w:after="0"/>
        <w:ind w:left="1520" w:right="0" w:hanging="0"/>
        <w:jc w:val="left"/>
        <w:rPr>
          <w:caps w:val="false"/>
          <w:smallCaps w:val="false"/>
        </w:rPr>
      </w:pPr>
      <w:r>
        <w:rPr>
          <w:caps w:val="false"/>
          <w:smallCaps w:val="false"/>
        </w:rPr>
        <w:t> </w:t>
      </w:r>
    </w:p>
    <w:tbl>
      <w:tblPr>
        <w:tblW w:w="8475" w:type="dxa"/>
        <w:jc w:val="left"/>
        <w:tblInd w:w="0" w:type="dxa"/>
        <w:tblLayout w:type="fixed"/>
        <w:tblCellMar>
          <w:top w:w="0" w:type="dxa"/>
          <w:left w:w="0" w:type="dxa"/>
          <w:bottom w:w="0" w:type="dxa"/>
          <w:right w:w="0" w:type="dxa"/>
        </w:tblCellMar>
      </w:tblPr>
      <w:tblGrid>
        <w:gridCol w:w="6650"/>
        <w:gridCol w:w="60"/>
        <w:gridCol w:w="80"/>
        <w:gridCol w:w="1575"/>
        <w:gridCol w:w="110"/>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Recapitalization</w:t>
            </w:r>
          </w:p>
        </w:tc>
        <w:tc>
          <w:tcPr>
            <w:tcW w:w="11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FACT Class A Ordinary Shares, outstanding prior to Mergers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34,500,000</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FACT Class B Ordinary Shares, outstanding prior to Mergers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8,625,000</w:t>
            </w:r>
          </w:p>
        </w:tc>
        <w:tc>
          <w:tcPr>
            <w:tcW w:w="11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Bonus shares issued to sponsor</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193,976</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Bonus shares issued to PIPE investors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120,000</w:t>
            </w:r>
          </w:p>
        </w:tc>
        <w:tc>
          <w:tcPr>
            <w:tcW w:w="11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Bonus shares issued to FPA investors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150,000</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Shares issued from PIPE financing</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1,690,000</w:t>
            </w:r>
          </w:p>
        </w:tc>
        <w:tc>
          <w:tcPr>
            <w:tcW w:w="11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Shares issued from FPA agreements, net of recycled shares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5,558,488</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Less: redemption of FACT Class A Ordinary Shares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75" w:type="dxa"/>
            <w:tcBorders>
              <w:bottom w:val="single" w:sz="12" w:space="0" w:color="000000"/>
            </w:tcBorders>
            <w:shd w:fill="FFFFFF" w:val="clear"/>
            <w:tcMar>
              <w:bottom w:w="28" w:type="dxa"/>
            </w:tcMar>
            <w:vAlign w:val="center"/>
          </w:tcPr>
          <w:p>
            <w:pPr>
              <w:pStyle w:val="TableContents"/>
              <w:bidi w:val="0"/>
              <w:spacing w:before="0" w:after="283"/>
              <w:jc w:val="right"/>
              <w:rPr/>
            </w:pPr>
            <w:r>
              <w:rPr/>
              <w:t>(31,041,243</w:t>
            </w:r>
          </w:p>
        </w:tc>
        <w:tc>
          <w:tcPr>
            <w:tcW w:w="110" w:type="dxa"/>
            <w:tcBorders/>
            <w:shd w:fill="FFFFFF" w:val="clear"/>
            <w:vAlign w:val="center"/>
          </w:tcPr>
          <w:p>
            <w:pPr>
              <w:pStyle w:val="TableContents"/>
              <w:bidi w:val="0"/>
              <w:spacing w:before="0" w:after="283"/>
              <w:jc w:val="left"/>
              <w:rPr/>
            </w:pPr>
            <w:r>
              <w:rPr/>
              <w:t>)</w:t>
            </w:r>
          </w:p>
        </w:tc>
      </w:tr>
      <w:tr>
        <w:trPr/>
        <w:tc>
          <w:tcPr>
            <w:tcW w:w="6650" w:type="dxa"/>
            <w:tcBorders/>
            <w:shd w:fill="CCEEFF" w:val="clear"/>
            <w:vAlign w:val="center"/>
          </w:tcPr>
          <w:p>
            <w:pPr>
              <w:pStyle w:val="TableContents"/>
              <w:bidi w:val="0"/>
              <w:spacing w:before="0" w:after="283"/>
              <w:jc w:val="left"/>
              <w:rPr/>
            </w:pPr>
            <w:r>
              <w:rPr/>
              <w:t>Total shares from the Mergers and PIPE Financing</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19,796,221</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Legacy Complete Solaria shares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20,034,257</w:t>
            </w:r>
          </w:p>
        </w:tc>
        <w:tc>
          <w:tcPr>
            <w:tcW w:w="11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2022 Convertible Note Shares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75" w:type="dxa"/>
            <w:tcBorders>
              <w:bottom w:val="single" w:sz="12" w:space="0" w:color="000000"/>
            </w:tcBorders>
            <w:shd w:fill="CCEEFF" w:val="clear"/>
            <w:tcMar>
              <w:bottom w:w="28" w:type="dxa"/>
            </w:tcMar>
            <w:vAlign w:val="center"/>
          </w:tcPr>
          <w:p>
            <w:pPr>
              <w:pStyle w:val="TableContents"/>
              <w:bidi w:val="0"/>
              <w:spacing w:before="0" w:after="283"/>
              <w:jc w:val="right"/>
              <w:rPr/>
            </w:pPr>
            <w:r>
              <w:rPr/>
              <w:t>5,460,075</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Shares of Complete Solaria Common stock immediately after Mergers</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575" w:type="dxa"/>
            <w:tcBorders>
              <w:bottom w:val="double" w:sz="10" w:space="0" w:color="000000"/>
            </w:tcBorders>
            <w:shd w:fill="FFFFFF" w:val="clear"/>
            <w:tcMar>
              <w:bottom w:w="28" w:type="dxa"/>
            </w:tcMar>
            <w:vAlign w:val="center"/>
          </w:tcPr>
          <w:p>
            <w:pPr>
              <w:pStyle w:val="TableContents"/>
              <w:bidi w:val="0"/>
              <w:spacing w:before="0" w:after="283"/>
              <w:jc w:val="right"/>
              <w:rPr/>
            </w:pPr>
            <w:r>
              <w:rPr/>
              <w:t>45,290,553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the Company incurred direct and incremental costs of approximately $15.8 million related to legal, accounting, and other professional fees, which were offset against the Company’s additional paid-in capital. Of the $15.8 million, $5.2 million was incurred by Legacy Complete Solaria and $10.6 million was incurred by FACT. As of October 1, 2023, the Company made cash payments totaling $5.4 million to settle transaction costs. As a result of the Closing, outstanding 2022 Convertible Notes were converted into shares of Complete Solaria Common Stock.</w:t>
      </w:r>
    </w:p>
    <w:p>
      <w:pPr>
        <w:pStyle w:val="TextBody"/>
        <w:bidi w:val="0"/>
        <w:spacing w:before="0" w:after="0"/>
        <w:ind w:left="152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305"/>
        <w:gridCol w:w="3230"/>
      </w:tblGrid>
      <w:tr>
        <w:trPr/>
        <w:tc>
          <w:tcPr>
            <w:tcW w:w="305" w:type="dxa"/>
            <w:tcBorders/>
            <w:vAlign w:val="center"/>
          </w:tcPr>
          <w:p>
            <w:pPr>
              <w:pStyle w:val="TableContents"/>
              <w:bidi w:val="0"/>
              <w:spacing w:before="0" w:after="283"/>
              <w:jc w:val="left"/>
              <w:rPr>
                <w:b/>
              </w:rPr>
            </w:pPr>
            <w:r>
              <w:rPr>
                <w:b/>
              </w:rPr>
              <w:t>(5)</w:t>
            </w:r>
          </w:p>
        </w:tc>
        <w:tc>
          <w:tcPr>
            <w:tcW w:w="3230" w:type="dxa"/>
            <w:tcBorders/>
            <w:vAlign w:val="center"/>
          </w:tcPr>
          <w:p>
            <w:pPr>
              <w:pStyle w:val="TableContents"/>
              <w:bidi w:val="0"/>
              <w:spacing w:before="0" w:after="283"/>
              <w:jc w:val="both"/>
              <w:rPr>
                <w:b/>
              </w:rPr>
            </w:pPr>
            <w:r>
              <w:rPr>
                <w:b/>
              </w:rPr>
              <w:t>Forward Purchase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Inc. entered into FPAs with each of (i) Meteora; (ii) Polar, and (iii) Sandia (each individually, a “Seller”, and together, the “FPA Sellers”).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FPAs, the FPA Sellers may (i)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of the forward contracts are as follows:</w:t>
      </w:r>
    </w:p>
    <w:p>
      <w:pPr>
        <w:pStyle w:val="TextBody"/>
        <w:bidi w:val="0"/>
        <w:spacing w:before="0" w:after="0"/>
        <w:ind w:left="15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 </w:t>
            </w:r>
          </w:p>
        </w:tc>
      </w:tr>
    </w:tbl>
    <w:p>
      <w:pPr>
        <w:pStyle w:val="TextBody"/>
        <w:bidi w:val="0"/>
        <w:spacing w:before="0" w:after="0"/>
        <w:ind w:left="15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tc>
      </w:tr>
    </w:tbl>
    <w:p>
      <w:pPr>
        <w:pStyle w:val="TextBody"/>
        <w:bidi w:val="0"/>
        <w:spacing w:before="0" w:after="0"/>
        <w:ind w:left="1520" w:right="0" w:hanging="0"/>
        <w:jc w:val="both"/>
        <w:rPr>
          <w:caps w:val="false"/>
          <w:smallCaps w:val="false"/>
        </w:rPr>
      </w:pPr>
      <w:r>
        <w:rPr>
          <w:caps w:val="false"/>
          <w:smallCaps w:val="false"/>
        </w:rPr>
        <w:t> </w:t>
      </w:r>
    </w:p>
    <w:p>
      <w:pPr>
        <w:pStyle w:val="TextBody"/>
        <w:bidi w:val="0"/>
        <w:spacing w:before="0" w:after="0"/>
        <w:ind w:left="225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tc>
      </w:tr>
    </w:tbl>
    <w:p>
      <w:pPr>
        <w:pStyle w:val="TextBody"/>
        <w:bidi w:val="0"/>
        <w:spacing w:before="0" w:after="0"/>
        <w:ind w:left="225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four separate FPAs, three of which, associated with the obligation to issue 6,300,000 Shares, were entered into prior to the closing of the Mergers. Upon signing the FPAs, the Company incurred an obligation to issue a fixed number of shares to the FPA Sellers contingent upon the closing of the Mergers in addition to the terms and conditions associated with the settlement of the FPAs. The Company accounted for the contingent obligation to issue shares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recorded a liability and other income (expense), net based on the fair value upon of the obligation upon the signing of the FPAs. The liability was extinguished in July 2023 upon the issuance of Complete Solaria Common Stock to the FPA sellers.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in accordance with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the Company has determined that the prepaid forward contract is a financial instrument other than a share that represent or are indexed to obligations to repurchase the issuer’s equity shares by transferring assets, referred to herein as the “prepaid forward purchase liability” on its unaudited condensed consolidated balance sheets. The Company initially measured the prepaid forward purchase liability at fair value and has subsequently remeasured at fair value with changes in fair value recognized in earnings.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date of issuance of the Complete Solaria Common Stock in satisfaction of the Company’s obligation to issue shares around the closing of the Mergers, the Company recorded $35.5 million to other income (expense), net associated with the issuance of 6,720,000 shares of Complete Solaria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of the Mergers and issuance of the Complete Solaria Common Stock underlying the FPAs, the fair value of the prepaid FPAs was an asset balance of $0.1 million and was recorded on the Company’s unaudited condensed consolidated balance sheets and within other income (expense), net on the unaudited condensed consolidated statements of operations and comprehensive income (loss). Subsequently, the change of fair value of the prepaid forward purchase liability amounted to an expense of $6.7 million for the thirteen and thirty-nine weeks ended October 1, 2023. As of October 1, 2023, the prepaid forward purchase liabilities amounted to $6.6 million.</w:t>
      </w:r>
    </w:p>
    <w:p>
      <w:pPr>
        <w:pStyle w:val="TextBody"/>
        <w:bidi w:val="0"/>
        <w:spacing w:before="0" w:after="0"/>
        <w:ind w:left="112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305"/>
        <w:gridCol w:w="2300"/>
      </w:tblGrid>
      <w:tr>
        <w:trPr/>
        <w:tc>
          <w:tcPr>
            <w:tcW w:w="305" w:type="dxa"/>
            <w:tcBorders/>
            <w:vAlign w:val="center"/>
          </w:tcPr>
          <w:p>
            <w:pPr>
              <w:pStyle w:val="TableContents"/>
              <w:bidi w:val="0"/>
              <w:spacing w:before="0" w:after="283"/>
              <w:jc w:val="left"/>
              <w:rPr>
                <w:b/>
              </w:rPr>
            </w:pPr>
            <w:r>
              <w:rPr>
                <w:b/>
              </w:rPr>
              <w:t>(6)</w:t>
            </w:r>
          </w:p>
        </w:tc>
        <w:tc>
          <w:tcPr>
            <w:tcW w:w="2300" w:type="dxa"/>
            <w:tcBorders/>
            <w:vAlign w:val="center"/>
          </w:tcPr>
          <w:p>
            <w:pPr>
              <w:pStyle w:val="TableContents"/>
              <w:bidi w:val="0"/>
              <w:spacing w:before="0" w:after="283"/>
              <w:jc w:val="both"/>
              <w:rPr>
                <w:b/>
              </w:rPr>
            </w:pPr>
            <w:r>
              <w:rPr>
                <w:b/>
              </w:rPr>
              <w:t>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Solaria Acquisition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4, 2022, Complete Solar Holdings acquired Solaria for aggregate consideration paid of $89.1 million, comprising of $0.1 million in cash, 2,844,550 shares of common stock with an aggregate fair value of $17.3 million, 6,803,549 shares of preferred stock with an aggregate fair value of $52.2 million, 78,962 common stock warrants for an aggregate value of $0.2 million, 1,376,414 preferred stock warrants for an aggregate fair value of $7.8 million, 5,382,599 stock options with an aggregate fair value of $10.0 million attributable to services provided prior to the acquisition date, and the payment of seller incurred transaction expenses of $1.5 million. In addition, the Company assumed $14.1 million of unvested Solaria stock options, which has been and will be recorded as stock-based expense over the remaining service period. Solaria designs, develops, manufactures, and generates revenue from the sale of silicon photovoltaic solar panels and licensing of its technology to third parties. At the time of the acquisition, the Company believed that the acquisition of Solaria would establish the Company as a full system operator, with a compelling customer offering with best-in-class technology, financing, and project fulfilment, which would enable the Company to sell more product across more geographies in the United States and Europe. This transaction was accounted for as a business combination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Refer to Note 8 – Divestiture for further details.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summarized the provisional fair value of identifiable assets acquired and liabilities assumed (in thousands):</w:t>
      </w:r>
    </w:p>
    <w:p>
      <w:pPr>
        <w:pStyle w:val="TextBody"/>
        <w:bidi w:val="0"/>
        <w:spacing w:before="0" w:after="0"/>
        <w:ind w:left="360" w:right="0" w:hanging="0"/>
        <w:jc w:val="both"/>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4520"/>
        <w:gridCol w:w="60"/>
        <w:gridCol w:w="140"/>
        <w:gridCol w:w="800"/>
        <w:gridCol w:w="7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5,402</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4,822</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5,354</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8,569</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830</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1,619</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43,100</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112</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     </w:t>
            </w:r>
            <w:r>
              <w:rPr/>
              <w:t>Total identifiable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69,808</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4,210</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11,845</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20,823</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1,132</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1,566</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SAFE agreements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60,470</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     </w:t>
            </w:r>
            <w:r>
              <w:rPr/>
              <w:t>Total identifiable liabilities assumed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100,119</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Net identifiable 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30,311</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119,422</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     </w:t>
            </w:r>
            <w:r>
              <w:rPr/>
              <w:t>Total aggregate consideration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89,111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and has been allocated to the Company’s single reporting unit. Goodwill is primarily attributable to expected post-acquisition synergies from assembled workforce and also from the expectation of integrating Solaria’s products and solutions into the Company’s own businesses to provide access to more features and resources and offers incremental revenue opportunities. Goodwill of $119.4 million is deductible over 15 years for U.S. income tax purposes.</w:t>
      </w:r>
    </w:p>
    <w:p>
      <w:pPr>
        <w:pStyle w:val="TextBody"/>
        <w:bidi w:val="0"/>
        <w:spacing w:before="0" w:after="0"/>
        <w:ind w:left="360" w:right="0" w:firstLine="4"/>
        <w:jc w:val="both"/>
        <w:rPr>
          <w:caps w:val="false"/>
          <w:smallCaps w:val="false"/>
        </w:rPr>
      </w:pPr>
      <w:r>
        <w:rPr>
          <w:caps w:val="false"/>
          <w:smallCaps w:val="false"/>
        </w:rPr>
        <w:t> </w:t>
      </w:r>
    </w:p>
    <w:p>
      <w:pPr>
        <w:pStyle w:val="TextBody"/>
        <w:bidi w:val="0"/>
        <w:spacing w:before="0" w:after="0"/>
        <w:ind w:left="36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are as follows (in thousands):</w:t>
      </w:r>
    </w:p>
    <w:p>
      <w:pPr>
        <w:pStyle w:val="TextBody"/>
        <w:bidi w:val="0"/>
        <w:spacing w:before="0" w:after="0"/>
        <w:ind w:left="1526" w:right="0" w:firstLine="4"/>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195"/>
        <w:gridCol w:w="60"/>
        <w:gridCol w:w="146"/>
        <w:gridCol w:w="714"/>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Trademarks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5,700</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Developed technology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12,700</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24,700</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Total intangible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43,100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26" w:right="0" w:firstLine="4"/>
        <w:jc w:val="left"/>
        <w:rPr>
          <w:caps w:val="false"/>
          <w:smallCaps w:val="false"/>
        </w:rPr>
      </w:pPr>
      <w:r>
        <w:rPr>
          <w:caps w:val="false"/>
          <w:smallCaps w:val="false"/>
        </w:rPr>
        <w:t> </w:t>
      </w:r>
    </w:p>
    <w:p>
      <w:pPr>
        <w:pStyle w:val="TextBody"/>
        <w:bidi w:val="0"/>
        <w:spacing w:before="0" w:after="0"/>
        <w:ind w:left="36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approach, using the relief from royalty method, was used to value trademarks and developed technology. Significant assumptions included in the valuation of trademarks and developed technology include projected revenues, the selected royalty rate and the economic life of the underlying asset.</w:t>
      </w:r>
    </w:p>
    <w:p>
      <w:pPr>
        <w:pStyle w:val="TextBody"/>
        <w:bidi w:val="0"/>
        <w:spacing w:before="0" w:after="0"/>
        <w:ind w:left="360" w:right="0" w:firstLine="4"/>
        <w:jc w:val="both"/>
        <w:rPr>
          <w:caps w:val="false"/>
          <w:smallCaps w:val="false"/>
        </w:rPr>
      </w:pPr>
      <w:r>
        <w:rPr>
          <w:caps w:val="false"/>
          <w:smallCaps w:val="false"/>
        </w:rPr>
        <w:t> </w:t>
      </w:r>
    </w:p>
    <w:p>
      <w:pPr>
        <w:pStyle w:val="TextBody"/>
        <w:bidi w:val="0"/>
        <w:spacing w:before="0" w:after="0"/>
        <w:ind w:left="36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approach, using the multi-period excess earning method, was used to value customer relationships. Significant assumptions included in the valuation of customer relationships include projected revenues, customer attrition and expense growth over the forecasted period.</w:t>
      </w:r>
    </w:p>
    <w:p>
      <w:pPr>
        <w:pStyle w:val="TextBody"/>
        <w:bidi w:val="0"/>
        <w:spacing w:before="0" w:after="0"/>
        <w:ind w:left="360" w:right="0" w:firstLine="4"/>
        <w:jc w:val="both"/>
        <w:rPr>
          <w:caps w:val="false"/>
          <w:smallCaps w:val="false"/>
        </w:rPr>
      </w:pPr>
      <w:r>
        <w:rPr>
          <w:caps w:val="false"/>
          <w:smallCaps w:val="false"/>
        </w:rPr>
        <w:t> </w:t>
      </w:r>
    </w:p>
    <w:p>
      <w:pPr>
        <w:pStyle w:val="TextBody"/>
        <w:bidi w:val="0"/>
        <w:spacing w:before="0" w:after="0"/>
        <w:ind w:left="360" w:right="0" w:firstLine="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
        <w:jc w:val="both"/>
        <w:rPr>
          <w:caps w:val="false"/>
          <w:smallCaps w:val="false"/>
        </w:rPr>
      </w:pPr>
      <w:r>
        <w:rPr>
          <w:caps w:val="false"/>
          <w:smallCaps w:val="false"/>
        </w:rPr>
        <w:t> </w:t>
      </w:r>
    </w:p>
    <w:p>
      <w:pPr>
        <w:pStyle w:val="TextBody"/>
        <w:bidi w:val="0"/>
        <w:spacing w:before="0" w:after="0"/>
        <w:ind w:left="36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Solaria acquisition, the Company recognized $45.9 million of deferred tax assets. Due to the uncertainty surrounding the Company’s ability to realize such deferred income tax assets, a full valuation allowance has been established.</w:t>
      </w:r>
    </w:p>
    <w:p>
      <w:pPr>
        <w:pStyle w:val="TextBody"/>
        <w:bidi w:val="0"/>
        <w:spacing w:before="0" w:after="0"/>
        <w:ind w:left="360" w:right="0" w:firstLine="4"/>
        <w:jc w:val="both"/>
        <w:rPr>
          <w:caps w:val="false"/>
          <w:smallCaps w:val="false"/>
        </w:rPr>
      </w:pPr>
      <w:r>
        <w:rPr>
          <w:caps w:val="false"/>
          <w:smallCaps w:val="false"/>
        </w:rPr>
        <w:t> </w:t>
      </w:r>
    </w:p>
    <w:p>
      <w:pPr>
        <w:pStyle w:val="TextBody"/>
        <w:bidi w:val="0"/>
        <w:spacing w:before="0" w:after="0"/>
        <w:ind w:left="36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 2023, the goodwill and intangible assets recognized from the Solaria acquisition have been included in long-term held for sale – discontinued operations on the unaudited condensed consolidated balance sheets, as further described in Note 8 – Divestiture.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firstLine="4"/>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Unaudited Pro Forma Information</w:t>
      </w:r>
    </w:p>
    <w:p>
      <w:pPr>
        <w:pStyle w:val="TextBody"/>
        <w:bidi w:val="0"/>
        <w:spacing w:before="0" w:after="0"/>
        <w:ind w:left="360" w:right="0" w:firstLine="4"/>
        <w:jc w:val="left"/>
        <w:rPr>
          <w:caps w:val="false"/>
          <w:smallCaps w:val="false"/>
        </w:rPr>
      </w:pPr>
      <w:r>
        <w:rPr>
          <w:caps w:val="false"/>
          <w:smallCaps w:val="false"/>
        </w:rPr>
        <w:t> </w:t>
      </w:r>
    </w:p>
    <w:p>
      <w:pPr>
        <w:pStyle w:val="TextBody"/>
        <w:bidi w:val="0"/>
        <w:spacing w:before="0" w:after="0"/>
        <w:ind w:left="36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gives effect to the acquisition of Solaria as if it were consummated on January 1, 2022 including pro forma adjustments relating to the valuation and allocation of the aggregate consideration paid, amortization of intangible assets, incremental stock-based compensation and direct transaction costs. The historical condensed consolidated financial statements have been adjusted in the unaudited combined financial information to give effect to events that are directly attributable to the Business Combination and are factually supportable. This data is presented for informational purposes only and is not intended to represent or be indicative of the results of operations that would have been reported had the acquisition occurred on January 1, 2022. Actual results may differ from the unaudited combined pro forma information presented below (in thousands):</w:t>
      </w:r>
    </w:p>
    <w:p>
      <w:pPr>
        <w:pStyle w:val="TextBody"/>
        <w:bidi w:val="0"/>
        <w:spacing w:before="0" w:after="0"/>
        <w:ind w:left="1526" w:right="0" w:firstLine="4"/>
        <w:jc w:val="left"/>
        <w:rPr>
          <w:caps w:val="false"/>
          <w:smallCaps w:val="false"/>
        </w:rPr>
      </w:pPr>
      <w:r>
        <w:rPr>
          <w:caps w:val="false"/>
          <w:smallCaps w:val="false"/>
        </w:rPr>
        <w:t> </w:t>
      </w:r>
    </w:p>
    <w:tbl>
      <w:tblPr>
        <w:tblW w:w="4358" w:type="dxa"/>
        <w:jc w:val="left"/>
        <w:tblInd w:w="0" w:type="dxa"/>
        <w:tblLayout w:type="fixed"/>
        <w:tblCellMar>
          <w:top w:w="0" w:type="dxa"/>
          <w:left w:w="0" w:type="dxa"/>
          <w:bottom w:w="0" w:type="dxa"/>
          <w:right w:w="0" w:type="dxa"/>
        </w:tblCellMar>
      </w:tblPr>
      <w:tblGrid>
        <w:gridCol w:w="965"/>
        <w:gridCol w:w="60"/>
        <w:gridCol w:w="239"/>
        <w:gridCol w:w="1295"/>
        <w:gridCol w:w="95"/>
        <w:gridCol w:w="60"/>
        <w:gridCol w:w="239"/>
        <w:gridCol w:w="1295"/>
        <w:gridCol w:w="110"/>
      </w:tblGrid>
      <w:tr>
        <w:trPr/>
        <w:tc>
          <w:tcPr>
            <w:tcW w:w="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Three Months</w:t>
              <w:br/>
              <w:t>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Nine Months</w:t>
              <w:br/>
              <w:t>Ended</w:t>
            </w:r>
          </w:p>
        </w:tc>
        <w:tc>
          <w:tcPr>
            <w:tcW w:w="11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2022</w:t>
            </w:r>
          </w:p>
        </w:tc>
        <w:tc>
          <w:tcPr>
            <w:tcW w:w="11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22,267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79,800</w:t>
            </w:r>
          </w:p>
        </w:tc>
        <w:tc>
          <w:tcPr>
            <w:tcW w:w="110" w:type="dxa"/>
            <w:tcBorders/>
            <w:shd w:fill="CCEE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(26,498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(49,935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526" w:right="0" w:firstLine="4"/>
        <w:jc w:val="left"/>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29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(7)</w:t>
            </w:r>
          </w:p>
        </w:tc>
        <w:tc>
          <w:tcPr>
            <w:tcW w:w="4550" w:type="dxa"/>
            <w:tcBorders/>
            <w:vAlign w:val="center"/>
          </w:tcPr>
          <w:p>
            <w:pPr>
              <w:pStyle w:val="TableContents"/>
              <w:bidi w:val="0"/>
              <w:spacing w:before="0" w:after="283"/>
              <w:jc w:val="both"/>
              <w:rPr>
                <w:b/>
              </w:rPr>
            </w:pPr>
            <w:r>
              <w:rPr>
                <w:b/>
              </w:rPr>
              <w:t>Prepaid Expenses and Other Current Assets</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consists of the following (in thousands):</w:t>
      </w:r>
    </w:p>
    <w:p>
      <w:pPr>
        <w:pStyle w:val="TextBody"/>
        <w:bidi w:val="0"/>
        <w:spacing w:before="0" w:after="0"/>
        <w:ind w:left="360" w:right="0" w:hanging="0"/>
        <w:jc w:val="both"/>
        <w:rPr>
          <w:caps w:val="false"/>
          <w:smallCaps w:val="false"/>
        </w:rPr>
      </w:pPr>
      <w:r>
        <w:rPr>
          <w:caps w:val="false"/>
          <w:smallCaps w:val="false"/>
        </w:rPr>
        <w:t> </w:t>
      </w:r>
    </w:p>
    <w:tbl>
      <w:tblPr>
        <w:tblW w:w="8309" w:type="dxa"/>
        <w:jc w:val="left"/>
        <w:tblInd w:w="0" w:type="dxa"/>
        <w:tblLayout w:type="fixed"/>
        <w:tblCellMar>
          <w:top w:w="0" w:type="dxa"/>
          <w:left w:w="0" w:type="dxa"/>
          <w:bottom w:w="0" w:type="dxa"/>
          <w:right w:w="0" w:type="dxa"/>
        </w:tblCellMar>
      </w:tblPr>
      <w:tblGrid>
        <w:gridCol w:w="4475"/>
        <w:gridCol w:w="60"/>
        <w:gridCol w:w="325"/>
        <w:gridCol w:w="1300"/>
        <w:gridCol w:w="60"/>
        <w:gridCol w:w="60"/>
        <w:gridCol w:w="333"/>
        <w:gridCol w:w="1621"/>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9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Inventory deposits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3,497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6,255</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Prepaid sales commissions</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5,509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12" w:space="0" w:color="000000"/>
            </w:tcBorders>
            <w:shd w:fill="FFFFFF" w:val="clear"/>
            <w:tcMar>
              <w:bottom w:w="28" w:type="dxa"/>
            </w:tcMar>
            <w:vAlign w:val="center"/>
          </w:tcPr>
          <w:p>
            <w:pPr>
              <w:pStyle w:val="TableContents"/>
              <w:bidi w:val="0"/>
              <w:spacing w:before="0" w:after="283"/>
              <w:jc w:val="right"/>
              <w:rPr/>
            </w:pPr>
            <w:r>
              <w:rPr/>
              <w:t>2,838</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21" w:type="dxa"/>
            <w:tcBorders>
              <w:bottom w:val="single" w:sz="12" w:space="0" w:color="000000"/>
            </w:tcBorders>
            <w:shd w:fill="CCEEFF" w:val="clear"/>
            <w:tcMar>
              <w:bottom w:w="28" w:type="dxa"/>
            </w:tcMar>
            <w:vAlign w:val="center"/>
          </w:tcPr>
          <w:p>
            <w:pPr>
              <w:pStyle w:val="TableContents"/>
              <w:bidi w:val="0"/>
              <w:spacing w:before="0" w:after="283"/>
              <w:jc w:val="right"/>
              <w:rPr/>
            </w:pPr>
            <w:r>
              <w:rPr/>
              <w:t>978</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3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FFFFFF" w:val="clear"/>
            <w:tcMar>
              <w:bottom w:w="28" w:type="dxa"/>
            </w:tcMar>
            <w:vAlign w:val="center"/>
          </w:tcPr>
          <w:p>
            <w:pPr>
              <w:pStyle w:val="TableContents"/>
              <w:bidi w:val="0"/>
              <w:spacing w:before="0" w:after="283"/>
              <w:jc w:val="right"/>
              <w:rPr/>
            </w:pPr>
            <w:r>
              <w:rPr/>
              <w:t>9,947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621" w:type="dxa"/>
            <w:tcBorders>
              <w:bottom w:val="double" w:sz="10" w:space="0" w:color="000000"/>
            </w:tcBorders>
            <w:shd w:fill="FFFFFF" w:val="clear"/>
            <w:tcMar>
              <w:bottom w:w="28" w:type="dxa"/>
            </w:tcMar>
            <w:vAlign w:val="center"/>
          </w:tcPr>
          <w:p>
            <w:pPr>
              <w:pStyle w:val="TableContents"/>
              <w:bidi w:val="0"/>
              <w:spacing w:before="0" w:after="283"/>
              <w:jc w:val="right"/>
              <w:rPr/>
            </w:pPr>
            <w:r>
              <w:rPr/>
              <w:t>10,071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29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(8)</w:t>
            </w:r>
          </w:p>
        </w:tc>
        <w:tc>
          <w:tcPr>
            <w:tcW w:w="1145" w:type="dxa"/>
            <w:tcBorders/>
            <w:vAlign w:val="center"/>
          </w:tcPr>
          <w:p>
            <w:pPr>
              <w:pStyle w:val="TableContents"/>
              <w:bidi w:val="0"/>
              <w:spacing w:before="0" w:after="283"/>
              <w:jc w:val="both"/>
              <w:rPr>
                <w:b/>
              </w:rPr>
            </w:pPr>
            <w:r>
              <w:rPr>
                <w:b/>
              </w:rPr>
              <w:t>Divestiture</w:t>
            </w:r>
          </w:p>
        </w:tc>
      </w:tr>
    </w:tbl>
    <w:p>
      <w:pPr>
        <w:pStyle w:val="TextBody"/>
        <w:bidi w:val="0"/>
        <w:spacing w:before="0" w:after="0"/>
        <w:ind w:left="112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Discontinued operations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described in Note 1 – Organization, on August 18, 2023, the Company entered into a Non-Binding Letter of Intent to sell certain of Complete Solaria’s North American solar panel assets, inclusive of intellectual property and customer contracts, to Maxeon. In October 2023, the Company completed the sale of its solar panel business to Maxeon. The Company determined that this divestiture represented a strategic shift in the Company’s business and qualified as a discontinued operation. Accordingly, the results of operations and cash flows relating to Solaria have been reflected as discontinued operations in the unaudited condensed consolidated statements of operations and comprehensive income (loss) for the thirteen and thirty-nine weeks ended October 1, 2023 and the unaudited condensed consolidated statements of cash flows for the thirty-nine weeks ended October 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amounts reflected in the unaudited condensed consolidated statements of operations and comprehensive income (loss) related to discontinued operations are presented in the table, as follows (in thousands):</w:t>
      </w:r>
    </w:p>
    <w:p>
      <w:pPr>
        <w:pStyle w:val="TextBody"/>
        <w:bidi w:val="0"/>
        <w:spacing w:before="0" w:after="0"/>
        <w:ind w:left="360" w:right="0" w:hanging="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5240"/>
        <w:gridCol w:w="60"/>
        <w:gridCol w:w="226"/>
        <w:gridCol w:w="1414"/>
        <w:gridCol w:w="95"/>
        <w:gridCol w:w="60"/>
        <w:gridCol w:w="170"/>
        <w:gridCol w:w="1065"/>
        <w:gridCol w:w="110"/>
      </w:tblGrid>
      <w:tr>
        <w:trPr/>
        <w:tc>
          <w:tcPr>
            <w:tcW w:w="52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Thirteen Weeks</w:t>
              <w:br/>
              <w:t>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Thirty-Nine</w:t>
              <w:br/>
              <w:t>Weeks</w:t>
              <w:br/>
              <w:t>Ended</w:t>
            </w:r>
          </w:p>
        </w:tc>
        <w:tc>
          <w:tcPr>
            <w:tcW w:w="110" w:type="dxa"/>
            <w:tcBorders/>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110" w:type="dxa"/>
            <w:tcBorders/>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14" w:type="dxa"/>
            <w:tcBorders/>
            <w:shd w:fill="CCEEFF" w:val="clear"/>
            <w:vAlign w:val="center"/>
          </w:tcPr>
          <w:p>
            <w:pPr>
              <w:pStyle w:val="TableContents"/>
              <w:bidi w:val="0"/>
              <w:spacing w:before="0" w:after="283"/>
              <w:jc w:val="right"/>
              <w:rPr/>
            </w:pPr>
            <w:r>
              <w:rPr/>
              <w:t>3,774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r>
              <w:rPr/>
              <w:t>29,048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4" w:type="dxa"/>
            <w:tcBorders>
              <w:bottom w:val="single" w:sz="12" w:space="0" w:color="000000"/>
            </w:tcBorders>
            <w:shd w:fill="FFFFFF" w:val="clear"/>
            <w:tcMar>
              <w:bottom w:w="28" w:type="dxa"/>
            </w:tcMar>
            <w:vAlign w:val="center"/>
          </w:tcPr>
          <w:p>
            <w:pPr>
              <w:pStyle w:val="TableContents"/>
              <w:bidi w:val="0"/>
              <w:spacing w:before="0" w:after="283"/>
              <w:jc w:val="right"/>
              <w:rPr/>
            </w:pPr>
            <w:r>
              <w:rPr/>
              <w:t>4,102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30,609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(1,561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4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2,425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6,855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4" w:type="dxa"/>
            <w:tcBorders>
              <w:bottom w:val="single" w:sz="12" w:space="0" w:color="000000"/>
            </w:tcBorders>
            <w:shd w:fill="FFFFFF" w:val="clear"/>
            <w:tcMar>
              <w:bottom w:w="28" w:type="dxa"/>
            </w:tcMar>
            <w:vAlign w:val="center"/>
          </w:tcPr>
          <w:p>
            <w:pPr>
              <w:pStyle w:val="TableContents"/>
              <w:bidi w:val="0"/>
              <w:spacing w:before="0" w:after="283"/>
              <w:jc w:val="right"/>
              <w:rPr/>
            </w:pPr>
            <w:r>
              <w:rPr/>
              <w:t>5,681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12,572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4" w:type="dxa"/>
            <w:tcBorders>
              <w:bottom w:val="single" w:sz="12" w:space="0" w:color="000000"/>
            </w:tcBorders>
            <w:shd w:fill="CCEEFF" w:val="clear"/>
            <w:tcMar>
              <w:bottom w:w="28" w:type="dxa"/>
            </w:tcMar>
            <w:vAlign w:val="center"/>
          </w:tcPr>
          <w:p>
            <w:pPr>
              <w:pStyle w:val="TableContents"/>
              <w:bidi w:val="0"/>
              <w:spacing w:before="0" w:after="283"/>
              <w:jc w:val="right"/>
              <w:rPr/>
            </w:pPr>
            <w:r>
              <w:rPr/>
              <w:t>8,106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19,427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Loss from discontinued operations</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pPr>
            <w:r>
              <w:rPr/>
              <w:t>(8,434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(20,988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4"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Loss from discontinued operations before income taxes</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pPr>
            <w:r>
              <w:rPr/>
              <w:t>(8,403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(20,956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40" w:type="dxa"/>
            <w:tcBorders/>
            <w:shd w:fill="CCEEFF" w:val="clear"/>
            <w:vAlign w:val="center"/>
          </w:tcPr>
          <w:p>
            <w:pPr>
              <w:pStyle w:val="TableContents"/>
              <w:bidi w:val="0"/>
              <w:spacing w:before="0" w:after="283"/>
              <w:jc w:val="left"/>
              <w:rPr/>
            </w:pPr>
            <w:r>
              <w:rPr/>
              <w:t>Income tax benefit (provision)</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Impairment loss from discontinued operations</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4" w:type="dxa"/>
            <w:tcBorders>
              <w:bottom w:val="single" w:sz="12" w:space="0" w:color="000000"/>
            </w:tcBorders>
            <w:shd w:fill="FFFFFF" w:val="clear"/>
            <w:tcMar>
              <w:bottom w:w="28" w:type="dxa"/>
            </w:tcMar>
            <w:vAlign w:val="center"/>
          </w:tcPr>
          <w:p>
            <w:pPr>
              <w:pStyle w:val="TableContents"/>
              <w:bidi w:val="0"/>
              <w:spacing w:before="0" w:after="283"/>
              <w:jc w:val="right"/>
              <w:rPr/>
            </w:pPr>
            <w:r>
              <w:rPr/>
              <w:t>(147,505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(147,505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40" w:type="dxa"/>
            <w:tcBorders/>
            <w:shd w:fill="CCEEFF" w:val="clear"/>
            <w:vAlign w:val="center"/>
          </w:tcPr>
          <w:p>
            <w:pPr>
              <w:pStyle w:val="TableContents"/>
              <w:bidi w:val="0"/>
              <w:spacing w:before="0" w:after="283"/>
              <w:jc w:val="left"/>
              <w:rPr/>
            </w:pPr>
            <w:r>
              <w:rPr/>
              <w:t>Net loss from discontinued operations</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4" w:type="dxa"/>
            <w:tcBorders>
              <w:bottom w:val="double" w:sz="10" w:space="0" w:color="000000"/>
            </w:tcBorders>
            <w:shd w:fill="CCEEFF" w:val="clear"/>
            <w:tcMar>
              <w:bottom w:w="28" w:type="dxa"/>
            </w:tcMar>
            <w:vAlign w:val="center"/>
          </w:tcPr>
          <w:p>
            <w:pPr>
              <w:pStyle w:val="TableContents"/>
              <w:bidi w:val="0"/>
              <w:spacing w:before="0" w:after="283"/>
              <w:jc w:val="right"/>
              <w:rPr/>
            </w:pPr>
            <w:r>
              <w:rPr/>
              <w:t>(155,909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5" w:type="dxa"/>
            <w:tcBorders>
              <w:bottom w:val="double" w:sz="10" w:space="0" w:color="000000"/>
            </w:tcBorders>
            <w:shd w:fill="CCEEFF" w:val="clear"/>
            <w:tcMar>
              <w:bottom w:w="28" w:type="dxa"/>
            </w:tcMar>
            <w:vAlign w:val="center"/>
          </w:tcPr>
          <w:p>
            <w:pPr>
              <w:pStyle w:val="TableContents"/>
              <w:bidi w:val="0"/>
              <w:spacing w:before="0" w:after="283"/>
              <w:jc w:val="right"/>
              <w:rPr/>
            </w:pPr>
            <w:r>
              <w:rPr/>
              <w:t>(168,458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Held for sale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described in Note 1 – Organization, certain assets of the Solaria, Inc. have been reflected as assets held for sale in the periods preceding the divestiture.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major categories of assets and liabilities held for sale (in thousands):</w:t>
      </w:r>
    </w:p>
    <w:p>
      <w:pPr>
        <w:pStyle w:val="TextBody"/>
        <w:bidi w:val="0"/>
        <w:spacing w:before="0" w:after="0"/>
        <w:ind w:left="1520" w:right="0" w:hanging="0"/>
        <w:jc w:val="left"/>
        <w:rPr>
          <w:caps w:val="false"/>
          <w:smallCaps w:val="false"/>
        </w:rPr>
      </w:pPr>
      <w:r>
        <w:rPr>
          <w:caps w:val="false"/>
          <w:smallCaps w:val="false"/>
        </w:rPr>
        <w:t> </w:t>
      </w:r>
    </w:p>
    <w:tbl>
      <w:tblPr>
        <w:tblW w:w="5610" w:type="dxa"/>
        <w:jc w:val="left"/>
        <w:tblInd w:w="0" w:type="dxa"/>
        <w:tblLayout w:type="fixed"/>
        <w:tblCellMar>
          <w:top w:w="0" w:type="dxa"/>
          <w:left w:w="0" w:type="dxa"/>
          <w:bottom w:w="0" w:type="dxa"/>
          <w:right w:w="0" w:type="dxa"/>
        </w:tblCellMar>
      </w:tblPr>
      <w:tblGrid>
        <w:gridCol w:w="2855"/>
        <w:gridCol w:w="60"/>
        <w:gridCol w:w="185"/>
        <w:gridCol w:w="900"/>
        <w:gridCol w:w="60"/>
        <w:gridCol w:w="60"/>
        <w:gridCol w:w="210"/>
        <w:gridCol w:w="1205"/>
        <w:gridCol w:w="75"/>
      </w:tblGrid>
      <w:tr>
        <w:trPr/>
        <w:tc>
          <w:tcPr>
            <w:tcW w:w="2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12,299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42,610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119,422</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Long-term assets held for sale</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CCEEFF" w:val="clear"/>
            <w:tcMar>
              <w:bottom w:w="28" w:type="dxa"/>
            </w:tcMar>
            <w:vAlign w:val="center"/>
          </w:tcPr>
          <w:p>
            <w:pPr>
              <w:pStyle w:val="TableContents"/>
              <w:bidi w:val="0"/>
              <w:spacing w:before="0" w:after="283"/>
              <w:jc w:val="right"/>
              <w:rPr/>
            </w:pPr>
            <w:r>
              <w:rPr/>
              <w:t>12,299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162,032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20" w:right="0" w:hanging="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29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(9)</w:t>
            </w:r>
          </w:p>
        </w:tc>
        <w:tc>
          <w:tcPr>
            <w:tcW w:w="3080" w:type="dxa"/>
            <w:tcBorders/>
            <w:vAlign w:val="center"/>
          </w:tcPr>
          <w:p>
            <w:pPr>
              <w:pStyle w:val="TableContents"/>
              <w:bidi w:val="0"/>
              <w:spacing w:before="0" w:after="283"/>
              <w:jc w:val="both"/>
              <w:rPr>
                <w:b/>
              </w:rPr>
            </w:pPr>
            <w:r>
              <w:rPr>
                <w:b/>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 (in thousands, except year data):</w:t>
      </w:r>
    </w:p>
    <w:p>
      <w:pPr>
        <w:pStyle w:val="TextBody"/>
        <w:bidi w:val="0"/>
        <w:spacing w:before="0" w:after="0"/>
        <w:ind w:left="360" w:right="0" w:hanging="0"/>
        <w:jc w:val="both"/>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4625"/>
        <w:gridCol w:w="60"/>
        <w:gridCol w:w="379"/>
        <w:gridCol w:w="886"/>
        <w:gridCol w:w="60"/>
        <w:gridCol w:w="60"/>
        <w:gridCol w:w="196"/>
        <w:gridCol w:w="889"/>
        <w:gridCol w:w="95"/>
        <w:gridCol w:w="60"/>
        <w:gridCol w:w="255"/>
        <w:gridCol w:w="1160"/>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Useful Lives</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110" w:type="dxa"/>
            <w:tcBorders/>
            <w:vAlign w:val="center"/>
          </w:tcPr>
          <w:p>
            <w:pPr>
              <w:pStyle w:val="TableContents"/>
              <w:bidi w:val="0"/>
              <w:spacing w:before="0" w:after="283"/>
              <w:ind w:left="0" w:right="0" w:hanging="180"/>
              <w:jc w:val="left"/>
              <w:rPr/>
            </w:pPr>
            <w:r>
              <w:rPr/>
              <w:t> </w:t>
            </w:r>
          </w:p>
        </w:tc>
      </w:tr>
      <w:tr>
        <w:trPr/>
        <w:tc>
          <w:tcPr>
            <w:tcW w:w="4625" w:type="dxa"/>
            <w:tcBorders/>
            <w:shd w:fill="CCEEFF" w:val="clear"/>
            <w:vAlign w:val="center"/>
          </w:tcPr>
          <w:p>
            <w:pPr>
              <w:pStyle w:val="TableContents"/>
              <w:bidi w:val="0"/>
              <w:spacing w:before="0" w:after="283"/>
              <w:jc w:val="left"/>
              <w:rPr/>
            </w:pPr>
            <w:r>
              <w:rPr/>
              <w:t>Developed software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6,559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5,054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25" w:type="dxa"/>
            <w:tcBorders/>
            <w:shd w:fill="FFFFFF" w:val="clear"/>
            <w:vAlign w:val="center"/>
          </w:tcPr>
          <w:p>
            <w:pPr>
              <w:pStyle w:val="TableContents"/>
              <w:bidi w:val="0"/>
              <w:spacing w:before="0" w:after="283"/>
              <w:jc w:val="left"/>
              <w:rPr/>
            </w:pPr>
            <w:r>
              <w:rPr/>
              <w:t>Manufacturing equipment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102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25" w:type="dxa"/>
            <w:tcBorders/>
            <w:shd w:fill="CCEEFF" w:val="clear"/>
            <w:vAlign w:val="center"/>
          </w:tcPr>
          <w:p>
            <w:pPr>
              <w:pStyle w:val="TableContents"/>
              <w:bidi w:val="0"/>
              <w:spacing w:before="0" w:after="283"/>
              <w:jc w:val="left"/>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90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2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FFFFFF" w:val="clear"/>
            <w:tcMar>
              <w:bottom w:w="28" w:type="dxa"/>
            </w:tcMar>
            <w:vAlign w:val="center"/>
          </w:tcPr>
          <w:p>
            <w:pPr>
              <w:pStyle w:val="TableContents"/>
              <w:bidi w:val="0"/>
              <w:spacing w:before="0" w:after="283"/>
              <w:jc w:val="right"/>
              <w:rPr/>
            </w:pPr>
            <w:r>
              <w:rPr/>
              <w:t>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pPr>
            <w:r>
              <w:rPr/>
              <w:t>708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25" w:type="dxa"/>
            <w:tcBorders/>
            <w:shd w:fill="CCEEFF" w:val="clear"/>
            <w:vAlign w:val="center"/>
          </w:tcPr>
          <w:p>
            <w:pPr>
              <w:pStyle w:val="TableContents"/>
              <w:bidi w:val="0"/>
              <w:spacing w:before="0" w:after="283"/>
              <w:jc w:val="left"/>
              <w:rPr/>
            </w:pPr>
            <w:r>
              <w:rPr/>
              <w:t>Total property and equipment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7,488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5,954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25"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FFFFFF" w:val="clear"/>
            <w:tcMar>
              <w:bottom w:w="28" w:type="dxa"/>
            </w:tcMar>
            <w:vAlign w:val="center"/>
          </w:tcPr>
          <w:p>
            <w:pPr>
              <w:pStyle w:val="TableContents"/>
              <w:bidi w:val="0"/>
              <w:spacing w:before="0" w:after="283"/>
              <w:jc w:val="right"/>
              <w:rPr/>
            </w:pPr>
            <w:r>
              <w:rPr/>
              <w:t>(3,303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pPr>
            <w:r>
              <w:rPr/>
              <w:t>(2,478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25" w:type="dxa"/>
            <w:tcBorders/>
            <w:shd w:fill="CCEEFF" w:val="clear"/>
            <w:vAlign w:val="center"/>
          </w:tcPr>
          <w:p>
            <w:pPr>
              <w:pStyle w:val="TableContents"/>
              <w:bidi w:val="0"/>
              <w:spacing w:before="0" w:after="283"/>
              <w:jc w:val="left"/>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9" w:type="dxa"/>
            <w:tcBorders>
              <w:bottom w:val="double" w:sz="10" w:space="0" w:color="000000"/>
            </w:tcBorders>
            <w:shd w:fill="CCEEFF" w:val="clear"/>
            <w:tcMar>
              <w:bottom w:w="28" w:type="dxa"/>
            </w:tcMar>
            <w:vAlign w:val="center"/>
          </w:tcPr>
          <w:p>
            <w:pPr>
              <w:pStyle w:val="TableContents"/>
              <w:bidi w:val="0"/>
              <w:spacing w:before="0" w:after="283"/>
              <w:jc w:val="right"/>
              <w:rPr/>
            </w:pPr>
            <w:r>
              <w:rPr/>
              <w:t>4,185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pPr>
            <w:r>
              <w:rPr/>
              <w:t>3,476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tangible assets totaled $0.3 million and $0.6 million for the thirteen and thirty-nine weeks ended October 1, 2023, respectively, and $0.2 million and $0.4 million for the three and nine months ended September 30, 2022, respectively. There were no impairment charges on tangible assets recognized for the thirteen or thirty-nine weeks ended October 1, 2023, or for the three or nine months ended September 30, 2022.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20" w:right="0" w:hanging="0"/>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41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(10)</w:t>
            </w:r>
          </w:p>
        </w:tc>
        <w:tc>
          <w:tcPr>
            <w:tcW w:w="3185" w:type="dxa"/>
            <w:tcBorders/>
            <w:vAlign w:val="center"/>
          </w:tcPr>
          <w:p>
            <w:pPr>
              <w:pStyle w:val="TableContents"/>
              <w:bidi w:val="0"/>
              <w:spacing w:before="0" w:after="283"/>
              <w:jc w:val="both"/>
              <w:rPr>
                <w:b/>
              </w:rPr>
            </w:pPr>
            <w:r>
              <w:rPr>
                <w:b/>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thirteen and thirty-nine weeks ended October 1, 2023, the Company recorded $119.4 million of goodwill impairment related to the goodwill assigned to Solaria, Inc. See Note 8 – Divestiture for additional information regarding the divestiture. The goodwill balances as of October 1, 2023 and December 31, 2022 were zero and $119.4 million, respectively. See Note 6 – Business Combination for additional information regarding the Company’s acquisitions including recognition of goodwill.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intangible assets reported as of October 1, 2023 and December 31, 2022 (in thousands, except years data):</w:t>
      </w:r>
    </w:p>
    <w:p>
      <w:pPr>
        <w:pStyle w:val="TextBody"/>
        <w:bidi w:val="0"/>
        <w:spacing w:before="0" w:after="0"/>
        <w:ind w:left="15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2"/>
        <w:gridCol w:w="60"/>
        <w:gridCol w:w="326"/>
        <w:gridCol w:w="1596"/>
        <w:gridCol w:w="60"/>
        <w:gridCol w:w="60"/>
        <w:gridCol w:w="193"/>
        <w:gridCol w:w="1042"/>
        <w:gridCol w:w="95"/>
        <w:gridCol w:w="60"/>
        <w:gridCol w:w="182"/>
        <w:gridCol w:w="987"/>
        <w:gridCol w:w="95"/>
        <w:gridCol w:w="60"/>
        <w:gridCol w:w="404"/>
        <w:gridCol w:w="1839"/>
        <w:gridCol w:w="95"/>
        <w:gridCol w:w="60"/>
        <w:gridCol w:w="392"/>
        <w:gridCol w:w="728"/>
        <w:gridCol w:w="79"/>
      </w:tblGrid>
      <w:tr>
        <w:trPr/>
        <w:tc>
          <w:tcPr>
            <w:tcW w:w="179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274"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October 1, 2023</w:t>
            </w:r>
          </w:p>
        </w:tc>
        <w:tc>
          <w:tcPr>
            <w:tcW w:w="79" w:type="dxa"/>
            <w:tcBorders/>
            <w:vAlign w:val="center"/>
          </w:tcPr>
          <w:p>
            <w:pPr>
              <w:pStyle w:val="TableContents"/>
              <w:bidi w:val="0"/>
              <w:spacing w:before="0" w:after="283"/>
              <w:ind w:left="0" w:right="0" w:hanging="180"/>
              <w:jc w:val="left"/>
              <w:rPr/>
            </w:pPr>
            <w:r>
              <w:rPr/>
              <w:t> </w:t>
            </w:r>
          </w:p>
        </w:tc>
      </w:tr>
      <w:tr>
        <w:trPr/>
        <w:tc>
          <w:tcPr>
            <w:tcW w:w="17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Held for Sale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Amount</w:t>
            </w:r>
          </w:p>
        </w:tc>
        <w:tc>
          <w:tcPr>
            <w:tcW w:w="79" w:type="dxa"/>
            <w:tcBorders/>
            <w:vAlign w:val="center"/>
          </w:tcPr>
          <w:p>
            <w:pPr>
              <w:pStyle w:val="TableContents"/>
              <w:bidi w:val="0"/>
              <w:spacing w:before="0" w:after="283"/>
              <w:ind w:left="0" w:right="0" w:hanging="180"/>
              <w:jc w:val="left"/>
              <w:rPr/>
            </w:pPr>
            <w:r>
              <w:rPr/>
              <w:t> </w:t>
            </w:r>
          </w:p>
        </w:tc>
      </w:tr>
      <w:tr>
        <w:trPr/>
        <w:tc>
          <w:tcPr>
            <w:tcW w:w="1792" w:type="dxa"/>
            <w:tcBorders/>
            <w:shd w:fill="CCEEFF" w:val="clear"/>
            <w:vAlign w:val="center"/>
          </w:tcPr>
          <w:p>
            <w:pPr>
              <w:pStyle w:val="TableContents"/>
              <w:bidi w:val="0"/>
              <w:spacing w:before="0" w:after="283"/>
              <w:jc w:val="left"/>
              <w:rPr/>
            </w:pPr>
            <w:r>
              <w:rPr/>
              <w:t>Assembled workforce</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96"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0"/>
              <w:jc w:val="right"/>
              <w:rPr/>
            </w:pPr>
            <w:r>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92"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596" w:type="dxa"/>
            <w:tcBorders/>
            <w:shd w:fill="FFFFFF" w:val="clear"/>
            <w:vAlign w:val="center"/>
          </w:tcPr>
          <w:p>
            <w:pPr>
              <w:pStyle w:val="TableContents"/>
              <w:bidi w:val="0"/>
              <w:spacing w:before="0" w:after="283"/>
              <w:jc w:val="right"/>
              <w:rPr/>
            </w:pPr>
            <w:r>
              <w:rPr/>
              <w:t>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(3,714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(1,463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(523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0"/>
              <w:jc w:val="right"/>
              <w:rPr/>
            </w:pPr>
            <w:r>
              <w:rPr/>
              <w:t>—</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92" w:type="dxa"/>
            <w:tcBorders/>
            <w:shd w:fill="CCEEFF" w:val="clear"/>
            <w:vAlign w:val="center"/>
          </w:tcPr>
          <w:p>
            <w:pPr>
              <w:pStyle w:val="TableContents"/>
              <w:bidi w:val="0"/>
              <w:spacing w:before="0" w:after="283"/>
              <w:jc w:val="left"/>
              <w:rPr/>
            </w:pPr>
            <w:r>
              <w:rPr/>
              <w:t>Customer relationship</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24,700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(16,094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(7,577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(1,029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0"/>
              <w:jc w:val="right"/>
              <w:rPr/>
            </w:pPr>
            <w:r>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92" w:type="dxa"/>
            <w:tcBorders/>
            <w:shd w:fill="FFFFFF" w:val="clear"/>
            <w:vAlign w:val="center"/>
          </w:tcPr>
          <w:p>
            <w:pPr>
              <w:pStyle w:val="TableContents"/>
              <w:bidi w:val="0"/>
              <w:spacing w:before="0" w:after="283"/>
              <w:jc w:val="left"/>
              <w:rPr/>
            </w:pPr>
            <w:r>
              <w:rPr/>
              <w:t>Developed technology</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96" w:type="dxa"/>
            <w:tcBorders>
              <w:bottom w:val="single" w:sz="12" w:space="0" w:color="000000"/>
            </w:tcBorders>
            <w:shd w:fill="FFFFFF" w:val="clear"/>
            <w:tcMar>
              <w:bottom w:w="28" w:type="dxa"/>
            </w:tcMar>
            <w:vAlign w:val="center"/>
          </w:tcPr>
          <w:p>
            <w:pPr>
              <w:pStyle w:val="TableContents"/>
              <w:bidi w:val="0"/>
              <w:spacing w:before="0" w:after="283"/>
              <w:jc w:val="right"/>
              <w:rPr/>
            </w:pPr>
            <w:r>
              <w:rPr/>
              <w:t>12,700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FFFFFF" w:val="clear"/>
            <w:tcMar>
              <w:bottom w:w="28" w:type="dxa"/>
            </w:tcMar>
            <w:vAlign w:val="center"/>
          </w:tcPr>
          <w:p>
            <w:pPr>
              <w:pStyle w:val="TableContents"/>
              <w:bidi w:val="0"/>
              <w:spacing w:before="0" w:after="283"/>
              <w:jc w:val="right"/>
              <w:rPr/>
            </w:pPr>
            <w:r>
              <w:rPr/>
              <w:t>(8,275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FFFFFF" w:val="clear"/>
            <w:tcMar>
              <w:bottom w:w="28" w:type="dxa"/>
            </w:tcMar>
            <w:vAlign w:val="center"/>
          </w:tcPr>
          <w:p>
            <w:pPr>
              <w:pStyle w:val="TableContents"/>
              <w:bidi w:val="0"/>
              <w:spacing w:before="0" w:after="283"/>
              <w:jc w:val="right"/>
              <w:rPr/>
            </w:pPr>
            <w:r>
              <w:rPr/>
              <w:t>(3,259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39" w:type="dxa"/>
            <w:tcBorders>
              <w:bottom w:val="single" w:sz="12" w:space="0" w:color="000000"/>
            </w:tcBorders>
            <w:shd w:fill="FFFFFF" w:val="clear"/>
            <w:tcMar>
              <w:bottom w:w="28" w:type="dxa"/>
            </w:tcMar>
            <w:vAlign w:val="center"/>
          </w:tcPr>
          <w:p>
            <w:pPr>
              <w:pStyle w:val="TableContents"/>
              <w:bidi w:val="0"/>
              <w:spacing w:before="0" w:after="283"/>
              <w:jc w:val="right"/>
              <w:rPr/>
            </w:pPr>
            <w:r>
              <w:rPr/>
              <w:t>(1,166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92" w:type="dxa"/>
            <w:tcBorders/>
            <w:shd w:fill="CCEEFF" w:val="clear"/>
            <w:vAlign w:val="center"/>
          </w:tcPr>
          <w:p>
            <w:pPr>
              <w:pStyle w:val="TableContents"/>
              <w:bidi w:val="0"/>
              <w:spacing w:before="0" w:after="283"/>
              <w:jc w:val="left"/>
              <w:rPr/>
            </w:pPr>
            <w:r>
              <w:rPr/>
              <w:t>Total intangible assets</w:t>
            </w:r>
          </w:p>
        </w:tc>
        <w:tc>
          <w:tcPr>
            <w:tcW w:w="60" w:type="dxa"/>
            <w:tcBorders/>
            <w:shd w:fill="CCEEFF" w:val="clear"/>
            <w:vAlign w:val="center"/>
          </w:tcPr>
          <w:p>
            <w:pPr>
              <w:pStyle w:val="TableContents"/>
              <w:bidi w:val="0"/>
              <w:spacing w:before="0" w:after="283"/>
              <w:jc w:val="left"/>
              <w:rPr/>
            </w:pPr>
            <w:r>
              <w:rPr/>
              <w:t> </w:t>
            </w:r>
          </w:p>
        </w:tc>
        <w:tc>
          <w:tcPr>
            <w:tcW w:w="3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96" w:type="dxa"/>
            <w:tcBorders>
              <w:bottom w:val="double" w:sz="10" w:space="0" w:color="000000"/>
            </w:tcBorders>
            <w:shd w:fill="CCEEFF" w:val="clear"/>
            <w:tcMar>
              <w:bottom w:w="28" w:type="dxa"/>
            </w:tcMar>
            <w:vAlign w:val="center"/>
          </w:tcPr>
          <w:p>
            <w:pPr>
              <w:pStyle w:val="TableContents"/>
              <w:bidi w:val="0"/>
              <w:spacing w:before="0" w:after="283"/>
              <w:jc w:val="right"/>
              <w:rPr/>
            </w:pPr>
            <w:r>
              <w:rPr/>
              <w:t>43,237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2" w:type="dxa"/>
            <w:tcBorders>
              <w:bottom w:val="double" w:sz="10" w:space="0" w:color="000000"/>
            </w:tcBorders>
            <w:shd w:fill="CCEEFF" w:val="clear"/>
            <w:tcMar>
              <w:bottom w:w="28" w:type="dxa"/>
            </w:tcMar>
            <w:vAlign w:val="center"/>
          </w:tcPr>
          <w:p>
            <w:pPr>
              <w:pStyle w:val="TableContents"/>
              <w:bidi w:val="0"/>
              <w:spacing w:before="0" w:after="283"/>
              <w:jc w:val="right"/>
              <w:rPr/>
            </w:pPr>
            <w:r>
              <w:rPr/>
              <w:t>(28,083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7" w:type="dxa"/>
            <w:tcBorders>
              <w:bottom w:val="double" w:sz="10" w:space="0" w:color="000000"/>
            </w:tcBorders>
            <w:shd w:fill="CCEEFF" w:val="clear"/>
            <w:tcMar>
              <w:bottom w:w="28" w:type="dxa"/>
            </w:tcMar>
            <w:vAlign w:val="center"/>
          </w:tcPr>
          <w:p>
            <w:pPr>
              <w:pStyle w:val="TableContents"/>
              <w:bidi w:val="0"/>
              <w:spacing w:before="0" w:after="283"/>
              <w:jc w:val="right"/>
              <w:rPr/>
            </w:pPr>
            <w:r>
              <w:rPr/>
              <w:t>(12,299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39" w:type="dxa"/>
            <w:tcBorders>
              <w:bottom w:val="double" w:sz="10" w:space="0" w:color="000000"/>
            </w:tcBorders>
            <w:shd w:fill="CCEEFF" w:val="clear"/>
            <w:tcMar>
              <w:bottom w:w="28" w:type="dxa"/>
            </w:tcMar>
            <w:vAlign w:val="center"/>
          </w:tcPr>
          <w:p>
            <w:pPr>
              <w:pStyle w:val="TableContents"/>
              <w:bidi w:val="0"/>
              <w:spacing w:before="0" w:after="283"/>
              <w:jc w:val="right"/>
              <w:rPr/>
            </w:pPr>
            <w:r>
              <w:rPr/>
              <w:t>(2,855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5"/>
        <w:gridCol w:w="60"/>
        <w:gridCol w:w="3160"/>
        <w:gridCol w:w="60"/>
        <w:gridCol w:w="296"/>
        <w:gridCol w:w="1448"/>
        <w:gridCol w:w="60"/>
        <w:gridCol w:w="60"/>
        <w:gridCol w:w="489"/>
        <w:gridCol w:w="1592"/>
        <w:gridCol w:w="95"/>
        <w:gridCol w:w="60"/>
        <w:gridCol w:w="181"/>
        <w:gridCol w:w="889"/>
        <w:gridCol w:w="80"/>
      </w:tblGrid>
      <w:tr>
        <w:trPr/>
        <w:tc>
          <w:tcPr>
            <w:tcW w:w="1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70" w:type="dxa"/>
            <w:gridSpan w:val="13"/>
            <w:tcBorders>
              <w:bottom w:val="single" w:sz="12" w:space="0" w:color="000000"/>
            </w:tcBorders>
            <w:tcMar>
              <w:bottom w:w="28" w:type="dxa"/>
            </w:tcMar>
            <w:vAlign w:val="center"/>
          </w:tcPr>
          <w:p>
            <w:pPr>
              <w:pStyle w:val="TableContents"/>
              <w:bidi w:val="0"/>
              <w:spacing w:before="0" w:after="283"/>
              <w:jc w:val="center"/>
              <w:rPr>
                <w:b/>
              </w:rPr>
            </w:pPr>
            <w:r>
              <w:rPr>
                <w:b/>
              </w:rPr>
              <w:t>As of December 31, 2022</w:t>
            </w:r>
          </w:p>
        </w:tc>
      </w:tr>
      <w:tr>
        <w:trPr/>
        <w:tc>
          <w:tcPr>
            <w:tcW w:w="1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0" w:type="dxa"/>
            <w:tcBorders>
              <w:bottom w:val="single" w:sz="12" w:space="0" w:color="000000"/>
            </w:tcBorders>
            <w:tcMar>
              <w:bottom w:w="28" w:type="dxa"/>
            </w:tcMar>
            <w:vAlign w:val="center"/>
          </w:tcPr>
          <w:p>
            <w:pPr>
              <w:pStyle w:val="TableContents"/>
              <w:bidi w:val="0"/>
              <w:spacing w:before="0" w:after="283"/>
              <w:jc w:val="center"/>
              <w:rPr>
                <w:b/>
              </w:rPr>
            </w:pPr>
            <w:r>
              <w:rPr>
                <w:b/>
              </w:rPr>
              <w:t>Weighted-Average Remaining Life (Years)</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Amount</w:t>
            </w:r>
          </w:p>
        </w:tc>
        <w:tc>
          <w:tcPr>
            <w:tcW w:w="80" w:type="dxa"/>
            <w:tcBorders/>
            <w:vAlign w:val="center"/>
          </w:tcPr>
          <w:p>
            <w:pPr>
              <w:pStyle w:val="TableContents"/>
              <w:bidi w:val="0"/>
              <w:spacing w:before="0" w:after="283"/>
              <w:jc w:val="left"/>
              <w:rPr/>
            </w:pPr>
            <w:r>
              <w:rPr/>
              <w:t> </w:t>
            </w:r>
          </w:p>
        </w:tc>
      </w:tr>
      <w:tr>
        <w:trPr/>
        <w:tc>
          <w:tcPr>
            <w:tcW w:w="1675" w:type="dxa"/>
            <w:tcBorders/>
            <w:shd w:fill="CCEEFF" w:val="clear"/>
            <w:vAlign w:val="center"/>
          </w:tcPr>
          <w:p>
            <w:pPr>
              <w:pStyle w:val="TableContents"/>
              <w:bidi w:val="0"/>
              <w:spacing w:before="0" w:after="283"/>
              <w:jc w:val="left"/>
              <w:rPr/>
            </w:pPr>
            <w:r>
              <w:rPr/>
              <w:t>Assembled workforce</w:t>
            </w:r>
          </w:p>
        </w:tc>
        <w:tc>
          <w:tcPr>
            <w:tcW w:w="60" w:type="dxa"/>
            <w:tcBorders/>
            <w:shd w:fill="CCEEFF" w:val="clear"/>
            <w:vAlign w:val="center"/>
          </w:tcPr>
          <w:p>
            <w:pPr>
              <w:pStyle w:val="TableContents"/>
              <w:bidi w:val="0"/>
              <w:spacing w:before="0" w:after="283"/>
              <w:jc w:val="left"/>
              <w:rPr/>
            </w:pPr>
            <w:r>
              <w:rPr/>
              <w:t> </w:t>
            </w:r>
          </w:p>
        </w:tc>
        <w:tc>
          <w:tcPr>
            <w:tcW w:w="3160" w:type="dxa"/>
            <w:tcBorders/>
            <w:shd w:fill="CCEEFF" w:val="clear"/>
            <w:vAlign w:val="center"/>
          </w:tcPr>
          <w:p>
            <w:pPr>
              <w:pStyle w:val="TableContents"/>
              <w:bidi w:val="0"/>
              <w:spacing w:before="0" w:after="283"/>
              <w:jc w:val="center"/>
              <w:rPr/>
            </w:pPr>
            <w:r>
              <w:rPr/>
              <w:t>0.1</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w:t>
            </w:r>
          </w:p>
        </w:tc>
        <w:tc>
          <w:tcPr>
            <w:tcW w:w="1592" w:type="dxa"/>
            <w:tcBorders/>
            <w:shd w:fill="CCEEFF" w:val="cle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4</w:t>
            </w:r>
          </w:p>
        </w:tc>
        <w:tc>
          <w:tcPr>
            <w:tcW w:w="80" w:type="dxa"/>
            <w:tcBorders/>
            <w:shd w:fill="CCEEFF" w:val="clear"/>
            <w:vAlign w:val="center"/>
          </w:tcPr>
          <w:p>
            <w:pPr>
              <w:pStyle w:val="TableContents"/>
              <w:bidi w:val="0"/>
              <w:spacing w:before="0" w:after="283"/>
              <w:jc w:val="left"/>
              <w:rPr/>
            </w:pPr>
            <w:r>
              <w:rPr/>
              <w:t> </w:t>
            </w:r>
          </w:p>
        </w:tc>
      </w:tr>
      <w:tr>
        <w:trPr/>
        <w:tc>
          <w:tcPr>
            <w:tcW w:w="1675"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3160" w:type="dxa"/>
            <w:tcBorders/>
            <w:shd w:fill="FFFFFF" w:val="clear"/>
            <w:vAlign w:val="center"/>
          </w:tcPr>
          <w:p>
            <w:pPr>
              <w:pStyle w:val="TableContents"/>
              <w:bidi w:val="0"/>
              <w:spacing w:before="0" w:after="283"/>
              <w:jc w:val="center"/>
              <w:rPr/>
            </w:pPr>
            <w:r>
              <w:rPr/>
              <w:t>9.8</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p>
        </w:tc>
        <w:tc>
          <w:tcPr>
            <w:tcW w:w="1592" w:type="dxa"/>
            <w:tcBorders/>
            <w:shd w:fill="FFFFFF" w:val="clear"/>
            <w:vAlign w:val="center"/>
          </w:tcPr>
          <w:p>
            <w:pPr>
              <w:pStyle w:val="TableContents"/>
              <w:bidi w:val="0"/>
              <w:spacing w:before="0" w:after="283"/>
              <w:jc w:val="right"/>
              <w:rPr/>
            </w:pPr>
            <w:r>
              <w:rPr/>
              <w:t>(95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5,605</w:t>
            </w:r>
          </w:p>
        </w:tc>
        <w:tc>
          <w:tcPr>
            <w:tcW w:w="80" w:type="dxa"/>
            <w:tcBorders/>
            <w:shd w:fill="FFFFFF" w:val="clear"/>
            <w:vAlign w:val="center"/>
          </w:tcPr>
          <w:p>
            <w:pPr>
              <w:pStyle w:val="TableContents"/>
              <w:bidi w:val="0"/>
              <w:spacing w:before="0" w:after="283"/>
              <w:jc w:val="left"/>
              <w:rPr/>
            </w:pPr>
            <w:r>
              <w:rPr/>
              <w:t> </w:t>
            </w:r>
          </w:p>
        </w:tc>
      </w:tr>
      <w:tr>
        <w:trPr/>
        <w:tc>
          <w:tcPr>
            <w:tcW w:w="1675" w:type="dxa"/>
            <w:tcBorders/>
            <w:shd w:fill="CCEEFF" w:val="clear"/>
            <w:vAlign w:val="center"/>
          </w:tcPr>
          <w:p>
            <w:pPr>
              <w:pStyle w:val="TableContents"/>
              <w:bidi w:val="0"/>
              <w:spacing w:before="0" w:after="283"/>
              <w:jc w:val="left"/>
              <w:rPr/>
            </w:pPr>
            <w:r>
              <w:rPr/>
              <w:t>Customer relationship</w:t>
            </w:r>
          </w:p>
        </w:tc>
        <w:tc>
          <w:tcPr>
            <w:tcW w:w="60" w:type="dxa"/>
            <w:tcBorders/>
            <w:shd w:fill="CCEEFF" w:val="clear"/>
            <w:vAlign w:val="center"/>
          </w:tcPr>
          <w:p>
            <w:pPr>
              <w:pStyle w:val="TableContents"/>
              <w:bidi w:val="0"/>
              <w:spacing w:before="0" w:after="283"/>
              <w:jc w:val="left"/>
              <w:rPr/>
            </w:pPr>
            <w:r>
              <w:rPr/>
              <w:t> </w:t>
            </w:r>
          </w:p>
        </w:tc>
        <w:tc>
          <w:tcPr>
            <w:tcW w:w="3160" w:type="dxa"/>
            <w:tcBorders/>
            <w:shd w:fill="CCEEFF" w:val="clear"/>
            <w:vAlign w:val="center"/>
          </w:tcPr>
          <w:p>
            <w:pPr>
              <w:pStyle w:val="TableContents"/>
              <w:bidi w:val="0"/>
              <w:spacing w:before="0" w:after="283"/>
              <w:jc w:val="center"/>
              <w:rPr/>
            </w:pPr>
            <w:r>
              <w:rPr/>
              <w:t>21.8</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24,700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1592" w:type="dxa"/>
            <w:tcBorders/>
            <w:shd w:fill="CCEEFF" w:val="clear"/>
            <w:vAlign w:val="center"/>
          </w:tcPr>
          <w:p>
            <w:pPr>
              <w:pStyle w:val="TableContents"/>
              <w:bidi w:val="0"/>
              <w:spacing w:before="0" w:after="283"/>
              <w:jc w:val="right"/>
              <w:rPr/>
            </w:pPr>
            <w:r>
              <w:rPr/>
              <w:t>(187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24,513</w:t>
            </w:r>
          </w:p>
        </w:tc>
        <w:tc>
          <w:tcPr>
            <w:tcW w:w="80" w:type="dxa"/>
            <w:tcBorders/>
            <w:shd w:fill="CCEEFF" w:val="clear"/>
            <w:vAlign w:val="center"/>
          </w:tcPr>
          <w:p>
            <w:pPr>
              <w:pStyle w:val="TableContents"/>
              <w:bidi w:val="0"/>
              <w:spacing w:before="0" w:after="283"/>
              <w:jc w:val="left"/>
              <w:rPr/>
            </w:pPr>
            <w:r>
              <w:rPr/>
              <w:t> </w:t>
            </w:r>
          </w:p>
        </w:tc>
      </w:tr>
      <w:tr>
        <w:trPr/>
        <w:tc>
          <w:tcPr>
            <w:tcW w:w="1675" w:type="dxa"/>
            <w:tcBorders/>
            <w:shd w:fill="FFFFFF" w:val="clear"/>
            <w:vAlign w:val="center"/>
          </w:tcPr>
          <w:p>
            <w:pPr>
              <w:pStyle w:val="TableContents"/>
              <w:bidi w:val="0"/>
              <w:spacing w:before="0" w:after="283"/>
              <w:jc w:val="left"/>
              <w:rPr/>
            </w:pPr>
            <w:r>
              <w:rPr/>
              <w:t>Developed technology</w:t>
            </w:r>
          </w:p>
        </w:tc>
        <w:tc>
          <w:tcPr>
            <w:tcW w:w="60" w:type="dxa"/>
            <w:tcBorders/>
            <w:shd w:fill="FFFFFF" w:val="clear"/>
            <w:vAlign w:val="center"/>
          </w:tcPr>
          <w:p>
            <w:pPr>
              <w:pStyle w:val="TableContents"/>
              <w:bidi w:val="0"/>
              <w:spacing w:before="0" w:after="283"/>
              <w:jc w:val="left"/>
              <w:rPr/>
            </w:pPr>
            <w:r>
              <w:rPr/>
              <w:t> </w:t>
            </w:r>
          </w:p>
        </w:tc>
        <w:tc>
          <w:tcPr>
            <w:tcW w:w="3160" w:type="dxa"/>
            <w:tcBorders/>
            <w:shd w:fill="FFFFFF" w:val="clear"/>
            <w:vAlign w:val="center"/>
          </w:tcPr>
          <w:p>
            <w:pPr>
              <w:pStyle w:val="TableContents"/>
              <w:bidi w:val="0"/>
              <w:spacing w:before="0" w:after="283"/>
              <w:jc w:val="center"/>
              <w:rPr/>
            </w:pPr>
            <w:r>
              <w:rPr/>
              <w:t>9.8</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12" w:space="0" w:color="000000"/>
            </w:tcBorders>
            <w:shd w:fill="FFFFFF" w:val="clear"/>
            <w:tcMar>
              <w:bottom w:w="28" w:type="dxa"/>
            </w:tcMar>
            <w:vAlign w:val="center"/>
          </w:tcPr>
          <w:p>
            <w:pPr>
              <w:pStyle w:val="TableContents"/>
              <w:bidi w:val="0"/>
              <w:spacing w:before="0" w:after="283"/>
              <w:jc w:val="right"/>
              <w:rPr/>
            </w:pPr>
            <w:r>
              <w:rPr/>
              <w:t>12,700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92" w:type="dxa"/>
            <w:tcBorders>
              <w:bottom w:val="single" w:sz="12" w:space="0" w:color="000000"/>
            </w:tcBorders>
            <w:shd w:fill="FFFFFF" w:val="clear"/>
            <w:tcMar>
              <w:bottom w:w="28" w:type="dxa"/>
            </w:tcMar>
            <w:vAlign w:val="center"/>
          </w:tcPr>
          <w:p>
            <w:pPr>
              <w:pStyle w:val="TableContents"/>
              <w:bidi w:val="0"/>
              <w:spacing w:before="0" w:after="283"/>
              <w:jc w:val="right"/>
              <w:rPr/>
            </w:pPr>
            <w:r>
              <w:rPr/>
              <w:t>(212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FFFFFF" w:val="clear"/>
            <w:tcMar>
              <w:bottom w:w="28" w:type="dxa"/>
            </w:tcMar>
            <w:vAlign w:val="center"/>
          </w:tcPr>
          <w:p>
            <w:pPr>
              <w:pStyle w:val="TableContents"/>
              <w:bidi w:val="0"/>
              <w:spacing w:before="0" w:after="283"/>
              <w:jc w:val="right"/>
              <w:rPr/>
            </w:pPr>
            <w:r>
              <w:rPr/>
              <w:t>12,488</w:t>
            </w:r>
          </w:p>
        </w:tc>
        <w:tc>
          <w:tcPr>
            <w:tcW w:w="80" w:type="dxa"/>
            <w:tcBorders/>
            <w:shd w:fill="FFFFFF" w:val="clear"/>
            <w:vAlign w:val="center"/>
          </w:tcPr>
          <w:p>
            <w:pPr>
              <w:pStyle w:val="TableContents"/>
              <w:bidi w:val="0"/>
              <w:spacing w:before="0" w:after="283"/>
              <w:jc w:val="left"/>
              <w:rPr/>
            </w:pPr>
            <w:r>
              <w:rPr/>
              <w:t> </w:t>
            </w:r>
          </w:p>
        </w:tc>
      </w:tr>
      <w:tr>
        <w:trPr/>
        <w:tc>
          <w:tcPr>
            <w:tcW w:w="1675" w:type="dxa"/>
            <w:tcBorders/>
            <w:shd w:fill="CCEEFF" w:val="clear"/>
            <w:vAlign w:val="center"/>
          </w:tcPr>
          <w:p>
            <w:pPr>
              <w:pStyle w:val="TableContents"/>
              <w:bidi w:val="0"/>
              <w:spacing w:before="0" w:after="283"/>
              <w:jc w:val="left"/>
              <w:rPr/>
            </w:pPr>
            <w:r>
              <w:rPr/>
              <w:t>Total intangible assets</w:t>
            </w:r>
          </w:p>
        </w:tc>
        <w:tc>
          <w:tcPr>
            <w:tcW w:w="60" w:type="dxa"/>
            <w:tcBorders/>
            <w:shd w:fill="CCEEFF" w:val="clear"/>
            <w:vAlign w:val="center"/>
          </w:tcPr>
          <w:p>
            <w:pPr>
              <w:pStyle w:val="TableContents"/>
              <w:bidi w:val="0"/>
              <w:spacing w:before="0" w:after="283"/>
              <w:jc w:val="left"/>
              <w:rPr/>
            </w:pPr>
            <w:r>
              <w:rPr/>
              <w:t> </w:t>
            </w:r>
          </w:p>
        </w:tc>
        <w:tc>
          <w:tcPr>
            <w:tcW w:w="31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48" w:type="dxa"/>
            <w:tcBorders>
              <w:bottom w:val="double" w:sz="10" w:space="0" w:color="000000"/>
            </w:tcBorders>
            <w:shd w:fill="CCEEFF" w:val="clear"/>
            <w:tcMar>
              <w:bottom w:w="28" w:type="dxa"/>
            </w:tcMar>
            <w:vAlign w:val="center"/>
          </w:tcPr>
          <w:p>
            <w:pPr>
              <w:pStyle w:val="TableContents"/>
              <w:bidi w:val="0"/>
              <w:spacing w:before="0" w:after="283"/>
              <w:jc w:val="right"/>
              <w:rPr/>
            </w:pPr>
            <w:r>
              <w:rPr/>
              <w:t>43,237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92" w:type="dxa"/>
            <w:tcBorders>
              <w:bottom w:val="double" w:sz="10" w:space="0" w:color="000000"/>
            </w:tcBorders>
            <w:shd w:fill="CCEEFF" w:val="clear"/>
            <w:tcMar>
              <w:bottom w:w="28" w:type="dxa"/>
            </w:tcMar>
            <w:vAlign w:val="center"/>
          </w:tcPr>
          <w:p>
            <w:pPr>
              <w:pStyle w:val="TableContents"/>
              <w:bidi w:val="0"/>
              <w:spacing w:before="0" w:after="283"/>
              <w:jc w:val="right"/>
              <w:rPr/>
            </w:pPr>
            <w:r>
              <w:rPr/>
              <w:t>(627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9" w:type="dxa"/>
            <w:tcBorders>
              <w:bottom w:val="double" w:sz="10" w:space="0" w:color="000000"/>
            </w:tcBorders>
            <w:shd w:fill="CCEEFF" w:val="clear"/>
            <w:tcMar>
              <w:bottom w:w="28" w:type="dxa"/>
            </w:tcMar>
            <w:vAlign w:val="center"/>
          </w:tcPr>
          <w:p>
            <w:pPr>
              <w:pStyle w:val="TableContents"/>
              <w:bidi w:val="0"/>
              <w:spacing w:before="0" w:after="283"/>
              <w:jc w:val="right"/>
              <w:rPr/>
            </w:pPr>
            <w:r>
              <w:rPr/>
              <w:t>42,610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intangible assets for the thirteen and thirty-nine weeks ended October 1, 2023 and the three and nine months ended September 30, 2022 were as follows (in thousands):</w:t>
      </w:r>
    </w:p>
    <w:p>
      <w:pPr>
        <w:pStyle w:val="TextBody"/>
        <w:bidi w:val="0"/>
        <w:spacing w:before="0" w:after="0"/>
        <w:ind w:left="360" w:right="0" w:hanging="0"/>
        <w:jc w:val="both"/>
        <w:rPr>
          <w:caps w:val="false"/>
          <w:smallCaps w:val="false"/>
        </w:rPr>
      </w:pPr>
      <w:r>
        <w:rPr>
          <w:caps w:val="false"/>
          <w:smallCaps w:val="false"/>
        </w:rPr>
        <w:t> </w:t>
      </w:r>
    </w:p>
    <w:tbl>
      <w:tblPr>
        <w:tblW w:w="9504" w:type="dxa"/>
        <w:jc w:val="left"/>
        <w:tblInd w:w="0" w:type="dxa"/>
        <w:tblLayout w:type="fixed"/>
        <w:tblCellMar>
          <w:top w:w="0" w:type="dxa"/>
          <w:left w:w="0" w:type="dxa"/>
          <w:bottom w:w="0" w:type="dxa"/>
          <w:right w:w="0" w:type="dxa"/>
        </w:tblCellMar>
      </w:tblPr>
      <w:tblGrid>
        <w:gridCol w:w="2585"/>
        <w:gridCol w:w="60"/>
        <w:gridCol w:w="441"/>
        <w:gridCol w:w="1199"/>
        <w:gridCol w:w="60"/>
        <w:gridCol w:w="60"/>
        <w:gridCol w:w="516"/>
        <w:gridCol w:w="959"/>
        <w:gridCol w:w="60"/>
        <w:gridCol w:w="60"/>
        <w:gridCol w:w="247"/>
        <w:gridCol w:w="988"/>
        <w:gridCol w:w="60"/>
        <w:gridCol w:w="60"/>
        <w:gridCol w:w="726"/>
        <w:gridCol w:w="1348"/>
        <w:gridCol w:w="75"/>
      </w:tblGrid>
      <w:tr>
        <w:trPr/>
        <w:tc>
          <w:tcPr>
            <w:tcW w:w="258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Thirteen 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Three Months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Thirty-Nine</w:t>
              <w:br/>
              <w:t>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ind w:left="0" w:right="0" w:hanging="180"/>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75" w:type="dxa"/>
            <w:tcBorders/>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Assembled workforce</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w:t>
            </w:r>
          </w:p>
        </w:tc>
        <w:tc>
          <w:tcPr>
            <w:tcW w:w="1348"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85"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Customer relationship</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85" w:type="dxa"/>
            <w:tcBorders/>
            <w:shd w:fill="FFFFFF" w:val="clear"/>
            <w:vAlign w:val="center"/>
          </w:tcPr>
          <w:p>
            <w:pPr>
              <w:pStyle w:val="TableContents"/>
              <w:bidi w:val="0"/>
              <w:spacing w:before="0" w:after="283"/>
              <w:jc w:val="left"/>
              <w:rPr/>
            </w:pPr>
            <w:r>
              <w:rPr/>
              <w:t>Developed technology</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Total amortization expense</w:t>
            </w:r>
          </w:p>
        </w:tc>
        <w:tc>
          <w:tcPr>
            <w:tcW w:w="60" w:type="dxa"/>
            <w:tcBorders/>
            <w:shd w:fill="CCEEFF" w:val="clear"/>
            <w:vAlign w:val="center"/>
          </w:tcPr>
          <w:p>
            <w:pPr>
              <w:pStyle w:val="TableContents"/>
              <w:bidi w:val="0"/>
              <w:spacing w:before="0" w:after="283"/>
              <w:jc w:val="left"/>
              <w:rPr/>
            </w:pPr>
            <w:r>
              <w:rPr/>
              <w:t> </w:t>
            </w:r>
          </w:p>
        </w:tc>
        <w:tc>
          <w:tcPr>
            <w:tcW w:w="4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9" w:type="dxa"/>
            <w:tcBorders>
              <w:bottom w:val="double" w:sz="10" w:space="0" w:color="000000"/>
            </w:tcBorders>
            <w:shd w:fill="CCEEFF" w:val="clear"/>
            <w:tcMar>
              <w:bottom w:w="28" w:type="dxa"/>
            </w:tcM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shd w:fill="CCEEFF" w:val="clear"/>
            <w:tcMar>
              <w:bottom w:w="28" w:type="dxa"/>
            </w:tcMar>
            <w:vAlign w:val="center"/>
          </w:tcPr>
          <w:p>
            <w:pPr>
              <w:pStyle w:val="TableContents"/>
              <w:bidi w:val="0"/>
              <w:spacing w:before="0" w:after="283"/>
              <w:jc w:val="right"/>
              <w:rPr/>
            </w:pPr>
            <w:r>
              <w:rPr/>
              <w:t>2,228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double" w:sz="10" w:space="0" w:color="000000"/>
            </w:tcBorders>
            <w:shd w:fill="CCEEFF" w:val="clear"/>
            <w:tcMar>
              <w:bottom w:w="28" w:type="dxa"/>
            </w:tcM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for the thirteen and thirty-nine weeks ended October 1, 2023 was recorded as loss from discontinued operations on the accompanying unaudited condensed consolidated statements of operations and comprehensive income (loss). For the three and nine months ended September 30, 2022, amortization expense related to intangible assets of less than $0.1 million was recorded to general and administrative expense on the accompanying unaudited condensed consolidated statements of operations and comprehensive income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expect to recognize any future amortization expense of intangible assets as of October 1, 2023.</w:t>
      </w:r>
    </w:p>
    <w:p>
      <w:pPr>
        <w:pStyle w:val="TextBody"/>
        <w:bidi w:val="0"/>
        <w:spacing w:before="0" w:after="0"/>
        <w:ind w:left="112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41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(11)</w:t>
            </w:r>
          </w:p>
        </w:tc>
        <w:tc>
          <w:tcPr>
            <w:tcW w:w="4970" w:type="dxa"/>
            <w:tcBorders/>
            <w:vAlign w:val="center"/>
          </w:tcPr>
          <w:p>
            <w:pPr>
              <w:pStyle w:val="TableContents"/>
              <w:bidi w:val="0"/>
              <w:spacing w:before="0" w:after="283"/>
              <w:jc w:val="both"/>
              <w:rPr>
                <w:b/>
              </w:rPr>
            </w:pPr>
            <w:r>
              <w:rPr>
                <w:b/>
              </w:rPr>
              <w:t>Accrued Expenses and Other Current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 (in thousands):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8"/>
        <w:gridCol w:w="60"/>
        <w:gridCol w:w="265"/>
        <w:gridCol w:w="1295"/>
        <w:gridCol w:w="60"/>
        <w:gridCol w:w="60"/>
        <w:gridCol w:w="320"/>
        <w:gridCol w:w="1560"/>
        <w:gridCol w:w="77"/>
      </w:tblGrid>
      <w:tr>
        <w:trPr/>
        <w:tc>
          <w:tcPr>
            <w:tcW w:w="65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7" w:type="dxa"/>
            <w:tcBorders/>
            <w:vAlign w:val="center"/>
          </w:tcPr>
          <w:p>
            <w:pPr>
              <w:pStyle w:val="TableContents"/>
              <w:bidi w:val="0"/>
              <w:spacing w:before="0" w:after="283"/>
              <w:jc w:val="left"/>
              <w:rPr/>
            </w:pPr>
            <w:r>
              <w:rPr/>
              <w:t> </w:t>
            </w:r>
          </w:p>
        </w:tc>
      </w:tr>
      <w:tr>
        <w:trPr/>
        <w:tc>
          <w:tcPr>
            <w:tcW w:w="65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7" w:type="dxa"/>
            <w:tcBorders/>
            <w:vAlign w:val="center"/>
          </w:tcPr>
          <w:p>
            <w:pPr>
              <w:pStyle w:val="TableContents"/>
              <w:bidi w:val="0"/>
              <w:spacing w:before="0" w:after="283"/>
              <w:ind w:left="0" w:right="0" w:hanging="161"/>
              <w:jc w:val="left"/>
              <w:rPr/>
            </w:pPr>
            <w:r>
              <w:rPr/>
              <w:t> </w:t>
            </w:r>
          </w:p>
        </w:tc>
      </w:tr>
      <w:tr>
        <w:trPr/>
        <w:tc>
          <w:tcPr>
            <w:tcW w:w="6508"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560" w:type="dxa"/>
            <w:tcBorders/>
            <w:shd w:fill="CCEEFF" w:val="clear"/>
            <w:vAlign w:val="center"/>
          </w:tcPr>
          <w:p>
            <w:pPr>
              <w:pStyle w:val="TableContents"/>
              <w:bidi w:val="0"/>
              <w:spacing w:before="0" w:after="283"/>
              <w:jc w:val="right"/>
              <w:rPr/>
            </w:pPr>
            <w:r>
              <w:rPr/>
              <w:t>3,940</w:t>
            </w:r>
          </w:p>
        </w:tc>
        <w:tc>
          <w:tcPr>
            <w:tcW w:w="77" w:type="dxa"/>
            <w:tcBorders/>
            <w:shd w:fill="CCEEFF" w:val="clear"/>
            <w:vAlign w:val="center"/>
          </w:tcPr>
          <w:p>
            <w:pPr>
              <w:pStyle w:val="TableContents"/>
              <w:bidi w:val="0"/>
              <w:spacing w:before="0" w:after="283"/>
              <w:ind w:left="0" w:right="0" w:hanging="161"/>
              <w:jc w:val="left"/>
              <w:rPr/>
            </w:pPr>
            <w:r>
              <w:rPr/>
              <w:t> </w:t>
            </w:r>
          </w:p>
        </w:tc>
      </w:tr>
      <w:tr>
        <w:trPr/>
        <w:tc>
          <w:tcPr>
            <w:tcW w:w="6508"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pPr>
            <w:r>
              <w:rPr/>
              <w:t>930</w:t>
            </w:r>
          </w:p>
        </w:tc>
        <w:tc>
          <w:tcPr>
            <w:tcW w:w="77" w:type="dxa"/>
            <w:tcBorders/>
            <w:shd w:fill="FFFFFF" w:val="clear"/>
            <w:vAlign w:val="center"/>
          </w:tcPr>
          <w:p>
            <w:pPr>
              <w:pStyle w:val="TableContents"/>
              <w:bidi w:val="0"/>
              <w:spacing w:before="0" w:after="283"/>
              <w:ind w:left="0" w:right="0" w:hanging="161"/>
              <w:jc w:val="left"/>
              <w:rPr/>
            </w:pPr>
            <w:r>
              <w:rPr/>
              <w:t> </w:t>
            </w:r>
          </w:p>
        </w:tc>
      </w:tr>
      <w:tr>
        <w:trPr/>
        <w:tc>
          <w:tcPr>
            <w:tcW w:w="6508" w:type="dxa"/>
            <w:tcBorders/>
            <w:shd w:fill="CCEEFF" w:val="clear"/>
            <w:vAlign w:val="center"/>
          </w:tcPr>
          <w:p>
            <w:pPr>
              <w:pStyle w:val="TableContents"/>
              <w:bidi w:val="0"/>
              <w:spacing w:before="0" w:after="283"/>
              <w:jc w:val="left"/>
              <w:rPr/>
            </w:pPr>
            <w:r>
              <w:rPr/>
              <w:t>Uninvoiced contract costs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1,914</w:t>
            </w:r>
          </w:p>
        </w:tc>
        <w:tc>
          <w:tcPr>
            <w:tcW w:w="77" w:type="dxa"/>
            <w:tcBorders/>
            <w:shd w:fill="CCEEFF" w:val="clear"/>
            <w:vAlign w:val="center"/>
          </w:tcPr>
          <w:p>
            <w:pPr>
              <w:pStyle w:val="TableContents"/>
              <w:bidi w:val="0"/>
              <w:spacing w:before="0" w:after="283"/>
              <w:ind w:left="0" w:right="0" w:hanging="161"/>
              <w:jc w:val="left"/>
              <w:rPr/>
            </w:pPr>
            <w:r>
              <w:rPr/>
              <w:t> </w:t>
            </w:r>
          </w:p>
        </w:tc>
      </w:tr>
      <w:tr>
        <w:trPr/>
        <w:tc>
          <w:tcPr>
            <w:tcW w:w="6508" w:type="dxa"/>
            <w:tcBorders/>
            <w:shd w:fill="FFFFFF" w:val="clear"/>
            <w:vAlign w:val="center"/>
          </w:tcPr>
          <w:p>
            <w:pPr>
              <w:pStyle w:val="TableContents"/>
              <w:bidi w:val="0"/>
              <w:spacing w:before="0" w:after="283"/>
              <w:jc w:val="left"/>
              <w:rPr/>
            </w:pPr>
            <w:r>
              <w:rPr/>
              <w:t>Inventory received but not invoiced</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pPr>
            <w:r>
              <w:rPr/>
              <w:t>972</w:t>
            </w:r>
          </w:p>
        </w:tc>
        <w:tc>
          <w:tcPr>
            <w:tcW w:w="77" w:type="dxa"/>
            <w:tcBorders/>
            <w:shd w:fill="FFFFFF" w:val="clear"/>
            <w:vAlign w:val="center"/>
          </w:tcPr>
          <w:p>
            <w:pPr>
              <w:pStyle w:val="TableContents"/>
              <w:bidi w:val="0"/>
              <w:spacing w:before="0" w:after="283"/>
              <w:ind w:left="0" w:right="0" w:hanging="161"/>
              <w:jc w:val="left"/>
              <w:rPr/>
            </w:pPr>
            <w:r>
              <w:rPr/>
              <w:t> </w:t>
            </w:r>
          </w:p>
        </w:tc>
      </w:tr>
      <w:tr>
        <w:trPr/>
        <w:tc>
          <w:tcPr>
            <w:tcW w:w="6508" w:type="dxa"/>
            <w:tcBorders/>
            <w:shd w:fill="CCEEFF" w:val="clear"/>
            <w:vAlign w:val="center"/>
          </w:tcPr>
          <w:p>
            <w:pPr>
              <w:pStyle w:val="TableContents"/>
              <w:bidi w:val="0"/>
              <w:spacing w:before="0" w:after="283"/>
              <w:jc w:val="left"/>
              <w:rPr/>
            </w:pPr>
            <w:r>
              <w:rPr/>
              <w:t>Accrued term loan and revolving loan amendment and final payment fees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2,400</w:t>
            </w:r>
          </w:p>
        </w:tc>
        <w:tc>
          <w:tcPr>
            <w:tcW w:w="77" w:type="dxa"/>
            <w:tcBorders/>
            <w:shd w:fill="CCEEFF" w:val="clear"/>
            <w:vAlign w:val="center"/>
          </w:tcPr>
          <w:p>
            <w:pPr>
              <w:pStyle w:val="TableContents"/>
              <w:bidi w:val="0"/>
              <w:spacing w:before="0" w:after="283"/>
              <w:ind w:left="0" w:right="0" w:hanging="161"/>
              <w:jc w:val="left"/>
              <w:rPr/>
            </w:pPr>
            <w:r>
              <w:rPr/>
              <w:t> </w:t>
            </w:r>
          </w:p>
        </w:tc>
      </w:tr>
      <w:tr>
        <w:trPr/>
        <w:tc>
          <w:tcPr>
            <w:tcW w:w="6508" w:type="dxa"/>
            <w:tcBorders/>
            <w:shd w:fill="FFFFFF" w:val="clear"/>
            <w:vAlign w:val="center"/>
          </w:tcPr>
          <w:p>
            <w:pPr>
              <w:pStyle w:val="TableContents"/>
              <w:bidi w:val="0"/>
              <w:spacing w:before="0" w:after="283"/>
              <w:jc w:val="left"/>
              <w:rPr/>
            </w:pPr>
            <w:r>
              <w:rPr/>
              <w:t>Accrued legal settlements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pPr>
            <w:r>
              <w:rPr/>
              <w:t>1,853</w:t>
            </w:r>
          </w:p>
        </w:tc>
        <w:tc>
          <w:tcPr>
            <w:tcW w:w="77" w:type="dxa"/>
            <w:tcBorders/>
            <w:shd w:fill="FFFFFF" w:val="clear"/>
            <w:vAlign w:val="center"/>
          </w:tcPr>
          <w:p>
            <w:pPr>
              <w:pStyle w:val="TableContents"/>
              <w:bidi w:val="0"/>
              <w:spacing w:before="0" w:after="283"/>
              <w:ind w:left="0" w:right="0" w:hanging="161"/>
              <w:jc w:val="left"/>
              <w:rPr/>
            </w:pPr>
            <w:r>
              <w:rPr/>
              <w:t> </w:t>
            </w:r>
          </w:p>
        </w:tc>
      </w:tr>
      <w:tr>
        <w:trPr/>
        <w:tc>
          <w:tcPr>
            <w:tcW w:w="6508" w:type="dxa"/>
            <w:tcBorders/>
            <w:shd w:fill="CCEEFF" w:val="clear"/>
            <w:vAlign w:val="center"/>
          </w:tcPr>
          <w:p>
            <w:pPr>
              <w:pStyle w:val="TableContents"/>
              <w:bidi w:val="0"/>
              <w:spacing w:before="0" w:after="283"/>
              <w:jc w:val="left"/>
              <w:rPr/>
            </w:pPr>
            <w:r>
              <w:rPr/>
              <w:t>Accrued taxes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1,245</w:t>
            </w:r>
          </w:p>
        </w:tc>
        <w:tc>
          <w:tcPr>
            <w:tcW w:w="77" w:type="dxa"/>
            <w:tcBorders/>
            <w:shd w:fill="CCEEFF" w:val="clear"/>
            <w:vAlign w:val="center"/>
          </w:tcPr>
          <w:p>
            <w:pPr>
              <w:pStyle w:val="TableContents"/>
              <w:bidi w:val="0"/>
              <w:spacing w:before="0" w:after="283"/>
              <w:ind w:left="0" w:right="0" w:hanging="161"/>
              <w:jc w:val="left"/>
              <w:rPr/>
            </w:pPr>
            <w:r>
              <w:rPr/>
              <w:t> </w:t>
            </w:r>
          </w:p>
        </w:tc>
      </w:tr>
      <w:tr>
        <w:trPr/>
        <w:tc>
          <w:tcPr>
            <w:tcW w:w="6508" w:type="dxa"/>
            <w:tcBorders/>
            <w:shd w:fill="FFFFFF" w:val="clear"/>
            <w:vAlign w:val="center"/>
          </w:tcPr>
          <w:p>
            <w:pPr>
              <w:pStyle w:val="TableContents"/>
              <w:bidi w:val="0"/>
              <w:spacing w:before="0" w:after="283"/>
              <w:jc w:val="left"/>
              <w:rPr/>
            </w:pPr>
            <w:r>
              <w:rPr/>
              <w:t>Accrued rebates and credits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pPr>
            <w:r>
              <w:rPr/>
              <w:t>1,076</w:t>
            </w:r>
          </w:p>
        </w:tc>
        <w:tc>
          <w:tcPr>
            <w:tcW w:w="77" w:type="dxa"/>
            <w:tcBorders/>
            <w:shd w:fill="FFFFFF" w:val="clear"/>
            <w:vAlign w:val="center"/>
          </w:tcPr>
          <w:p>
            <w:pPr>
              <w:pStyle w:val="TableContents"/>
              <w:bidi w:val="0"/>
              <w:spacing w:before="0" w:after="283"/>
              <w:ind w:left="0" w:right="0" w:hanging="161"/>
              <w:jc w:val="left"/>
              <w:rPr/>
            </w:pPr>
            <w:r>
              <w:rPr/>
              <w:t> </w:t>
            </w:r>
          </w:p>
        </w:tc>
      </w:tr>
      <w:tr>
        <w:trPr/>
        <w:tc>
          <w:tcPr>
            <w:tcW w:w="6508"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958</w:t>
            </w:r>
          </w:p>
        </w:tc>
        <w:tc>
          <w:tcPr>
            <w:tcW w:w="77" w:type="dxa"/>
            <w:tcBorders/>
            <w:shd w:fill="CCEEFF" w:val="clear"/>
            <w:vAlign w:val="center"/>
          </w:tcPr>
          <w:p>
            <w:pPr>
              <w:pStyle w:val="TableContents"/>
              <w:bidi w:val="0"/>
              <w:spacing w:before="0" w:after="283"/>
              <w:ind w:left="0" w:right="0" w:hanging="161"/>
              <w:jc w:val="left"/>
              <w:rPr/>
            </w:pPr>
            <w:r>
              <w:rPr/>
              <w:t> </w:t>
            </w:r>
          </w:p>
        </w:tc>
      </w:tr>
      <w:tr>
        <w:trPr/>
        <w:tc>
          <w:tcPr>
            <w:tcW w:w="6508" w:type="dxa"/>
            <w:tcBorders/>
            <w:shd w:fill="FFFFFF" w:val="clear"/>
            <w:vAlign w:val="center"/>
          </w:tcPr>
          <w:p>
            <w:pPr>
              <w:pStyle w:val="TableContents"/>
              <w:bidi w:val="0"/>
              <w:spacing w:before="0" w:after="283"/>
              <w:jc w:val="left"/>
              <w:rPr/>
            </w:pPr>
            <w:r>
              <w:rPr/>
              <w:t>Revenue warranty</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0"/>
              <w:jc w:val="right"/>
              <w:rPr/>
            </w:pPr>
            <w:r>
              <w:rPr/>
              <w:t>—</w:t>
            </w:r>
          </w:p>
        </w:tc>
        <w:tc>
          <w:tcPr>
            <w:tcW w:w="77" w:type="dxa"/>
            <w:tcBorders/>
            <w:shd w:fill="FFFFFF" w:val="clear"/>
            <w:vAlign w:val="center"/>
          </w:tcPr>
          <w:p>
            <w:pPr>
              <w:pStyle w:val="TableContents"/>
              <w:bidi w:val="0"/>
              <w:spacing w:before="0" w:after="283"/>
              <w:ind w:left="0" w:right="0" w:hanging="161"/>
              <w:jc w:val="left"/>
              <w:rPr/>
            </w:pPr>
            <w:r>
              <w:rPr/>
              <w:t> </w:t>
            </w:r>
          </w:p>
        </w:tc>
      </w:tr>
      <w:tr>
        <w:trPr/>
        <w:tc>
          <w:tcPr>
            <w:tcW w:w="6508" w:type="dxa"/>
            <w:tcBorders/>
            <w:shd w:fill="CCEEFF" w:val="clear"/>
            <w:vAlign w:val="center"/>
          </w:tcPr>
          <w:p>
            <w:pPr>
              <w:pStyle w:val="TableContents"/>
              <w:bidi w:val="0"/>
              <w:spacing w:before="0" w:after="283"/>
              <w:jc w:val="left"/>
              <w:rPr/>
            </w:pPr>
            <w:r>
              <w:rPr/>
              <w:t>Deferred underwriters’ discount payable</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0"/>
              <w:jc w:val="right"/>
              <w:rPr/>
            </w:pPr>
            <w:r>
              <w:rPr/>
              <w:t>—</w:t>
            </w:r>
          </w:p>
        </w:tc>
        <w:tc>
          <w:tcPr>
            <w:tcW w:w="77" w:type="dxa"/>
            <w:tcBorders/>
            <w:shd w:fill="CCEEFF" w:val="clear"/>
            <w:vAlign w:val="center"/>
          </w:tcPr>
          <w:p>
            <w:pPr>
              <w:pStyle w:val="TableContents"/>
              <w:bidi w:val="0"/>
              <w:spacing w:before="0" w:after="283"/>
              <w:ind w:left="0" w:right="0" w:hanging="161"/>
              <w:jc w:val="left"/>
              <w:rPr/>
            </w:pPr>
            <w:r>
              <w:rPr/>
              <w:t> </w:t>
            </w:r>
          </w:p>
        </w:tc>
      </w:tr>
      <w:tr>
        <w:trPr/>
        <w:tc>
          <w:tcPr>
            <w:tcW w:w="6508" w:type="dxa"/>
            <w:tcBorders/>
            <w:shd w:fill="FFFFFF" w:val="clear"/>
            <w:vAlign w:val="center"/>
          </w:tcPr>
          <w:p>
            <w:pPr>
              <w:pStyle w:val="TableContents"/>
              <w:bidi w:val="0"/>
              <w:spacing w:before="0" w:after="283"/>
              <w:jc w:val="left"/>
              <w:rPr/>
            </w:pPr>
            <w:r>
              <w:rPr/>
              <w:t>Accrued warranty, current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pPr>
            <w:r>
              <w:rPr/>
              <w:t>767</w:t>
            </w:r>
          </w:p>
        </w:tc>
        <w:tc>
          <w:tcPr>
            <w:tcW w:w="77" w:type="dxa"/>
            <w:tcBorders/>
            <w:shd w:fill="FFFFFF" w:val="clear"/>
            <w:vAlign w:val="center"/>
          </w:tcPr>
          <w:p>
            <w:pPr>
              <w:pStyle w:val="TableContents"/>
              <w:bidi w:val="0"/>
              <w:spacing w:before="0" w:after="283"/>
              <w:ind w:left="0" w:right="0" w:hanging="161"/>
              <w:jc w:val="left"/>
              <w:rPr/>
            </w:pPr>
            <w:r>
              <w:rPr/>
              <w:t> </w:t>
            </w:r>
          </w:p>
        </w:tc>
      </w:tr>
      <w:tr>
        <w:trPr/>
        <w:tc>
          <w:tcPr>
            <w:tcW w:w="6508" w:type="dxa"/>
            <w:tcBorders/>
            <w:shd w:fill="CCEEFF" w:val="clear"/>
            <w:vAlign w:val="center"/>
          </w:tcPr>
          <w:p>
            <w:pPr>
              <w:pStyle w:val="TableContents"/>
              <w:bidi w:val="0"/>
              <w:spacing w:before="0" w:after="283"/>
              <w:jc w:val="left"/>
              <w:rPr/>
            </w:pPr>
            <w:r>
              <w:rPr/>
              <w:t>Other accrued liabilities</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60" w:type="dxa"/>
            <w:tcBorders>
              <w:bottom w:val="single" w:sz="12" w:space="0" w:color="000000"/>
            </w:tcBorders>
            <w:shd w:fill="CCEEFF" w:val="clear"/>
            <w:tcMar>
              <w:bottom w:w="28" w:type="dxa"/>
            </w:tcMar>
            <w:vAlign w:val="center"/>
          </w:tcPr>
          <w:p>
            <w:pPr>
              <w:pStyle w:val="TableContents"/>
              <w:bidi w:val="0"/>
              <w:spacing w:before="0" w:after="283"/>
              <w:jc w:val="right"/>
              <w:rPr/>
            </w:pPr>
            <w:r>
              <w:rPr/>
              <w:t>3,775</w:t>
            </w:r>
          </w:p>
        </w:tc>
        <w:tc>
          <w:tcPr>
            <w:tcW w:w="77" w:type="dxa"/>
            <w:tcBorders/>
            <w:shd w:fill="CCEEFF" w:val="clear"/>
            <w:vAlign w:val="center"/>
          </w:tcPr>
          <w:p>
            <w:pPr>
              <w:pStyle w:val="TableContents"/>
              <w:bidi w:val="0"/>
              <w:spacing w:before="0" w:after="283"/>
              <w:ind w:left="0" w:right="0" w:hanging="161"/>
              <w:jc w:val="left"/>
              <w:rPr/>
            </w:pPr>
            <w:r>
              <w:rPr/>
              <w:t> </w:t>
            </w:r>
          </w:p>
        </w:tc>
      </w:tr>
      <w:tr>
        <w:trPr/>
        <w:tc>
          <w:tcPr>
            <w:tcW w:w="6508" w:type="dxa"/>
            <w:tcBorders/>
            <w:shd w:fill="FFFFFF" w:val="clear"/>
            <w:vAlign w:val="center"/>
          </w:tcPr>
          <w:p>
            <w:pPr>
              <w:pStyle w:val="TableContents"/>
              <w:bidi w:val="0"/>
              <w:spacing w:before="0" w:after="283"/>
              <w:jc w:val="left"/>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26,674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60" w:type="dxa"/>
            <w:tcBorders>
              <w:bottom w:val="double" w:sz="10" w:space="0" w:color="000000"/>
            </w:tcBorders>
            <w:shd w:fill="FFFFFF" w:val="clear"/>
            <w:tcMar>
              <w:bottom w:w="28" w:type="dxa"/>
            </w:tcMar>
            <w:vAlign w:val="center"/>
          </w:tcPr>
          <w:p>
            <w:pPr>
              <w:pStyle w:val="TableContents"/>
              <w:bidi w:val="0"/>
              <w:spacing w:before="0" w:after="283"/>
              <w:jc w:val="right"/>
              <w:rPr/>
            </w:pPr>
            <w:r>
              <w:rPr/>
              <w:t>19,830</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41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(12)</w:t>
            </w:r>
          </w:p>
        </w:tc>
        <w:tc>
          <w:tcPr>
            <w:tcW w:w="2345" w:type="dxa"/>
            <w:tcBorders/>
            <w:vAlign w:val="center"/>
          </w:tcPr>
          <w:p>
            <w:pPr>
              <w:pStyle w:val="TableContents"/>
              <w:bidi w:val="0"/>
              <w:spacing w:before="0" w:after="283"/>
              <w:jc w:val="both"/>
              <w:rPr>
                <w:b/>
              </w:rPr>
            </w:pPr>
            <w:r>
              <w:rPr>
                <w:b/>
              </w:rPr>
              <w:t>Employee Benefit Plan</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thirteen or thirty-nine weeks ended October 1, 2023 and for the three or nine months ended September 30, 2022.</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41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(13)</w:t>
            </w:r>
          </w:p>
        </w:tc>
        <w:tc>
          <w:tcPr>
            <w:tcW w:w="2990" w:type="dxa"/>
            <w:tcBorders/>
            <w:vAlign w:val="center"/>
          </w:tcPr>
          <w:p>
            <w:pPr>
              <w:pStyle w:val="TableContents"/>
              <w:bidi w:val="0"/>
              <w:spacing w:before="0" w:after="283"/>
              <w:jc w:val="both"/>
              <w:rPr>
                <w:b/>
              </w:rPr>
            </w:pPr>
            <w:r>
              <w:rPr>
                <w:b/>
              </w:rPr>
              <w:t>Other Income (Expense), Net</w:t>
            </w:r>
          </w:p>
        </w:tc>
      </w:tr>
    </w:tbl>
    <w:p>
      <w:pPr>
        <w:pStyle w:val="TextBody"/>
        <w:bidi w:val="0"/>
        <w:spacing w:before="0" w:after="0"/>
        <w:ind w:left="99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consists of the following (in thousands):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2"/>
        <w:gridCol w:w="60"/>
        <w:gridCol w:w="256"/>
        <w:gridCol w:w="1384"/>
        <w:gridCol w:w="95"/>
        <w:gridCol w:w="60"/>
        <w:gridCol w:w="516"/>
        <w:gridCol w:w="959"/>
        <w:gridCol w:w="60"/>
        <w:gridCol w:w="60"/>
        <w:gridCol w:w="193"/>
        <w:gridCol w:w="1042"/>
        <w:gridCol w:w="95"/>
        <w:gridCol w:w="60"/>
        <w:gridCol w:w="295"/>
        <w:gridCol w:w="1180"/>
        <w:gridCol w:w="88"/>
      </w:tblGrid>
      <w:tr>
        <w:trPr/>
        <w:tc>
          <w:tcPr>
            <w:tcW w:w="38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Thirteen Weeks</w:t>
              <w:br/>
              <w:t>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Three Months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Thirty-Nine</w:t>
              <w:br/>
              <w:t>Weeks</w:t>
              <w:br/>
              <w:t>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Nine Months</w:t>
              <w:br/>
              <w:t>Ended</w:t>
            </w:r>
          </w:p>
        </w:tc>
        <w:tc>
          <w:tcPr>
            <w:tcW w:w="88" w:type="dxa"/>
            <w:tcBorders/>
            <w:vAlign w:val="center"/>
          </w:tcPr>
          <w:p>
            <w:pPr>
              <w:pStyle w:val="TableContents"/>
              <w:bidi w:val="0"/>
              <w:spacing w:before="0" w:after="283"/>
              <w:jc w:val="left"/>
              <w:rPr/>
            </w:pPr>
            <w:r>
              <w:rPr/>
              <w:t> </w:t>
            </w:r>
          </w:p>
        </w:tc>
      </w:tr>
      <w:tr>
        <w:trPr/>
        <w:tc>
          <w:tcPr>
            <w:tcW w:w="3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88" w:type="dxa"/>
            <w:tcBorders/>
            <w:vAlign w:val="center"/>
          </w:tcPr>
          <w:p>
            <w:pPr>
              <w:pStyle w:val="TableContents"/>
              <w:bidi w:val="0"/>
              <w:spacing w:before="0" w:after="283"/>
              <w:ind w:left="0" w:right="0" w:hanging="256"/>
              <w:jc w:val="left"/>
              <w:rPr/>
            </w:pPr>
            <w:r>
              <w:rPr/>
              <w:t> </w:t>
            </w:r>
          </w:p>
        </w:tc>
      </w:tr>
      <w:tr>
        <w:trPr/>
        <w:tc>
          <w:tcPr>
            <w:tcW w:w="3802" w:type="dxa"/>
            <w:tcBorders/>
            <w:shd w:fill="CCEEFF" w:val="clear"/>
            <w:vAlign w:val="center"/>
          </w:tcPr>
          <w:p>
            <w:pPr>
              <w:pStyle w:val="TableContents"/>
              <w:bidi w:val="0"/>
              <w:spacing w:before="0" w:after="283"/>
              <w:jc w:val="left"/>
              <w:rPr/>
            </w:pPr>
            <w:r>
              <w:rPr/>
              <w:t>Change in fair value of redeemable convertible preferred stock warrant liability</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9,455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(142</w:t>
            </w:r>
          </w:p>
        </w:tc>
        <w:tc>
          <w:tcPr>
            <w:tcW w:w="88" w:type="dxa"/>
            <w:tcBorders/>
            <w:shd w:fill="CCEEFF" w:val="clear"/>
            <w:vAlign w:val="center"/>
          </w:tcPr>
          <w:p>
            <w:pPr>
              <w:pStyle w:val="TableContents"/>
              <w:bidi w:val="0"/>
              <w:spacing w:before="0" w:after="283"/>
              <w:ind w:left="0" w:right="0" w:hanging="256"/>
              <w:jc w:val="left"/>
              <w:rPr/>
            </w:pPr>
            <w:r>
              <w:rPr/>
              <w:t>)</w:t>
            </w:r>
          </w:p>
        </w:tc>
      </w:tr>
      <w:tr>
        <w:trPr/>
        <w:tc>
          <w:tcPr>
            <w:tcW w:w="3802" w:type="dxa"/>
            <w:tcBorders/>
            <w:shd w:fill="FFFFFF" w:val="clear"/>
            <w:vAlign w:val="center"/>
          </w:tcPr>
          <w:p>
            <w:pPr>
              <w:pStyle w:val="TableContents"/>
              <w:bidi w:val="0"/>
              <w:spacing w:before="0" w:after="283"/>
              <w:jc w:val="left"/>
              <w:rPr/>
            </w:pPr>
            <w:r>
              <w:rPr/>
              <w:t>Change in fair value of Carlyle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12,689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12,689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0"/>
              <w:jc w:val="right"/>
              <w:rPr/>
            </w:pPr>
            <w:r>
              <w:rPr/>
              <w:t>—</w:t>
            </w:r>
          </w:p>
        </w:tc>
        <w:tc>
          <w:tcPr>
            <w:tcW w:w="88" w:type="dxa"/>
            <w:tcBorders/>
            <w:shd w:fill="FFFFFF" w:val="clear"/>
            <w:vAlign w:val="center"/>
          </w:tcPr>
          <w:p>
            <w:pPr>
              <w:pStyle w:val="TableContents"/>
              <w:bidi w:val="0"/>
              <w:spacing w:before="0" w:after="283"/>
              <w:ind w:left="0" w:right="0" w:hanging="256"/>
              <w:jc w:val="left"/>
              <w:rPr/>
            </w:pPr>
            <w:r>
              <w:rPr/>
              <w:t> </w:t>
            </w:r>
          </w:p>
        </w:tc>
      </w:tr>
      <w:tr>
        <w:trPr/>
        <w:tc>
          <w:tcPr>
            <w:tcW w:w="3802" w:type="dxa"/>
            <w:tcBorders/>
            <w:shd w:fill="CCEEFF" w:val="clear"/>
            <w:vAlign w:val="center"/>
          </w:tcPr>
          <w:p>
            <w:pPr>
              <w:pStyle w:val="TableContents"/>
              <w:bidi w:val="0"/>
              <w:spacing w:before="0" w:after="283"/>
              <w:jc w:val="left"/>
              <w:rPr/>
            </w:pPr>
            <w:r>
              <w:rPr/>
              <w:t>Change in fair value of FACT public, private placement and working capital warrants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4,170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4,170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0"/>
              <w:jc w:val="right"/>
              <w:rPr/>
            </w:pPr>
            <w:r>
              <w:rPr/>
              <w:t>—</w:t>
            </w:r>
          </w:p>
        </w:tc>
        <w:tc>
          <w:tcPr>
            <w:tcW w:w="88" w:type="dxa"/>
            <w:tcBorders/>
            <w:shd w:fill="CCEEFF" w:val="clear"/>
            <w:vAlign w:val="center"/>
          </w:tcPr>
          <w:p>
            <w:pPr>
              <w:pStyle w:val="TableContents"/>
              <w:bidi w:val="0"/>
              <w:spacing w:before="0" w:after="283"/>
              <w:ind w:left="0" w:right="0" w:hanging="256"/>
              <w:jc w:val="left"/>
              <w:rPr/>
            </w:pPr>
            <w:r>
              <w:rPr/>
              <w:t> </w:t>
            </w:r>
          </w:p>
        </w:tc>
      </w:tr>
      <w:tr>
        <w:trPr/>
        <w:tc>
          <w:tcPr>
            <w:tcW w:w="38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extinguishment of convertible notes and SAFE agreements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3,235</w:t>
            </w:r>
          </w:p>
        </w:tc>
        <w:tc>
          <w:tcPr>
            <w:tcW w:w="88" w:type="dxa"/>
            <w:tcBorders/>
            <w:shd w:fill="FFFFFF" w:val="clear"/>
            <w:vAlign w:val="center"/>
          </w:tcPr>
          <w:p>
            <w:pPr>
              <w:pStyle w:val="TableContents"/>
              <w:bidi w:val="0"/>
              <w:spacing w:before="0" w:after="283"/>
              <w:ind w:left="0" w:right="0" w:hanging="256"/>
              <w:jc w:val="left"/>
              <w:rPr/>
            </w:pPr>
            <w:r>
              <w:rPr/>
              <w:t> </w:t>
            </w:r>
          </w:p>
        </w:tc>
      </w:tr>
      <w:tr>
        <w:trPr/>
        <w:tc>
          <w:tcPr>
            <w:tcW w:w="3802" w:type="dxa"/>
            <w:tcBorders/>
            <w:shd w:fill="CCEEFF" w:val="clear"/>
            <w:vAlign w:val="center"/>
          </w:tcPr>
          <w:p>
            <w:pPr>
              <w:pStyle w:val="TableContents"/>
              <w:bidi w:val="0"/>
              <w:spacing w:before="0" w:after="283"/>
              <w:jc w:val="left"/>
              <w:rPr/>
            </w:pPr>
            <w:r>
              <w:rPr/>
              <w:t>Loss on CS Solis debt extinguishment</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(10,338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(10,338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0"/>
              <w:jc w:val="right"/>
              <w:rPr/>
            </w:pPr>
            <w:r>
              <w:rPr/>
              <w:t>—</w:t>
            </w:r>
          </w:p>
        </w:tc>
        <w:tc>
          <w:tcPr>
            <w:tcW w:w="88" w:type="dxa"/>
            <w:tcBorders/>
            <w:shd w:fill="CCEEFF" w:val="clear"/>
            <w:vAlign w:val="center"/>
          </w:tcPr>
          <w:p>
            <w:pPr>
              <w:pStyle w:val="TableContents"/>
              <w:bidi w:val="0"/>
              <w:spacing w:before="0" w:after="283"/>
              <w:ind w:left="0" w:right="0" w:hanging="256"/>
              <w:jc w:val="left"/>
              <w:rPr/>
            </w:pPr>
            <w:r>
              <w:rPr/>
              <w:t> </w:t>
            </w:r>
          </w:p>
        </w:tc>
      </w:tr>
      <w:tr>
        <w:trPr/>
        <w:tc>
          <w:tcPr>
            <w:tcW w:w="38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Bonus shares issued in connection with the Mergers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(2,394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0"/>
              <w:jc w:val="right"/>
              <w:rPr/>
            </w:pPr>
            <w:r>
              <w:rPr/>
              <w:t>—</w:t>
            </w:r>
          </w:p>
        </w:tc>
        <w:tc>
          <w:tcPr>
            <w:tcW w:w="88" w:type="dxa"/>
            <w:tcBorders/>
            <w:shd w:fill="FFFFFF" w:val="clear"/>
            <w:vAlign w:val="center"/>
          </w:tcPr>
          <w:p>
            <w:pPr>
              <w:pStyle w:val="TableContents"/>
              <w:bidi w:val="0"/>
              <w:spacing w:before="0" w:after="283"/>
              <w:ind w:left="0" w:right="0" w:hanging="256"/>
              <w:jc w:val="left"/>
              <w:rPr/>
            </w:pPr>
            <w:r>
              <w:rPr/>
              <w:t> </w:t>
            </w:r>
          </w:p>
        </w:tc>
      </w:tr>
      <w:tr>
        <w:trPr/>
        <w:tc>
          <w:tcPr>
            <w:tcW w:w="38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forward purchase agreements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0"/>
              <w:jc w:val="right"/>
              <w:rPr/>
            </w:pPr>
            <w:r>
              <w:rPr/>
              <w:t>—</w:t>
            </w:r>
          </w:p>
        </w:tc>
        <w:tc>
          <w:tcPr>
            <w:tcW w:w="88" w:type="dxa"/>
            <w:tcBorders/>
            <w:shd w:fill="CCEEFF" w:val="clear"/>
            <w:vAlign w:val="center"/>
          </w:tcPr>
          <w:p>
            <w:pPr>
              <w:pStyle w:val="TableContents"/>
              <w:bidi w:val="0"/>
              <w:spacing w:before="0" w:after="283"/>
              <w:ind w:left="0" w:right="0" w:hanging="256"/>
              <w:jc w:val="left"/>
              <w:rPr/>
            </w:pPr>
            <w:r>
              <w:rPr/>
              <w:t> </w:t>
            </w:r>
          </w:p>
        </w:tc>
      </w:tr>
      <w:tr>
        <w:trPr/>
        <w:tc>
          <w:tcPr>
            <w:tcW w:w="38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forward purchase agreement liabilities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(6,661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(6,661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0"/>
              <w:jc w:val="right"/>
              <w:rPr/>
            </w:pPr>
            <w:r>
              <w:rPr/>
              <w:t>—</w:t>
            </w:r>
          </w:p>
        </w:tc>
        <w:tc>
          <w:tcPr>
            <w:tcW w:w="88" w:type="dxa"/>
            <w:tcBorders/>
            <w:shd w:fill="FFFFFF" w:val="clear"/>
            <w:vAlign w:val="center"/>
          </w:tcPr>
          <w:p>
            <w:pPr>
              <w:pStyle w:val="TableContents"/>
              <w:bidi w:val="0"/>
              <w:spacing w:before="0" w:after="283"/>
              <w:ind w:left="0" w:right="0" w:hanging="256"/>
              <w:jc w:val="left"/>
              <w:rPr/>
            </w:pPr>
            <w:r>
              <w:rPr/>
              <w:t> </w:t>
            </w:r>
          </w:p>
        </w:tc>
      </w:tr>
      <w:tr>
        <w:trPr/>
        <w:tc>
          <w:tcPr>
            <w:tcW w:w="38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shares in connection with the forward purchase agreements</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(35,490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(35,490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0"/>
              <w:jc w:val="right"/>
              <w:rPr/>
            </w:pPr>
            <w:r>
              <w:rPr/>
              <w:t>—</w:t>
            </w:r>
          </w:p>
        </w:tc>
        <w:tc>
          <w:tcPr>
            <w:tcW w:w="88" w:type="dxa"/>
            <w:tcBorders/>
            <w:shd w:fill="CCEEFF" w:val="clear"/>
            <w:vAlign w:val="center"/>
          </w:tcPr>
          <w:p>
            <w:pPr>
              <w:pStyle w:val="TableContents"/>
              <w:bidi w:val="0"/>
              <w:spacing w:before="0" w:after="283"/>
              <w:ind w:left="0" w:right="0" w:hanging="256"/>
              <w:jc w:val="left"/>
              <w:rPr/>
            </w:pPr>
            <w:r>
              <w:rPr/>
              <w:t> </w:t>
            </w:r>
          </w:p>
        </w:tc>
      </w:tr>
      <w:tr>
        <w:trPr/>
        <w:tc>
          <w:tcPr>
            <w:tcW w:w="3802" w:type="dxa"/>
            <w:tcBorders/>
            <w:shd w:fill="FFFFFF" w:val="clear"/>
            <w:vAlign w:val="center"/>
          </w:tcPr>
          <w:p>
            <w:pPr>
              <w:pStyle w:val="TableContents"/>
              <w:bidi w:val="0"/>
              <w:spacing w:before="0" w:after="283"/>
              <w:jc w:val="left"/>
              <w:rPr/>
            </w:pPr>
            <w:r>
              <w:rPr/>
              <w:t>Other, net</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FFFFFF" w:val="clear"/>
            <w:tcMar>
              <w:bottom w:w="28" w:type="dxa"/>
            </w:tcMar>
            <w:vAlign w:val="center"/>
          </w:tcPr>
          <w:p>
            <w:pPr>
              <w:pStyle w:val="TableContents"/>
              <w:bidi w:val="0"/>
              <w:spacing w:before="0" w:after="283"/>
              <w:jc w:val="right"/>
              <w:rPr/>
            </w:pPr>
            <w:r>
              <w:rPr/>
              <w:t>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88" w:type="dxa"/>
            <w:tcBorders/>
            <w:shd w:fill="FFFFFF" w:val="clear"/>
            <w:vAlign w:val="center"/>
          </w:tcPr>
          <w:p>
            <w:pPr>
              <w:pStyle w:val="TableContents"/>
              <w:bidi w:val="0"/>
              <w:spacing w:before="0" w:after="283"/>
              <w:ind w:left="0" w:right="0" w:hanging="256"/>
              <w:jc w:val="left"/>
              <w:rPr/>
            </w:pPr>
            <w:r>
              <w:rPr/>
              <w:t> </w:t>
            </w:r>
          </w:p>
        </w:tc>
      </w:tr>
      <w:tr>
        <w:trPr/>
        <w:tc>
          <w:tcPr>
            <w:tcW w:w="3802"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84" w:type="dxa"/>
            <w:tcBorders>
              <w:bottom w:val="double" w:sz="10" w:space="0" w:color="000000"/>
            </w:tcBorders>
            <w:shd w:fill="CCEEFF" w:val="clear"/>
            <w:tcMar>
              <w:bottom w:w="28" w:type="dxa"/>
            </w:tcMar>
            <w:vAlign w:val="center"/>
          </w:tcPr>
          <w:p>
            <w:pPr>
              <w:pStyle w:val="TableContents"/>
              <w:bidi w:val="0"/>
              <w:spacing w:before="0" w:after="283"/>
              <w:jc w:val="right"/>
              <w:rPr/>
            </w:pPr>
            <w:r>
              <w:rPr/>
              <w:t>(38,003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9"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2" w:type="dxa"/>
            <w:tcBorders>
              <w:bottom w:val="double" w:sz="10" w:space="0" w:color="000000"/>
            </w:tcBorders>
            <w:shd w:fill="CCEEFF" w:val="clear"/>
            <w:tcMar>
              <w:bottom w:w="28" w:type="dxa"/>
            </w:tcMar>
            <w:vAlign w:val="center"/>
          </w:tcPr>
          <w:p>
            <w:pPr>
              <w:pStyle w:val="TableContents"/>
              <w:bidi w:val="0"/>
              <w:spacing w:before="0" w:after="283"/>
              <w:jc w:val="right"/>
              <w:rPr/>
            </w:pPr>
            <w:r>
              <w:rPr/>
              <w:t>(28,302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3,180</w:t>
            </w:r>
          </w:p>
        </w:tc>
        <w:tc>
          <w:tcPr>
            <w:tcW w:w="8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zero and $1.4 million of other income for the three and nine months ended September 30, 2022, respectively, recognized upon the conversion of related party convertible notes and SAFEs.</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$0.7 million of other expense for each of the thirteen and thirty-nine weeks ended October 1, 2023 for bonus shares issued to related parties in connection with the Mergers.</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$0.3 million of other income for each of the thirteen and thirty-nine weeks ended October 1, 2023 for forward purchase agreements entered into with related parties.</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$5.9 million of other expense for each of the thirteen and thirty-nine weeks ended October 1, 2023 for forward purchase agreements entered into with related parties.</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99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$30.7 million of other expense for each of the thirteen and thirty-nine weeks ended October 1, 2023 for shares issued to related parties in connection with the forward purchase agreements.</w:t>
            </w:r>
          </w:p>
        </w:tc>
      </w:tr>
    </w:tbl>
    <w:p>
      <w:pPr>
        <w:pStyle w:val="TextBody"/>
        <w:bidi w:val="0"/>
        <w:spacing w:before="0" w:after="0"/>
        <w:ind w:left="0" w:right="0" w:hanging="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41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(14)</w:t>
            </w:r>
          </w:p>
        </w:tc>
        <w:tc>
          <w:tcPr>
            <w:tcW w:w="1610" w:type="dxa"/>
            <w:tcBorders/>
            <w:vAlign w:val="center"/>
          </w:tcPr>
          <w:p>
            <w:pPr>
              <w:pStyle w:val="TableContents"/>
              <w:bidi w:val="0"/>
              <w:spacing w:before="0" w:after="283"/>
              <w:jc w:val="both"/>
              <w:rPr>
                <w:b/>
              </w:rPr>
            </w:pPr>
            <w:r>
              <w:rPr>
                <w:b/>
              </w:rPr>
              <w:t>Common Stock</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October 1, 2023. No preferred stock has been issued.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152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5270"/>
        <w:gridCol w:w="60"/>
        <w:gridCol w:w="60"/>
        <w:gridCol w:w="1100"/>
        <w:gridCol w:w="7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br/>
              <w:t>October 1,</w:t>
              <w:br/>
              <w:t>2023</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27,637,266</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2,628,996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7,013,514</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Stock options and RSUs, authorized for future issuance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8,625,023</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shares reserved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45,904,799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20" w:right="0" w:hanging="0"/>
        <w:jc w:val="left"/>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410"/>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(15)</w:t>
            </w:r>
          </w:p>
        </w:tc>
        <w:tc>
          <w:tcPr>
            <w:tcW w:w="1025" w:type="dxa"/>
            <w:tcBorders/>
            <w:vAlign w:val="center"/>
          </w:tcPr>
          <w:p>
            <w:pPr>
              <w:pStyle w:val="TableContents"/>
              <w:bidi w:val="0"/>
              <w:spacing w:before="0" w:after="283"/>
              <w:jc w:val="both"/>
              <w:rPr>
                <w:b/>
              </w:rPr>
            </w:pPr>
            <w:r>
              <w:rPr>
                <w:b/>
              </w:rPr>
              <w:t>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Warrants (Converted to Common Stock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the Company issued a warrant to purchase 5,054 shares of Series B preferred stock (the “Series B warrant”) in connection with a 2016 credit facility. The Series B warrant is immediately exercisable at an exercise price of $4.30 per share and has an expiration date of February 2026. The fair value of the Series B warrant was less than $0.1 million as of December 31, 2022 and as of July 18, 2023, when the Series B warrant was reclassified from warrant liability to additional paid-in capital, as the warrant is exercisable into shares of Complete Solaria Common Stock upon the close of the Mergers. The relative fair value of the Series B warrant at issuance was recorded as a debt issuance cost within other non-current liabilities on the accompanying unaudited condensed consolidated balance sheets, and changes in fair value have been recorded in other income (expense), net on the accompanying unaudited condensed consolidated statements of operations and comprehensive income (loss) for the thirteen and thirty-nine weeks ended October 1, 2023 and the three and nine months ended September 30, 2022.</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Warrants (Converted to Common Stock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2016, the Company issued a warrant to purchase 148,477 shares of Series C preferred stock (the “Series C warrant”) in connection with the Series C financing. The Series C warrant agreement also provided for an additional number of Series C shares calculated on a monthly basis commencing on June 2016 based on the principal balance outstanding of the notes payable outstanding. The maximum number of shares exercisable under the Series C warrant agreement is 482,969 shares of Series C preferred stock. The Series C warrant was immediately exercisable at an exercise price of $1.00 per share and has an expiration date of July 2026. The fair value of the Series C warrant was $6.3 million as of December 31, 2022. The fair value of the Series C warrant was $2.3 million as of July 18, 2023, when the Series B warrant was reclassified from redeemable convertible preferred stock warrant liability to additional paid-in capital, as the warrant is exercisable into shares of Complete Solaria Common Stock upon the close of the Mergers. The relative fair value of the Series C warrant at issuance was recorded as Series C preferred stock issuance costs and redeemable convertible preferred stock warrant liability on the accompanying unaudited condensed consolidated balance sheets, and changes in fair value have been recorded in other income (expense), net on the accompanying unaudited condensed consolidated statements of operations and comprehensive income (loss) for the thirteen and thirty-nine weeks ended October 1, 2023 and the three and nine months ended September 30, 2022.</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C-1 Warrants (Converted to Common Stock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the Company issued a warrant to purchase 173,067 shares of common stock in conjunction with the Series C-1 preferred stock financing. The warrant is immediately exercisable at an exercise price of $0.01 per share and has an expiration date of January 2030. The warrant remains outstanding as of October 1, 2023. At issuance, the relative fair value of the warrant was determined to be $0.1 million using the Black-Scholes model with the following weighted average assumptions: expected term of 10 years; expected volatility of 62.5%; risk-free interest rate of 1.5%; and no dividend yield. The fair value of the warrant was recorded within additional paid-in capital on the unaudited condensed consolidated balance sheets. The warrant is not remeasured in future periods as it meets the conditions for equity classification.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SVB Common Stock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August 2021, the Company issued warrants to purchase 2,473 and 2,525 shares of common stock, respectively, in conjunction with the Fifth and Sixth Amendments to the Loan and Security Agreement (“Loan Agreement”) with Silicon Valley Bank (“SVB”). The warrants are immediately exercisable at exercise prices of $0.38 and $0.62 per share, respectively, and have expiration dates in 2033. The warrants remain outstanding as of October 1, 2023. At issuance, the relative fair value of the warrants were determined to be less than $0.1 million in aggregate using the Black-Scholes model with the following weighted average assumptions: expected term of 12 years; expected volatility of 73.0%; risk-free interest rate of 1.7% and 1.3% for the May and August 2021 warrants, respectively; and no dividend yield. The fair value of the warrant was recorded within additional paid-in-capital on the accompanying unaudited condensed consolidated balance sheets. The warrants are not remeasured in future periods as they meet the conditions for equity classification.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Common Stock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Company issued a warrant to purchase 24,148 shares of common stock in conjunction with the issuance of a short-term promissory note. The warrant is immediately exercisable at an exercise price of $0.01 per share and has an expiration date of October 2031. The warrant remains outstanding as of October 1, 2023. At issuance, the relative fair value of the warrant was determined to be less than $0.1 million using the Black-Scholes model with the following weighted average assumptions: expected term of 10 years; expected volatility of 73.0%; risk-free interest rate of 1.5%; and no dividend yield. The fair value of the warrant was recorded within additional paid-in capital on the unaudited condensed consolidated balance sheets. The warrant is not remeasured in future periods as it meets the conditions for equity classification.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Carlyle Warrants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as part of a debt financing from Carlyle (refer to Note 16 – Borrowing Arrangements), the Company issued a warrant to purchase 2,886,952 shares of common stock in conjunction with the redeemable investment in CS Solis. The warrant contained two tranches, the first of which is immediately exercisable for 1,995,879 shares. The second tranche, which was determined to be a separate unit of account, was exercisable upon a subsequent investment from Carlyle in CS Solis. No subsequent investment was made and the investment period expired on December 31, 2022 and the second tranche of warrants expired prior to becoming exercisable. The vested warrant had an exercise price of $0.01 per share and had an expiration date of February 2029.</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issuance, the relative fair value of the warrant was determined to be $3.4 million using the Black-Scholes model with the following weighted average assumptions: expected term of 7 years; expected volatility of 73.0%; risk-free interest rate of 1.9%; and no dividend yield. The fair value of the warrant was recorded within additional paid-in capital and as a discount on the long-term debt in CS Solis on the unaudited condensed consolidated balance sheets as of December 31, 2022.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and in connection with the closing of the Mergers, the Carlyle debt and warrants were modified. Based on the exchange ratio included in the Mergers, the 1,995,879 outstanding warrants to purchase Legacy Complete Solaria Common Stock prior to modification were exchanged into warrants to purchase 1,995,879 shares of Complete Solaria Common Stock. As part of the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Of the additional warrants that become exercisable after the modification, the tranches of 350,000 warrants vesting ten days after the date of the agreement and 150,000 warrants vesting thirty days after the date of the agreement are exercisable as of October 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modification of the warrant resulted in the reclassification of previously equity classified warrants to liability classification, which was accounted for in accordance with ASC 815 and ASC 718. The Company recorded the fair value of the modified warrants as a warrant liability of $20.4 million, the pre-modification fair value of the warrants as a reduction to additional paid-in capital of $10.9 million and $9.5 million to other income (expense), net equal to the incremental value of the warrants upon the modification. The fair value of the warrant was determined based on its intrinsic value, given a nominal exercise price. At issuance, the relative fair value of the warrant was determined to be less than $20.4 million using the Black-Scholes model with the following weighted average assumptions: expected term of 7 years; expected volatility of 77.0%; risk-free interest rate of 3.9%; and no dividend yield. As of October 1, 2023, the fair value of the warrant was $7.7 million, and the Company recorded the adjustment of $12.7 million as other income (expense), net on the unaudited condensed consolidated statements of operations and comprehensive income (loss).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D-7 Warrants (Converted to Common Stock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issued warrants to purchase 656,630 shares of Series D-7 preferred stock (the “Series D-7 warrants”) in conjunction with the Business Combination. The warrant contains two tranches. The first tranche of 518,752 shares of Series D-7 preferred stock is exercisable at an exercise price of $2.50 per share upon consummation of a merger transaction, or at an exercise price of $2.04 per share upon remaining private and has an expiration date of April 2024. The second tranche of 137,878 shares of Series D-7 preferred stock is exercisable at an exercise price of $5.00 per share upon consummation of a merger transaction, or at an exercise price of $4.09 per share upon remaining private and has an expiration date of April 2024. The fair value of the Series D-7 warrants was $7.8 million as of December 31, 2022 and $2.4 million as of July 18, 2023 when the warrants were reclassified from redeemable convertible preferred stock warrant liability to additional paid-in capital, as the exercise price of the warrants is fixed at $2.50 per share of Complete Solaria Common Stock for the first tranche and $5.00 per share of Complete Solaria Common Stock for the second tranche upon the closing of the Mergers. The Series D-7 Warrants remain outstanding as of October 1, 2023.</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2022 Common Stock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issued a warrant to a third-party service provider to purchase 78,962 shares of common stock in conjunction with the Business Combination. The warrant was immediately exercisable at an exercise price of $8.00 per share and had an expiration date of April 2024. In May 2023, the Company amended the warrant, modifying the shares of common stock to be purchased to 31,680, the exercise price to $0.01, and the expiration date to the earlier of October 2026 or the closing of an IPO. The impact of the modification was not material to the unaudited condensed consolidated financial statements. At issuance and upon the modification, the relative fair value of the warrant was determined to be $0.1 million using the Black-Scholes model with the following weighted average assumptions: expected term of 1.5 years; expected volatility of 78.5%; risk-free interest rate of 4.7%; and no dividend yield. The fair value of the warrant was recorded within additional paid-in capital on the unaudited condensed consolidated balance sheets. The warrant is not remeasured in future periods as it meets the conditions for equity classification. Upon the Closing of the Mergers, the warrant was net exercised into 31,680 shares of Complete Solaria Common Stock.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2023 Common Stock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issued a warrant to a third-party service provider to purchase 38,981 shares of common stock in exchange for services provided in obtaining financing at the Closing of the Mergers. The warrant is immediately exercisable at a price of $0.01 per share and has an expiration date of July 2028. At issuance, the fair value of the warrant was determined to be $0.2 million, based on the intrinsic value of the warrant and the $0.01 per share exercise price. As the warrant is accounted for as an equity issuance cost, the warrant is recorded only within additional paid-in capital on the unaudited condensed consolidated balance sheets. The warrant is not remeasured in future periods as it meets the conditions for equity classification.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Consideration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in connection with the Mergers, the Company issued 6,266,572 warrants to purchase Complete Solaria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 As of October 1, 2023, all warrants issued as warrant consideration remain outstanding.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Private Placement, and Working Capital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Mergers, Complete Solaria, as accounting acquirer, was deemed to assume 6,266,667 warrants to purchase FACT Class A Ordinary Shares that were held by the sponsor at an exercise price of $11.50 (“Private Placement Warrants”) and 8,625,000 warrants to purchase FACT’s shareholders FACT Class A Ordinary Shares at an exercise price of $11.50 (“Public Warrants”). Subsequent to the Mergers, the Private Placement Warrants and Public Warrants are exercisable for shares of Complete Solaria Common Stock and meet liability classification requirements since the warrants may be required to be settled in cash under a tender offer. In addition, Private Placement Warrants are potentially subject to a different settlement amount as a result of being held by the Sponsor which precludes the Private Placement Warrants from being considered indexed to the entity’s own stock. Therefore, these warrants are classified as liabilities on the unaudited condensed consolidated balance sheets.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Public and Private warrants to be classified as a liability and fair valued the warrants on the issuance date using the publicly available price for the warrants of $6.4 million. The fair value of these warrants was $2.4 million as of October 1, 2023, and the Company recorded the change in fair value of $4.0 million in other income (expense), net in the unaudited condensed consolidated statements of operations and comprehensive income (loss) for the thirteen and thirty-nine weeks ended October 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at the closing of the Mergers, the Company issued 716,668 Working Capital warrants, which have identical terms as the Private Placement Warrants to the sponsor in satisfaction of certain liabilities of FACT. The warrants were fair valued at $0.3 million upon the closing of the Mergers, which was recorded in warrant liability on the unaudited condensed consolidated balance sheets. As of October 1, 2023, the Working Capital warrants had a fair value of $0.1 million, and the Company recorded the change in fair value of $0.2 million as other income (expense), net on the unaudited condensed consolidated statements of operations and comprehensive income (loss).</w:t>
      </w:r>
    </w:p>
    <w:p>
      <w:pPr>
        <w:pStyle w:val="TextBody"/>
        <w:bidi w:val="0"/>
        <w:spacing w:before="0" w:after="0"/>
        <w:ind w:left="360" w:right="0" w:hanging="0"/>
        <w:jc w:val="both"/>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38"/>
        <w:gridCol w:w="41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(16)</w:t>
            </w:r>
          </w:p>
        </w:tc>
        <w:tc>
          <w:tcPr>
            <w:tcW w:w="2675" w:type="dxa"/>
            <w:tcBorders/>
            <w:vAlign w:val="center"/>
          </w:tcPr>
          <w:p>
            <w:pPr>
              <w:pStyle w:val="TableContents"/>
              <w:bidi w:val="0"/>
              <w:spacing w:before="0" w:after="283"/>
              <w:jc w:val="both"/>
              <w:rPr>
                <w:b/>
              </w:rPr>
            </w:pPr>
            <w:r>
              <w:rPr>
                <w:b/>
              </w:rPr>
              <w:t>Borrowing Arrangements</w:t>
            </w:r>
          </w:p>
        </w:tc>
      </w:tr>
    </w:tbl>
    <w:p>
      <w:pPr>
        <w:pStyle w:val="TextBody"/>
        <w:bidi w:val="0"/>
        <w:spacing w:before="0" w:after="0"/>
        <w:ind w:left="112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net and convertible notes, net, due to related parties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 2023 and December 31, 2022, the Company’s convertible notes consisted of the following (in thousands):</w:t>
      </w:r>
    </w:p>
    <w:p>
      <w:pPr>
        <w:pStyle w:val="TextBody"/>
        <w:bidi w:val="0"/>
        <w:spacing w:before="0" w:after="0"/>
        <w:ind w:left="1520" w:right="0" w:hanging="0"/>
        <w:jc w:val="both"/>
        <w:rPr>
          <w:caps w:val="false"/>
          <w:smallCaps w:val="false"/>
        </w:rPr>
      </w:pPr>
      <w:r>
        <w:rPr>
          <w:caps w:val="false"/>
          <w:smallCaps w:val="false"/>
        </w:rPr>
        <w:t> </w:t>
      </w:r>
    </w:p>
    <w:tbl>
      <w:tblPr>
        <w:tblW w:w="8143" w:type="dxa"/>
        <w:jc w:val="left"/>
        <w:tblInd w:w="0" w:type="dxa"/>
        <w:tblLayout w:type="fixed"/>
        <w:tblCellMar>
          <w:top w:w="0" w:type="dxa"/>
          <w:left w:w="0" w:type="dxa"/>
          <w:bottom w:w="0" w:type="dxa"/>
          <w:right w:w="0" w:type="dxa"/>
        </w:tblCellMar>
      </w:tblPr>
      <w:tblGrid>
        <w:gridCol w:w="4310"/>
        <w:gridCol w:w="60"/>
        <w:gridCol w:w="567"/>
        <w:gridCol w:w="1057"/>
        <w:gridCol w:w="60"/>
        <w:gridCol w:w="60"/>
        <w:gridCol w:w="333"/>
        <w:gridCol w:w="1621"/>
        <w:gridCol w:w="75"/>
      </w:tblGrid>
      <w:tr>
        <w:trPr/>
        <w:tc>
          <w:tcPr>
            <w:tcW w:w="431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36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ind w:left="0" w:right="0" w:hanging="180"/>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ind w:left="0" w:right="0" w:hanging="180"/>
              <w:jc w:val="left"/>
              <w:rPr/>
            </w:pPr>
            <w:r>
              <w:rPr/>
              <w:t> </w:t>
            </w:r>
          </w:p>
        </w:tc>
      </w:tr>
      <w:tr>
        <w:trPr/>
        <w:tc>
          <w:tcPr>
            <w:tcW w:w="4310" w:type="dxa"/>
            <w:tcBorders/>
            <w:shd w:fill="CCEEFF" w:val="clear"/>
            <w:vAlign w:val="center"/>
          </w:tcPr>
          <w:p>
            <w:pPr>
              <w:pStyle w:val="TableContents"/>
              <w:bidi w:val="0"/>
              <w:spacing w:before="0" w:after="283"/>
              <w:jc w:val="left"/>
              <w:rPr/>
            </w:pPr>
            <w:r>
              <w:rPr/>
              <w:t>Convertible notes, net, noncurrent</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310" w:type="dxa"/>
            <w:tcBorders/>
            <w:shd w:fill="FFFFFF" w:val="clear"/>
            <w:vAlign w:val="center"/>
          </w:tcPr>
          <w:p>
            <w:pPr>
              <w:pStyle w:val="TableContents"/>
              <w:bidi w:val="0"/>
              <w:spacing w:before="0" w:after="283"/>
              <w:jc w:val="left"/>
              <w:rPr/>
            </w:pPr>
            <w:r>
              <w:rPr/>
              <w:t>2022 Convertible Notes</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left"/>
              <w:rPr/>
            </w:pPr>
            <w:r>
              <w:rPr/>
              <w:t>$</w:t>
            </w:r>
          </w:p>
        </w:tc>
        <w:tc>
          <w:tcPr>
            <w:tcW w:w="105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p>
        </w:tc>
        <w:tc>
          <w:tcPr>
            <w:tcW w:w="1621" w:type="dxa"/>
            <w:tcBorders/>
            <w:shd w:fill="FFFFFF" w:val="clear"/>
            <w:vAlign w:val="center"/>
          </w:tcPr>
          <w:p>
            <w:pPr>
              <w:pStyle w:val="TableContents"/>
              <w:bidi w:val="0"/>
              <w:spacing w:before="0" w:after="283"/>
              <w:jc w:val="right"/>
              <w:rPr/>
            </w:pPr>
            <w:r>
              <w:rPr/>
              <w:t>3,434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310" w:type="dxa"/>
            <w:tcBorders/>
            <w:shd w:fill="CCEEFF" w:val="clear"/>
            <w:vAlign w:val="center"/>
          </w:tcPr>
          <w:p>
            <w:pPr>
              <w:pStyle w:val="TableContents"/>
              <w:bidi w:val="0"/>
              <w:spacing w:before="0" w:after="283"/>
              <w:jc w:val="left"/>
              <w:rPr/>
            </w:pPr>
            <w:r>
              <w:rPr/>
              <w:t>2022 Convertible Notes due to related parties</w:t>
            </w:r>
          </w:p>
        </w:tc>
        <w:tc>
          <w:tcPr>
            <w:tcW w:w="60" w:type="dxa"/>
            <w:tcBorders/>
            <w:shd w:fill="CCEEFF" w:val="cle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21" w:type="dxa"/>
            <w:tcBorders>
              <w:bottom w:val="single" w:sz="12" w:space="0" w:color="000000"/>
            </w:tcBorders>
            <w:shd w:fill="CCEEFF" w:val="clear"/>
            <w:tcMar>
              <w:bottom w:w="28" w:type="dxa"/>
            </w:tcMar>
            <w:vAlign w:val="center"/>
          </w:tcPr>
          <w:p>
            <w:pPr>
              <w:pStyle w:val="TableContents"/>
              <w:bidi w:val="0"/>
              <w:spacing w:before="0" w:after="283"/>
              <w:jc w:val="right"/>
              <w:rPr/>
            </w:pPr>
            <w:r>
              <w:rPr/>
              <w:t>15,510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310" w:type="dxa"/>
            <w:tcBorders/>
            <w:shd w:fill="FFFFFF" w:val="clear"/>
            <w:vAlign w:val="center"/>
          </w:tcPr>
          <w:p>
            <w:pPr>
              <w:pStyle w:val="TableContents"/>
              <w:bidi w:val="0"/>
              <w:spacing w:before="0" w:after="283"/>
              <w:jc w:val="left"/>
              <w:rPr/>
            </w:pPr>
            <w:r>
              <w:rPr/>
              <w:t>Total convertible notes</w:t>
            </w:r>
          </w:p>
        </w:tc>
        <w:tc>
          <w:tcPr>
            <w:tcW w:w="60" w:type="dxa"/>
            <w:tcBorders/>
            <w:shd w:fill="FFFFFF" w:val="clear"/>
            <w:vAlign w:val="center"/>
          </w:tcPr>
          <w:p>
            <w:pPr>
              <w:pStyle w:val="TableContents"/>
              <w:bidi w:val="0"/>
              <w:spacing w:before="0" w:after="283"/>
              <w:jc w:val="left"/>
              <w:rPr/>
            </w:pPr>
            <w:r>
              <w:rPr/>
              <w:t> </w:t>
            </w:r>
          </w:p>
        </w:tc>
        <w:tc>
          <w:tcPr>
            <w:tcW w:w="56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7"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621" w:type="dxa"/>
            <w:tcBorders>
              <w:bottom w:val="double" w:sz="10" w:space="0" w:color="000000"/>
            </w:tcBorders>
            <w:shd w:fill="FFFFFF" w:val="clear"/>
            <w:tcMar>
              <w:bottom w:w="28" w:type="dxa"/>
            </w:tcMar>
            <w:vAlign w:val="center"/>
          </w:tcPr>
          <w:p>
            <w:pPr>
              <w:pStyle w:val="TableContents"/>
              <w:bidi w:val="0"/>
              <w:spacing w:before="0" w:after="283"/>
              <w:jc w:val="right"/>
              <w:rPr/>
            </w:pPr>
            <w:r>
              <w:rPr/>
              <w:t>18,944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2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Notes with Ecosystem Integrity Fund II, LP.</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2021, the Company issued a short-term Subordinated Convertible Promissory Note to Ecosystem Integrity Fund II, LP (“EIF”) for a total principal of $0.5 million plus accrued interest of 3.0% per annum due on June 30, 2021. The Note included a conversion feature which allows the holder to convert any portion of the note plus any unpaid accrued interest (“Conversion Amount”) into shares of Series C-1 Preferred Stock on the maturity date of June 30, 2021 or thereafter. As of December 31, 2021 the principal and accrued interest remained outstanding and the holder did not elect to covert the note into Series C-1 Preferred shares. The principal and accrued interest of $0.5 million was repaid in February 2022, and as such, the balance remaining at December 31, 2022 and thereafter remained zero.</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2019-A Convertible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the Company issued a series of convertible notes (“2019-A Convertible Notes”) for $0.1 million in proceeds, with immaterial debt issuance costs, and which were due and payable on demand by the holders after August 2020. The notes carried simple interest of 6.0% and contained a conversion feature whereby the 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valued and bifurcated the share-settled redemption feature, which enabled the holders to convert the notes to the preferred shares at a predefined discount from the issuance price and recorded its initial fair value of less than $0.1 million as a discount on the convertible notes face amount. The debt discount was amortized to interest expense at a weighted-average effective interest rate of 17.6% through the maturity dates of the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share-settled redemption feature was estimated based on a probability-weighted analysis of the discounted value of the notes converting under a Next Equity Financing, a change in control, default, or maturity, and the changes in fair value were recognized as a component of other income (expense), net in the accompanying unaudited condensed consolidated statements of operations and comprehensive income (loss). The Company recorded zero in expense during the thirteen and thirty-nine weeks ended October 1, 2023 and the three and nine months ended September 30, 2022, related to the change in the fair value of the convertible notes embedded derivative liability. The convertible notes were carried within the accompanying unaudited condensed consolidated balance sheets at their original issuance value, net of unamortized debt discount and issuance costs. In March 2022, as part of the Company’s Series D Preferred Stock issuance, the 2019-A Convertible Notes converted into 62,500 shares of Series D-2 redeemable convertible preferred stock. The Company recognized a gain on the conversion of less than $0.1 million in other income (expense), net on the unaudited condensed consolidated statements of operations and comprehensive income (loss). As the full carrying value of the note was converted to Series D Preferred Stock, the balance remaining for the note at December 31, 2022 and thereafter remained zero.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interest expense related to the 2019-A Convertible Notes during the thirteen and thirty-nine weeks ended October 1, 2023 and the three months ended September 2022. Interest expense recognized related to the 2019-A Convertible Notes during the nine months ended September 30, 2022 was immaterial.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2020-A Convertible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2020, the Company issued a series of convertible notes (“2020-A Convertible Notes”) for $3.8 million in proceeds, with immaterial debt issuance costs, and which are due and payable on demand by the holders after April 2021. The notes carried simple interest of 2.0% and contained a conversion feature whereby the 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valued and bifurcated the share-settled redemption feature, which enables the holders to convert the notes to the preferred shares at a predefined discount from the issuance price and recorded its initial fair value of $0.5 million as a discount on the convertible notes face amount. The debt discount was amortized to interest expense at a weighted-average effective interest rate of 25.6% through the maturity dates of the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share-settled redemption feature was estimated based on a probability-weighted analysis of the discounted value of the notes converting under a Next Equity Financing, a change in control, default, or maturity, and the changes in fair value were recognized as a component of other income (expense), net in the accompanying unaudited condensed consolidated statements of operations and comprehensive income (loss). The Company recorded zero in expense during the thirteen and thirty-nine weeks ended October 1, 2023 and the three and nine months ended September 30, 2022, related to the change in the fair value of the convertible notes embedded derivative liability. The convertible notes were carried within the accompanying unaudited condensed consolidated balance sheets at their original issuance value, net of unamortized debt discount and issuance costs. In March 2022, as part of the Company’s Series D Preferred Stock issuance, the 2020-A Convertible Notes converted into 785,799 shares of Series D-1 redeemable convertible preferred stock. The Company recognized a gain on the conversion of $0.9 million in other income (expense), net on the unaudited condensed consolidated statements of operations and comprehensive income (loss). As the full carrying value of the note was converted to Series D Preferred Stock, the balance remaining for the note at December 31, 2022 and thereafter remained zero.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interest expense related to the 2020-A Convertible Notes during the thirteen and thirty-nine weeks ended October 1, 2023 and the three months ended September 2022. Interest expense recognized during the nine months ended September 30, 2022 was immaterial.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2021-A Convertible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2020, the Company issued a series of convertible notes (“2021-A Convertible Notes”) for $4.3 million in proceeds, with immaterial debt issuance costs, and which are due and payable on demand by the holders after February 2022. The holders are existing investors and are not expected to demand cash settlement, as the Company expects to raise additional preferred financing under which the notes will convert into preferred shares. The notes carry simple interest of 2.0% and contained a conversion feature whereby the 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valued and bifurcated the share-settled redemption feature, which enables the holders to convert the notes to the preferred shares at a predefined discount from the issuance price and recorded its initial fair value of $0.6 million as a discount on the convertible notes face amount. The debt discount is amortized to interest expense at a weighted-average effective interest rate of 18.1% through the maturity dates of the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share-settled redemption feature was estimated based on a probability-weighted analysis of the discounted value of the notes converting under a Next Equity Financing, a change in control, default, or maturity, and the changes in fair value were recognized as a component of other income (expense), net in the unaudited condensed consolidated statements of operations and comprehensive income (loss). The Company recorded zero in expense during the thirteen and thirty-nine weeks ended October 1, 2023 and the three and nine months ended September 30, 2022, related to the change in the fair value of the convertible notes embedded derivative liability. The convertible notes were carried on the unaudited condensed consolidated balance sheets at their original issuance value, net of unamortized debt discount and issuance costs. In March 2022, as part of the Company’s Series D Preferred Stock issuance, the 2021-A Convertible Notes converted into 869,640 shares of Series D-1 redeemable convertible preferred stock. The Company recognized a gain on the conversion of $0.8 million in other income (expense), net on the unaudited condensed consolidated statements of operations and comprehensive income (loss). As the full carrying value of the note was converted to Series D Preferred Stock, the balance remaining for the note at December 31, 2022 and thereafter remained zero.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2021-A Convertible Notes financing, the Company entered into an additional convertible note with an existing investor for $0.5 million. The note carries PIK interest of 3.0% and is due and payable on demand at any time after June 30, 2021. The note contains an embedded conversion feature, which allows the holder to convert the note into a fixed number of shares of Series C-1 preferred stock at any time after</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2021. The Company concluded the conversion feature is not required to be bifurcated as an embedded derivative liability, and the note is carried at its principal plus accrued PIK interest. As the full carrying value of the note was converted to Series D Preferred Stock, the balance remaining for the note at December 31, 2022 and thereafter remained zero.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interest expense related to the 2021-A Convertible Notes during the thirteen and thirty-nine weeks ended October 1, 2023 and the three months ended September 30, 2022. Interest expense recognized during the nine months ended September 30, 2022 was immaterial.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Convertible Notes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Original Business Combination Agreement, the Company has raised a series of convertible notes (“2022 Convertible Notes”) during the fiscal year ended December 31, 2022 with an aggregate purchase price of $12.0 million, and during the thirty-nine weeks ended October 1, 2023 for an additional total purchase price of $21.3 million. Additionally, as part of the acquisition of Solaria, the Company assumed a note from an existing investor for its fair value of $6.7 million. The note contained the same terms as the other 2022 Convertible Notes. The Company did not incur significant issuance costs associated with the 2022 Convertible Notes. The 2022 Convertible Notes accrued interest at a rate of 5% per annum. Immediately prior to the closing of the Mergers, the 2022 Convertible Notes were converted into the number of shares of common stock of Complete Solaria equal to (x) the principal amount together with all accrued interest of the 2022 Convertible Notes divided by 0.75, divided by (y) the price of a share of common stock of Complete Solaria used to determine the conversion ratio in the Amended and Restated Business Combination Agreement. This resulted in the issuance of 5,316,460 shares of Complete Solaria common stock to the noteholders and no debt remains outstanding associated with the 2022 Convertible Notes as of October 1, 2023.</w:t>
      </w:r>
    </w:p>
    <w:p>
      <w:pPr>
        <w:pStyle w:val="TextBody"/>
        <w:bidi w:val="0"/>
        <w:spacing w:before="0" w:after="0"/>
        <w:ind w:left="360" w:right="0" w:firstLine="4"/>
        <w:jc w:val="both"/>
        <w:rPr>
          <w:caps w:val="false"/>
          <w:smallCaps w:val="false"/>
        </w:rPr>
      </w:pPr>
      <w:r>
        <w:rPr>
          <w:caps w:val="false"/>
          <w:smallCaps w:val="false"/>
        </w:rPr>
        <w:t> </w:t>
      </w:r>
    </w:p>
    <w:p>
      <w:pPr>
        <w:pStyle w:val="TextBody"/>
        <w:bidi w:val="0"/>
        <w:spacing w:before="0" w:after="0"/>
        <w:ind w:left="36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recognized interest expense of less than $0.1 million and $0.7 million related to the 2022 Convertible Notes during the thirteen and thirty-nine weeks ended October 1, 2023. The Company did not recognize any interest expense related to the 2022 Convertible Notes during the three and nine months ended September 30, 2022.</w:t>
      </w:r>
    </w:p>
    <w:p>
      <w:pPr>
        <w:pStyle w:val="TextBody"/>
        <w:bidi w:val="0"/>
        <w:spacing w:before="0" w:after="0"/>
        <w:ind w:left="360" w:right="0" w:firstLine="4"/>
        <w:jc w:val="both"/>
        <w:rPr>
          <w:caps w:val="false"/>
          <w:smallCaps w:val="false"/>
        </w:rPr>
      </w:pPr>
      <w:r>
        <w:rPr>
          <w:caps w:val="false"/>
          <w:smallCaps w:val="false"/>
        </w:rPr>
        <w:t> </w:t>
      </w:r>
    </w:p>
    <w:p>
      <w:pPr>
        <w:pStyle w:val="TextBody"/>
        <w:bidi w:val="0"/>
        <w:spacing w:before="0" w:after="0"/>
        <w:ind w:left="360" w:right="0" w:firstLine="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Agreements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2019 SAFE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2019, the Company issued the 2019 SAFE for $0.1 million in proceeds, with immaterial debt issuance costs. No interest was accrued on the 2019 SAFE. The 2019 SAFE contained conversion features that allowed the holder to convert the 2019 SAFE into shares of preferred stock upon the next equity financing, subject to a valuation cap. The 2019 SAFE was reported at fair value based on the probability-weighted expected return method (“PWERM”), which assigns value to the multiple settlement scenarios based on the probability of occurrence. The fair value of the 2019 SAFE was $0.2 million as of December 31, 2021 was recorded in SAFE Agreements in the accompanying unaudited condensed consolidated balance sheets. In March 2022, the Company converted the 2019 SAFE into 48,258 shares of Series D-3 redeemable convertible preferred stock. The Company recognized a gain on the conversion of the 2019 SAFE of less than $0.1 million in other income (expense), net on the unaudited condensed consolidated statements of operations and comprehensive income (loss). As the full carrying value of the SAFE was converted to Series D Preferred Stock, the balance remaining for the SAFE at December 31, 2022 and thereafter remained zero.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 SAFE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Company issued the 2021 SAFE for $5.0 million in proceeds, with immaterial debt issuance costs. No interest is accrued on the 2021 SAFE. The 2021 SAFE contained conversion features that allowed the holder to convert the 2021 SAFE into shares of preferred stock upon the next equity financing, subject to a valuation cap. The 2019 SAFE was reported at fair value based on the PWERM, which assigns value to the multiple settlement scenarios based on the probability of occurrence. The fair value of the 2021 SAFE was $6.3 million as of December 31, 2021 is recorded in SAFE Agreements in the accompanying unaudited condensed consolidated balance sheets. In March 2022, the Company converted the 2021 SAFE into 1,005,366 shares of Series D-1 redeemable convertible preferred stock. The Company recognized a gain on the conversion of the 2021 SAFE of $1.4 million in other income (expense), net on the unaudited condensed consolidated statements of operations and comprehensive income (loss). As the full carrying value of the SAFE was converted to Series D Preferred Stock, the balance remaining for the SAFE at December 31, 2022 and thereafter remained zero.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Solaria SAFE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acquisition of Solaria (refer to Note 6 – Business Combination) the Company acquired the Solaria SAFEs. The number of shares to be issued upon conversion of the SAFE notes contained various features to convert or redeem the Solaria SAFEs in the event of an equity financing, public offering, change of control or a dissolution event.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historically elected to account for all of the SAFE notes at estimated fair value pursuant to the fair value option and recorded the change in estimated fair value as other income (expense), net in the unaudited condensed consolidated statements of operations and comprehensive income (loss) until the notes are converted or settled. The SAFE notes were amended through the SAFE Assumption Amendment, Assignment and Assumption Agreement on November 4, 2022, as part of the Business Combination with Complete Solar, whereby all the SAFE notes were assumed by Complete Solar. As part of the purchase price accounting discussed in Note 4 – Reverse Recapitalization, the estimated fair value of the SAFE notes was determined to be $60.5 million. Post consummation of the Business Combination the SAFE notes were converted to 8,171,662 shares of Series D-8 preferred stock as discussed in Note 6 – Business Combination.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and Security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the Company entered into the Loan Agreement with SVB. The Loan Agreement, as amended, provided for a line of credit up to $7.0 million and has a maturity date of February 2022. Advances under the line of credit bore interest at the greater of 5.25% or the prime rate (as published in the Wall Street Journal) plus 3.5% per annum. All borrowings under the line of credit were to be secured by substantially all of the Company’s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entered into several amendments to the Loan Agreement, and in May and August 2021 in connection with the Fifth and Sixth Amendments, the Company issued warrants to purchase 5,122 shares and 5,229 shares of common stock at exercise prices of $0.38 per share and $0.62 per share, respectively. The fair value of the warrants were recorded as deferred issuance costs and amortized to interest expense. As of December 31, 2022 and thereafter, there were no unamortized debt issuance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Loan Agreement, the Company was subject to certain reporting covenants, such as a requirement for the Company’s monthly unaudited condensed consolidated financial statements and compliance certificate, as well as a financial covenant to maintain a minimum liquidity ratio of 1.75 to 1.00. In 2021, the Loan Agreement was amended to add a new financial covenant, requiring the Company to obtain new equity of at least $15.0 million by a specified date, which the Company did not meet; however, the default was later waived by SVB.</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as part of the transaction to raise long-term debt in CS Solis, the Company repaid the principal and accrued interest of the Loan Agreement of $6.7 million, which terminated the agreement with SVB. As such, as of December 31, 2022 and thereafter, there was no debt related to this agreement on the Company’s balance sheet.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 Promissory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the Company issued a short-term promissory note for $0.5 million in proceeds, with immaterial debt issuance costs. The promissory note carried simple interest of 2.0% and were due and payable after February 2022. In February 2022, the Company repaid the 2021 Promissory Note.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Company issued a short-term promissory note for $2.0 million in proceeds, with immaterial debt issuance costs. The promissory note contained a financing fee of $0.3 million, which was due and payable along with the principal amount in January 2022. In connection with the promissory note, the Company issued a warrant to purchase 50,000 shares of common stock at an exercise price of $0.01 per share. The principal and accrued interest of the note payable was repaid in January 2022, and no amounts remained outstanding as of December 31, 2022 and thereafter.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Insight Promissory Note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the Company issued a promissory note for a principal amount of $0.1 million in connection with the purchase of Current Insight, with immaterial debt issuance costs. The promissory note bears interest at 0.14% per annum and has equal monthly installments due and payable through the maturity date of January 2022. The principal and accrued interest was repaid in January 2022, and no amounts remained outstanding as of December 31, 2022 and thereafter.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2018 Bridge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Solaria Corporation issued senior subordinated convertible secured notes (“2018 Notes”) totaling approximately $3.4 million in exchange for cash. The notes bear interest at the rate of 8% per annum and the investors are entitled to receive twice of the face value of the notes at maturity. The 2018 Notes are secured by substantially all of the assets of Solaria Corporation. In 2021, the 2018 Notes were amended extending the maturity date to December 13, 2022. In connection with the 2021 amendment, Solaria had issued warrants to purchase shares of Series E-1 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 as discussed in Note 6 – Business Combination.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Company entered into an amendment to the 2018 Bridge Notes extending the maturity date from December 13, 2022 to December 13, 2023. In connection with the amendment, the notes will continue to bear interest at 8% per annum and are entitled to an increased repayment premium from 110% to 120% of the principal and accrued interest at the time of repayment.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modification was a troubled debt restructuring as the Company was experiencing financial difficulty and the amended terms resulted in a concession to the Company. As the future undiscounted cash payments under the modified terms exceeded the carrying amount of the Solaria Bridge Notes on the date of modification, the modification was accounted for prospectively. The incremental repayment premium is being amortized to interest expense using the effective interest rate method. As of October 1, 2023 and December 31, 2022, the carrying value of the Bridge Notes was $10.7 million and $9.8 million, respectively. Interest expense recognized for the thirteen and thirty-nine weeks ended October 1, 2023 was $0.3 million and $1.0 million, respectively. The Company did not recognize any interest expense related to the 2018 Bridge Notes during the three and nine months ended September 30, 2022. As of October 1, 2023, the carrying value of the 2018 Bridge Notes approximates their fair value.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SCI Term Loan and Revolver Loan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Solaria entered into a loan agreement (“SCI Loan Agreement”) with Structural Capital Investments III, LP (“SCI”).</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SCI Loan Agreement comprises of two facilities, a term loan (the “Term Loan”) and a revolving loan (the “Revolving Loan”) (together “Original Agreement”) for $5.0 million each with a maturity date of October 31, 2023. Both the Term Loan and the Revolving Loan were fully drawn upon closing. The Term Loan was repaid prior to the acquisition of Solaria by Complete Solar and was not included in the Business Combination.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also has a term of thirty-six months, principal repayments at the end of the term and an annual interest rate of 7.75% or Prime rate plus 4.5%, whichever is higher. The SCI Loan Agreement required the Company to meet certain financial covenants relating to maintenance of specified restricted cash balance, achieving specified revenue target and maintaining specified contribution margin (“Financial Covenants”) over the term of each of the Revolving Loan. The Revolving Loan is collateralized substantially by all assets and property of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years ended December 31, 2022 and December 31, 2021, Solaria entered into several Amended and Restated Loan and Security Agreements as a forbearance agreement for SCI to forbear from exercising any rights and remedies available to it as a result of Company not meeting certain Financial Covenants required by the Original Agreement. As a result of these amendment changes were made to the Financial Covenants and Solaria recorded a total of $1.9 million amendment fees in Other Liabilities and was included in the acquired liabilities for purchase price accounting.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Solaria had historically issued warrants to purchase shares of Series E-1 redeemable convertible preferred stock of Solaria (“SCI Series E-1 warrants”). The warrants were fully exercisable in whole or in part at any time during the term of the Original agreement. As part of the Business Combination with Complete Solar, all the outstanding SCI Series E-1 warrants were assumed by the parent company, Complete Solaria as discussed in Note 6 – Business Combination.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outstanding on the date of the Business Combination was fair valued at $5.0 million for the purpose of purchase price accounting discussed in Note 6 – Business Combination. The Revolving Loan principal balance at October 1, 2023 and December 31, 2022 amounted to $5.0 million. Interest expense recognized for the thirteen and thirty-nine weeks ended October 1, 2023 was $0.2 million and $0.5 million, respectively. The Company was in compliance with all the Financial Covenants as of October 1, 2023. In October 2023, the Company entered into an Assignment and Acceptance Agreement whereby Structural Capital Investments III, LP assigns the SCI debt to Kline Hill Partners Fund LP, Kline Hill Partners IV SPV LLC, Kline Hill Partners Opportunity IV SPV LLC, and Rodgers Massey Revocable Living Trust for a total purchase price of $5.0 million, as discussed in Note 22 – Subsequent Events.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Secured Credit Facility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Company entered into a secured credit facility agreement with Kline Hill Partners IV SPV LLC and Kline Hill Partners Opportunity IV SPV LLC. The secured credit facility agreement allows the Company to borrow up to 70% of the net amount of its eligible vendor purchase orders with a maximum amount of $10.0 million at any point in time. The purchase orders are backed by relevant customer sales orders which serves as a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The Company may prepay any borrowed amount without premium or penalty. Under the original terms, the secured credit facility agreement was due to mature in April 2023. The Company is in the process of amending the secured credit facility agreement to extend its maturity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October 1, 2023, the outstanding net debt amounted to $11.7 million, including accrued financing cost of $4.1 million, compared to December 31, 2022, where the outstanding net debt amounted to $5.6 million, including accrued financing cost of $0.1 million. The Company has recognized interest expense of zero and $3.1 million related to the Secured Credit Facility during the thirteen and thirty-nine weeks ended October 1, 2023, respectively. The Company did not recognize any interest expense related to the Secured Credit Facility during the three and nine months ended September 30, 2022. As of October 1, 2023, the total estimated fair value of the Secured Credit Facility approximates its carrying value.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Polar Settlement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in connection with the Mergers, the Company entered into a settlement and release agreement with Polar Multi-Strategy Master Fund (“Polar”) for the settlement of a working capital loan that had been made by Polar to the Sponsor, prior to the closing of the Mergers. As part of the settlement agreement, the Company agreed to pay Polar $0.5 million as a return of capital, which is paid in ten equal monthly installments and does not accrue interest. During the thirteen and thirty-nine weeks ended October 1, 2023, the Company made one payment of less than $0.1 million, and as of October 1, 2023, and $0.5 million remains outstanding.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in CS Solis</w:t>
      </w:r>
    </w:p>
    <w:p>
      <w:pPr>
        <w:pStyle w:val="TextBody"/>
        <w:bidi w:val="0"/>
        <w:spacing w:before="0" w:after="0"/>
        <w:ind w:left="360" w:right="0" w:firstLine="72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as part of the reorganization in February 2022 of the Company, the Company received an investment from Carlyle. The investment was made pursuant to a subscription agreement, under which Carlyle contributed $25.6 million in exchange for 100 Class B Membership Units of CS Solis and the Company contributed the net assets of Complete Solar, Inc. in exchange for 100 Class A Membership Units. The Class B Membership Units are mandatorily redeemable by the Company on the three-year anniversary of the effective date of the CS Solis amended and restated LLC agreement (February 14, 2025). The Class B Membership Units accrue interest that is payable upon redemption at a rate of 10.5% (which is structured as a dividend payable based on 25% of the investment amount measured quarterly), compounded annually, and subject to increases in the event the Company declares any dividends. In connection with the investment, the Company issued a warrant to purchase 5,978,960 shares of the Company’s common stock at a price of $0.01 per share, of which, 4,132,513 shares are immediately exercisable. The Company has accounted for the mandatorily redeemable investment from Carlyle in accordance with ASC 480, Distinguishing Liabilities from Equity, and has recorded the investment as a liability, which was accreted to its redemption value under the effective interest method. The Company has recorded the warrants as a discount to the liability. Refer to Note 14 – Common Stock, for further discussion of the warrants issued in connection with the Class B Membership Units.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and July 18, 2023, and in connection with obtaining consent for the Mergers, Legacy Complete Solaria, FACT and Carlyle entered into an Amended and Restated Consent to the Business Combination Agreement (“Carlyle Debt Modification Agreement”) and an amended and restated warrant agreement (“Carlyle Warrant Amendment”), which modified the terms of the mandatorily redeemable investment made by Carlyle in Legacy Complete Solaria.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Carlyle Debt Modification Agreement accelerates the redemption date of the investment, which was previously February 14, 2025 and is March 31, 2024 subsequent to the modification. Additionally, as part of the amendment, the parties entered into an amended and restated warrant agreement. As part of the Carlyle Warrant Amendment, Complete Solaria issued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The warrants are classified as liabilities under ASC 815 and are recorded within warrant liability on the unaudited condensed consolidated statements of operations and comprehensive income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modification of the long-term debt in CS Solis as a debt extinguishment in accordance with ASC 480 and ASC 470. As a result of the extinguishment, the Company recorded a loss on extinguishment, of $10.3 million, which is recorded within other expense on the unaudited condensed consolidated statements of operations and comprehensive income (loss). As of the modification date, the Company recorded the fair value of the new debt of $28.4 million as short-term debt in CS Solis, and the amount will be accreted to its redemption value of $31.9 million under the effective interest method.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a liability of $29.2 million and zero included in short-term debt in CS Solis on the unaudited condensed consolidated balance sheets as of October 1, 2023 and December 31, 2022, respectively. The Company has recorded a liability of zero and $25.2 million included in long-term debt in CS Solis on the unaudited condensed consolidated balance sheets as of October 1, 2023 and December 31, 2022, respectively. The Company has recorded accretion of the liability as interest expense of $1.2 million and $2.7 million for the thirteen and thirty-nine weeks ended October 1, 2023, respectively, and made payments of interest expense of $0.2 million for each of the thirteen and thirty-nine weeks ended October 1, 2023. The Company has recorded accretion of the liability as interest expense of $0.7 million and $1.7 million for the three and nine months ended September 30, 2022, respectively. During the thirteen and thirty-nine weeks ended October 1, 2023, the Company recorded amortization of issuance costs as interest expense of less than $0.1 million and $0.7 million, respectively. During the three and nine months ended September 30, 2022, the Company recorded the amortization of issuance costs as interest expense of $0.4 million and $0.9 million, respectively. As of October 1, 2023, the total estimated fair value of the Company’s debt in CS Solis was $29.1 million, which was estimated based on Level 3 inputs.</w:t>
      </w:r>
    </w:p>
    <w:p>
      <w:pPr>
        <w:pStyle w:val="TextBody"/>
        <w:bidi w:val="0"/>
        <w:spacing w:before="0" w:after="0"/>
        <w:ind w:left="360" w:right="0" w:hanging="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41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(17)</w:t>
            </w:r>
          </w:p>
        </w:tc>
        <w:tc>
          <w:tcPr>
            <w:tcW w:w="2825" w:type="dxa"/>
            <w:tcBorders/>
            <w:vAlign w:val="center"/>
          </w:tcPr>
          <w:p>
            <w:pPr>
              <w:pStyle w:val="TableContents"/>
              <w:bidi w:val="0"/>
              <w:spacing w:before="0" w:after="283"/>
              <w:jc w:val="both"/>
              <w:rPr>
                <w:b/>
              </w:rPr>
            </w:pPr>
            <w:r>
              <w:rPr>
                <w:b/>
              </w:rPr>
              <w:t>Stock-Based Compensation</w:t>
            </w:r>
          </w:p>
        </w:tc>
      </w:tr>
    </w:tbl>
    <w:p>
      <w:pPr>
        <w:pStyle w:val="TextBody"/>
        <w:bidi w:val="0"/>
        <w:spacing w:before="0" w:after="0"/>
        <w:ind w:left="15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Complete Solaria Common Stock may be issued under the 2023 Plan. In addition, the number of shares of Complete Solaria Common Stock reserved for issuance under the 2023 Plan will automatically increase on January 1 of each year, starting on January 1, 2024 and ending on January 1, 2033, in an amount equal to the lesser of (1) 4% of the total number of shares of Complete Solaria’s Common Stock outstanding on December 31 of the preceding year, or (2) a lesser number of shares of Complete Solaria Common Stock determined by Complete Solaria’s Board prior to the date of the increase. The maximum number of shares of Complete Solaria Common Stock that may be issued on the exercise of ISOs under the 2023 Plan is three times the number of shares available for issuance upon the 2023 Plan becoming effective (or 26,289,966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 The 2022 Plan is the successor of the Complete Solar 2021 Stock Plan, which was amended and assumed in connection with the acquisition of Solaria. The 2011 Plan is the Complete Solar 2011 Stock Plan that was assumed by Complete Solaria in the Required Transaction. The 2016 Plan and the 2006 Plan are the Solaria stock plans that were assumed by Complete Solaria in the Required Transaction.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Plans, the Company has granted service and performance-based stock options and restricted stock units (“RSUs”).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 activity for the thirty-nine weeks ended October 1, 2023 under the Plans is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6"/>
        <w:gridCol w:w="60"/>
        <w:gridCol w:w="76"/>
        <w:gridCol w:w="1245"/>
        <w:gridCol w:w="95"/>
        <w:gridCol w:w="60"/>
        <w:gridCol w:w="521"/>
        <w:gridCol w:w="1640"/>
        <w:gridCol w:w="60"/>
        <w:gridCol w:w="60"/>
        <w:gridCol w:w="286"/>
        <w:gridCol w:w="2100"/>
        <w:gridCol w:w="60"/>
        <w:gridCol w:w="60"/>
        <w:gridCol w:w="230"/>
        <w:gridCol w:w="1126"/>
        <w:gridCol w:w="80"/>
      </w:tblGrid>
      <w:tr>
        <w:trPr/>
        <w:tc>
          <w:tcPr>
            <w:tcW w:w="2446"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761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Options Outstanding</w:t>
            </w:r>
          </w:p>
        </w:tc>
        <w:tc>
          <w:tcPr>
            <w:tcW w:w="80" w:type="dxa"/>
            <w:tcBorders/>
            <w:vAlign w:val="center"/>
          </w:tcPr>
          <w:p>
            <w:pPr>
              <w:pStyle w:val="TableContents"/>
              <w:bidi w:val="0"/>
              <w:spacing w:before="0" w:after="283"/>
              <w:ind w:left="0" w:right="0" w:hanging="180"/>
              <w:jc w:val="left"/>
              <w:rPr/>
            </w:pPr>
            <w:r>
              <w:rPr/>
              <w:t> </w:t>
            </w:r>
          </w:p>
        </w:tc>
      </w:tr>
      <w:tr>
        <w:trPr/>
        <w:tc>
          <w:tcPr>
            <w:tcW w:w="24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Aggregate Intrinsic Value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80" w:type="dxa"/>
            <w:tcBorders/>
            <w:vAlign w:val="center"/>
          </w:tcPr>
          <w:p>
            <w:pPr>
              <w:pStyle w:val="TableContents"/>
              <w:bidi w:val="0"/>
              <w:spacing w:before="0" w:after="283"/>
              <w:ind w:left="0" w:right="0" w:hanging="180"/>
              <w:jc w:val="left"/>
              <w:rPr/>
            </w:pPr>
            <w:r>
              <w:rPr/>
              <w:t> </w:t>
            </w:r>
          </w:p>
        </w:tc>
      </w:tr>
      <w:tr>
        <w:trPr/>
        <w:tc>
          <w:tcPr>
            <w:tcW w:w="2446" w:type="dxa"/>
            <w:tcBorders/>
            <w:shd w:fill="CCEEFF" w:val="clear"/>
            <w:vAlign w:val="center"/>
          </w:tcPr>
          <w:p>
            <w:pPr>
              <w:pStyle w:val="TableContents"/>
              <w:bidi w:val="0"/>
              <w:spacing w:before="0" w:after="283"/>
              <w:jc w:val="left"/>
              <w:rPr/>
            </w:pPr>
            <w:r>
              <w:rPr/>
              <w:t>Outstanding—December 31, 2022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4,970,419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34,180</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446"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2,164,946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446"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(67,292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446" w:type="dxa"/>
            <w:tcBorders/>
            <w:shd w:fill="FFFFFF" w:val="clear"/>
            <w:vAlign w:val="center"/>
          </w:tcPr>
          <w:p>
            <w:pPr>
              <w:pStyle w:val="TableContents"/>
              <w:bidi w:val="0"/>
              <w:spacing w:before="0" w:after="283"/>
              <w:jc w:val="left"/>
              <w:rPr/>
            </w:pPr>
            <w:r>
              <w:rPr/>
              <w:t>Options canceled</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283"/>
              <w:jc w:val="right"/>
              <w:rPr/>
            </w:pPr>
            <w:r>
              <w:rPr/>
              <w:t>(142,218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single" w:sz="12" w:space="0" w:color="000000"/>
            </w:tcBorders>
            <w:shd w:fill="FFFFFF" w:val="clear"/>
            <w:tcMar>
              <w:bottom w:w="28" w:type="dxa"/>
            </w:tcMar>
            <w:vAlign w:val="center"/>
          </w:tcPr>
          <w:p>
            <w:pPr>
              <w:pStyle w:val="TableContents"/>
              <w:bidi w:val="0"/>
              <w:spacing w:before="0" w:after="283"/>
              <w:jc w:val="right"/>
              <w:rPr/>
            </w:pPr>
            <w:r>
              <w:rPr/>
              <w:t>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1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446" w:type="dxa"/>
            <w:tcBorders/>
            <w:shd w:fill="CCEEFF" w:val="clear"/>
            <w:vAlign w:val="center"/>
          </w:tcPr>
          <w:p>
            <w:pPr>
              <w:pStyle w:val="TableContents"/>
              <w:bidi w:val="0"/>
              <w:spacing w:before="0" w:after="283"/>
              <w:jc w:val="left"/>
              <w:rPr/>
            </w:pPr>
            <w:r>
              <w:rPr/>
              <w:t>Outstanding—October 1, 2023</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double" w:sz="10" w:space="0" w:color="000000"/>
            </w:tcBorders>
            <w:shd w:fill="CCEEFF" w:val="clear"/>
            <w:tcMar>
              <w:bottom w:w="28" w:type="dxa"/>
            </w:tcMar>
            <w:vAlign w:val="center"/>
          </w:tcPr>
          <w:p>
            <w:pPr>
              <w:pStyle w:val="TableContents"/>
              <w:bidi w:val="0"/>
              <w:spacing w:before="0" w:after="283"/>
              <w:jc w:val="right"/>
              <w:rPr/>
            </w:pPr>
            <w:r>
              <w:rPr/>
              <w:t>6,925,855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10" w:space="0" w:color="000000"/>
            </w:tcBorders>
            <w:shd w:fill="CCEEFF" w:val="clear"/>
            <w:tcMar>
              <w:bottom w:w="28" w:type="dxa"/>
            </w:tcMar>
            <w:vAlign w:val="center"/>
          </w:tcPr>
          <w:p>
            <w:pPr>
              <w:pStyle w:val="TableContents"/>
              <w:bidi w:val="0"/>
              <w:spacing w:before="0" w:after="283"/>
              <w:jc w:val="right"/>
              <w:rPr/>
            </w:pPr>
            <w:r>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100" w:type="dxa"/>
            <w:tcBorders>
              <w:bottom w:val="double" w:sz="10" w:space="0" w:color="000000"/>
            </w:tcBorders>
            <w:shd w:fill="CCEEFF" w:val="clear"/>
            <w:tcMar>
              <w:bottom w:w="28" w:type="dxa"/>
            </w:tcM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CCEEFF" w:val="clear"/>
            <w:tcMar>
              <w:bottom w:w="28" w:type="dxa"/>
            </w:tcMar>
            <w:vAlign w:val="center"/>
          </w:tcPr>
          <w:p>
            <w:pPr>
              <w:pStyle w:val="TableContents"/>
              <w:bidi w:val="0"/>
              <w:spacing w:before="0" w:after="283"/>
              <w:jc w:val="right"/>
              <w:rPr/>
            </w:pPr>
            <w:r>
              <w:rPr/>
              <w:t>2,727</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446" w:type="dxa"/>
            <w:tcBorders/>
            <w:shd w:fill="FFFFFF" w:val="clear"/>
            <w:vAlign w:val="center"/>
          </w:tcPr>
          <w:p>
            <w:pPr>
              <w:pStyle w:val="TableContents"/>
              <w:bidi w:val="0"/>
              <w:spacing w:before="0" w:after="283"/>
              <w:jc w:val="left"/>
              <w:rPr/>
            </w:pPr>
            <w:r>
              <w:rPr/>
              <w:t>Vested and expected to vest—October 1, 2023</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double" w:sz="10" w:space="0" w:color="000000"/>
            </w:tcBorders>
            <w:shd w:fill="FFFFFF" w:val="clear"/>
            <w:tcMar>
              <w:bottom w:w="28" w:type="dxa"/>
            </w:tcMar>
            <w:vAlign w:val="center"/>
          </w:tcPr>
          <w:p>
            <w:pPr>
              <w:pStyle w:val="TableContents"/>
              <w:bidi w:val="0"/>
              <w:spacing w:before="0" w:after="283"/>
              <w:jc w:val="right"/>
              <w:rPr/>
            </w:pPr>
            <w:r>
              <w:rPr/>
              <w:t>6,925,855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640" w:type="dxa"/>
            <w:tcBorders>
              <w:bottom w:val="double" w:sz="10" w:space="0" w:color="000000"/>
            </w:tcBorders>
            <w:shd w:fill="FFFFFF" w:val="clear"/>
            <w:tcMar>
              <w:bottom w:w="28" w:type="dxa"/>
            </w:tcMar>
            <w:vAlign w:val="center"/>
          </w:tcPr>
          <w:p>
            <w:pPr>
              <w:pStyle w:val="TableContents"/>
              <w:bidi w:val="0"/>
              <w:spacing w:before="0" w:after="283"/>
              <w:jc w:val="right"/>
              <w:rPr/>
            </w:pPr>
            <w:r>
              <w:rPr/>
              <w:t>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100" w:type="dxa"/>
            <w:tcBorders>
              <w:bottom w:val="double" w:sz="10" w:space="0" w:color="000000"/>
            </w:tcBorders>
            <w:shd w:fill="FFFFFF" w:val="clear"/>
            <w:tcMar>
              <w:bottom w:w="28" w:type="dxa"/>
            </w:tcMar>
            <w:vAlign w:val="center"/>
          </w:tcPr>
          <w:p>
            <w:pPr>
              <w:pStyle w:val="TableContents"/>
              <w:bidi w:val="0"/>
              <w:spacing w:before="0" w:after="283"/>
              <w:jc w:val="right"/>
              <w:rPr/>
            </w:pPr>
            <w:r>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FFFFFF" w:val="clear"/>
            <w:tcMar>
              <w:bottom w:w="28" w:type="dxa"/>
            </w:tcMar>
            <w:vAlign w:val="center"/>
          </w:tcPr>
          <w:p>
            <w:pPr>
              <w:pStyle w:val="TableContents"/>
              <w:bidi w:val="0"/>
              <w:spacing w:before="0" w:after="283"/>
              <w:jc w:val="right"/>
              <w:rPr/>
            </w:pPr>
            <w:r>
              <w:rPr/>
              <w:t>2,727</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446" w:type="dxa"/>
            <w:tcBorders/>
            <w:shd w:fill="CCEEFF" w:val="clear"/>
            <w:vAlign w:val="center"/>
          </w:tcPr>
          <w:p>
            <w:pPr>
              <w:pStyle w:val="TableContents"/>
              <w:bidi w:val="0"/>
              <w:spacing w:before="0" w:after="283"/>
              <w:jc w:val="left"/>
              <w:rPr/>
            </w:pPr>
            <w:r>
              <w:rPr/>
              <w:t>Vested and exercisable—October 1, 2023</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double" w:sz="10" w:space="0" w:color="000000"/>
            </w:tcBorders>
            <w:shd w:fill="CCEEFF" w:val="clear"/>
            <w:tcMar>
              <w:bottom w:w="28" w:type="dxa"/>
            </w:tcMar>
            <w:vAlign w:val="center"/>
          </w:tcPr>
          <w:p>
            <w:pPr>
              <w:pStyle w:val="TableContents"/>
              <w:bidi w:val="0"/>
              <w:spacing w:before="0" w:after="283"/>
              <w:jc w:val="right"/>
              <w:rPr/>
            </w:pPr>
            <w:r>
              <w:rPr/>
              <w:t>3,037,856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10" w:space="0" w:color="000000"/>
            </w:tcBorders>
            <w:shd w:fill="CCEEFF" w:val="clear"/>
            <w:tcMar>
              <w:bottom w:w="28" w:type="dxa"/>
            </w:tcMar>
            <w:vAlign w:val="center"/>
          </w:tcPr>
          <w:p>
            <w:pPr>
              <w:pStyle w:val="TableContents"/>
              <w:bidi w:val="0"/>
              <w:spacing w:before="0" w:after="283"/>
              <w:jc w:val="right"/>
              <w:rPr/>
            </w:pPr>
            <w:r>
              <w:rPr/>
              <w:t>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100" w:type="dxa"/>
            <w:tcBorders>
              <w:bottom w:val="double" w:sz="10" w:space="0" w:color="000000"/>
            </w:tcBorders>
            <w:shd w:fill="CCEEFF" w:val="clear"/>
            <w:tcMar>
              <w:bottom w:w="28" w:type="dxa"/>
            </w:tcMar>
            <w:vAlign w:val="center"/>
          </w:tcPr>
          <w:p>
            <w:pPr>
              <w:pStyle w:val="TableContents"/>
              <w:bidi w:val="0"/>
              <w:spacing w:before="0" w:after="283"/>
              <w:jc w:val="right"/>
              <w:rPr/>
            </w:pPr>
            <w:r>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CCEEFF" w:val="clear"/>
            <w:tcMar>
              <w:bottom w:w="28" w:type="dxa"/>
            </w:tcMar>
            <w:vAlign w:val="center"/>
          </w:tcPr>
          <w:p>
            <w:pPr>
              <w:pStyle w:val="TableContents"/>
              <w:bidi w:val="0"/>
              <w:spacing w:before="0" w:after="283"/>
              <w:jc w:val="right"/>
              <w:rPr/>
            </w:pPr>
            <w:r>
              <w:rPr/>
              <w:t>2,245</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RSU activity for the thirty-nine weeks ended October 1, 2023 under the Plans is as follows:</w:t>
      </w:r>
    </w:p>
    <w:p>
      <w:pPr>
        <w:pStyle w:val="TextBody"/>
        <w:bidi w:val="0"/>
        <w:spacing w:before="0" w:after="0"/>
        <w:ind w:left="360" w:right="0" w:hanging="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095"/>
        <w:gridCol w:w="60"/>
        <w:gridCol w:w="113"/>
        <w:gridCol w:w="1661"/>
        <w:gridCol w:w="95"/>
        <w:gridCol w:w="60"/>
        <w:gridCol w:w="297"/>
        <w:gridCol w:w="937"/>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Grant Date </w:t>
              <w:br/>
              <w:t>Fair Value</w:t>
            </w:r>
          </w:p>
        </w:tc>
        <w:tc>
          <w:tcPr>
            <w:tcW w:w="75"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Unvested at December 31, 2022</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0"/>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right"/>
              <w:rPr/>
            </w:pPr>
            <w:r>
              <w:rPr/>
              <w:t>728,600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5.00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Vested and released</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right"/>
              <w:rPr/>
            </w:pPr>
            <w:r>
              <w:rPr/>
              <w:t>(155,473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4.84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shd w:fill="FFFFFF" w:val="clear"/>
            <w:vAlign w:val="center"/>
          </w:tcPr>
          <w:p>
            <w:pPr>
              <w:pStyle w:val="TableContents"/>
              <w:bidi w:val="0"/>
              <w:spacing w:before="0" w:after="283"/>
              <w:jc w:val="left"/>
              <w:rPr/>
            </w:pPr>
            <w:r>
              <w:rPr/>
              <w:t>Cancelled or forfeited</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61" w:type="dxa"/>
            <w:tcBorders>
              <w:bottom w:val="single" w:sz="12" w:space="0" w:color="000000"/>
            </w:tcBorders>
            <w:shd w:fill="FFFFFF" w:val="clear"/>
            <w:tcMar>
              <w:bottom w:w="28" w:type="dxa"/>
            </w:tcMar>
            <w:vAlign w:val="center"/>
          </w:tcPr>
          <w:p>
            <w:pPr>
              <w:pStyle w:val="TableContents"/>
              <w:bidi w:val="0"/>
              <w:spacing w:before="0" w:after="283"/>
              <w:jc w:val="right"/>
              <w:rPr/>
            </w:pPr>
            <w:r>
              <w:rPr/>
              <w:t>(485,468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5.07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Unvested at October 1, 2023</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61" w:type="dxa"/>
            <w:tcBorders>
              <w:bottom w:val="double" w:sz="10" w:space="0" w:color="000000"/>
            </w:tcBorders>
            <w:shd w:fill="CCEEFF" w:val="clear"/>
            <w:tcMar>
              <w:bottom w:w="28" w:type="dxa"/>
            </w:tcMar>
            <w:vAlign w:val="center"/>
          </w:tcPr>
          <w:p>
            <w:pPr>
              <w:pStyle w:val="TableContents"/>
              <w:bidi w:val="0"/>
              <w:spacing w:before="0" w:after="283"/>
              <w:jc w:val="right"/>
              <w:rPr/>
            </w:pPr>
            <w:r>
              <w:rPr/>
              <w:t>87,659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stock-based compensation expense and its allocation within the accompanying unaudited condensed consolidated statements of operations and comprehensive income (loss) (in thousands):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5"/>
        <w:gridCol w:w="60"/>
        <w:gridCol w:w="328"/>
        <w:gridCol w:w="1312"/>
        <w:gridCol w:w="60"/>
        <w:gridCol w:w="60"/>
        <w:gridCol w:w="516"/>
        <w:gridCol w:w="959"/>
        <w:gridCol w:w="60"/>
        <w:gridCol w:w="60"/>
        <w:gridCol w:w="247"/>
        <w:gridCol w:w="988"/>
        <w:gridCol w:w="60"/>
        <w:gridCol w:w="60"/>
        <w:gridCol w:w="396"/>
        <w:gridCol w:w="1079"/>
        <w:gridCol w:w="75"/>
      </w:tblGrid>
      <w:tr>
        <w:trPr/>
        <w:tc>
          <w:tcPr>
            <w:tcW w:w="388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Thirteen 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Three Months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Thirty-Nine</w:t>
              <w:br/>
              <w:t>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Nine Months</w:t>
              <w:br/>
              <w:t>Ended</w:t>
            </w:r>
          </w:p>
        </w:tc>
        <w:tc>
          <w:tcPr>
            <w:tcW w:w="75" w:type="dxa"/>
            <w:tcBorders/>
            <w:vAlign w:val="center"/>
          </w:tcPr>
          <w:p>
            <w:pPr>
              <w:pStyle w:val="TableContents"/>
              <w:bidi w:val="0"/>
              <w:spacing w:before="0" w:after="283"/>
              <w:ind w:left="0" w:right="0" w:hanging="180"/>
              <w:jc w:val="left"/>
              <w:rPr/>
            </w:pPr>
            <w:r>
              <w:rPr/>
              <w:t> </w:t>
            </w:r>
          </w:p>
        </w:tc>
      </w:tr>
      <w:tr>
        <w:trPr/>
        <w:tc>
          <w:tcPr>
            <w:tcW w:w="3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75" w:type="dxa"/>
            <w:tcBorders/>
            <w:vAlign w:val="center"/>
          </w:tcPr>
          <w:p>
            <w:pPr>
              <w:pStyle w:val="TableContents"/>
              <w:bidi w:val="0"/>
              <w:spacing w:before="0" w:after="283"/>
              <w:ind w:left="0" w:right="0" w:hanging="180"/>
              <w:jc w:val="left"/>
              <w:rPr/>
            </w:pPr>
            <w:r>
              <w:rPr/>
              <w:t> </w:t>
            </w:r>
          </w:p>
        </w:tc>
      </w:tr>
      <w:tr>
        <w:trPr/>
        <w:tc>
          <w:tcPr>
            <w:tcW w:w="388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8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91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1,416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85" w:type="dxa"/>
            <w:tcBorders/>
            <w:shd w:fill="FFFFFF" w:val="clear"/>
            <w:vAlign w:val="center"/>
          </w:tcPr>
          <w:p>
            <w:pPr>
              <w:pStyle w:val="TableContents"/>
              <w:bidi w:val="0"/>
              <w:spacing w:before="0" w:after="283"/>
              <w:jc w:val="left"/>
              <w:rPr/>
            </w:pPr>
            <w:r>
              <w:rPr/>
              <w:t>Loss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2" w:type="dxa"/>
            <w:tcBorders>
              <w:bottom w:val="single" w:sz="12" w:space="0" w:color="000000"/>
            </w:tcBorders>
            <w:shd w:fill="FFFFFF" w:val="clear"/>
            <w:tcMar>
              <w:bottom w:w="28" w:type="dxa"/>
            </w:tcMar>
            <w:vAlign w:val="center"/>
          </w:tcPr>
          <w:p>
            <w:pPr>
              <w:pStyle w:val="TableContents"/>
              <w:bidi w:val="0"/>
              <w:spacing w:before="0" w:after="283"/>
              <w:jc w:val="right"/>
              <w:rPr/>
            </w:pPr>
            <w:r>
              <w:rPr/>
              <w:t>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1,835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85"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2" w:type="dxa"/>
            <w:tcBorders>
              <w:bottom w:val="double" w:sz="10" w:space="0" w:color="000000"/>
            </w:tcBorders>
            <w:shd w:fill="CCEEFF" w:val="clear"/>
            <w:tcMar>
              <w:bottom w:w="28" w:type="dxa"/>
            </w:tcMar>
            <w:vAlign w:val="center"/>
          </w:tcPr>
          <w:p>
            <w:pPr>
              <w:pStyle w:val="TableContents"/>
              <w:bidi w:val="0"/>
              <w:spacing w:before="0" w:after="283"/>
              <w:jc w:val="right"/>
              <w:rPr/>
            </w:pPr>
            <w:r>
              <w:rPr/>
              <w:t>2,114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9" w:type="dxa"/>
            <w:tcBorders>
              <w:bottom w:val="double" w:sz="10" w:space="0" w:color="000000"/>
            </w:tcBorders>
            <w:shd w:fill="CCEEFF" w:val="clear"/>
            <w:tcMar>
              <w:bottom w:w="28" w:type="dxa"/>
            </w:tcM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shd w:fill="CCEEFF" w:val="clear"/>
            <w:tcMar>
              <w:bottom w:w="28" w:type="dxa"/>
            </w:tcMar>
            <w:vAlign w:val="center"/>
          </w:tcPr>
          <w:p>
            <w:pPr>
              <w:pStyle w:val="TableContents"/>
              <w:bidi w:val="0"/>
              <w:spacing w:before="0" w:after="283"/>
              <w:jc w:val="right"/>
              <w:rPr/>
            </w:pPr>
            <w:r>
              <w:rPr/>
              <w:t>4,156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9" w:type="dxa"/>
            <w:tcBorders>
              <w:bottom w:val="double" w:sz="10" w:space="0" w:color="000000"/>
            </w:tcBorders>
            <w:shd w:fill="CCEEFF" w:val="clear"/>
            <w:tcMar>
              <w:bottom w:w="28" w:type="dxa"/>
            </w:tcMar>
            <w:vAlign w:val="center"/>
          </w:tcPr>
          <w:p>
            <w:pPr>
              <w:pStyle w:val="TableContents"/>
              <w:bidi w:val="0"/>
              <w:spacing w:before="0" w:after="283"/>
              <w:jc w:val="right"/>
              <w:rPr/>
            </w:pPr>
            <w:r>
              <w:rPr/>
              <w:t>217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 2023, there was a total of $16.4 million and $0.2 million of unrecognized stock-based compensation costs related to service-based options and RSUs, respectively. Such compensation cost is expected to be recognized over a weighted-average period of approximately 2.13 years and 4.75 years for service-based options and RSUs,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approved the modification to accelerate the vesting of 52,167 options for employees that were terminated. Additionally, at the same time, the board of directors approved an extension of the post termination exercise period for 280,412 vested options of terminated employees. In connection with the modifications, the Company recorded incremental stock-based compensation expense of $0.1 million.</w:t>
      </w:r>
    </w:p>
    <w:p>
      <w:pPr>
        <w:pStyle w:val="TextBody"/>
        <w:bidi w:val="0"/>
        <w:spacing w:before="0" w:after="0"/>
        <w:ind w:left="152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41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(18)</w:t>
            </w:r>
          </w:p>
        </w:tc>
        <w:tc>
          <w:tcPr>
            <w:tcW w:w="3200" w:type="dxa"/>
            <w:tcBorders/>
            <w:vAlign w:val="center"/>
          </w:tcPr>
          <w:p>
            <w:pPr>
              <w:pStyle w:val="TableContents"/>
              <w:bidi w:val="0"/>
              <w:spacing w:before="0" w:after="283"/>
              <w:jc w:val="both"/>
              <w:rPr>
                <w:b/>
              </w:rPr>
            </w:pPr>
            <w:r>
              <w:rPr>
                <w:b/>
              </w:rPr>
              <w:t>Employee Stock Purchase Plan</w:t>
            </w:r>
          </w:p>
        </w:tc>
      </w:tr>
    </w:tbl>
    <w:p>
      <w:pPr>
        <w:pStyle w:val="TextBody"/>
        <w:bidi w:val="0"/>
        <w:spacing w:before="0" w:after="0"/>
        <w:ind w:left="15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an Employee Stock Purchase Plan (the “ESPP Plan”) in connection with the consummation of the Mergers in July 2023. All qualified employees may voluntarily enroll to purchase the Company’s common stock through payroll deductions at a price equal to 85% of the lower of the fair market values of the stock of the offering periods or the applicable purchase date. As of October 1, 2023, 2,628,996 shares were reserved for future issuance under the ESPP Plan.</w:t>
      </w:r>
    </w:p>
    <w:p>
      <w:pPr>
        <w:pStyle w:val="TextBody"/>
        <w:bidi w:val="0"/>
        <w:spacing w:before="0" w:after="0"/>
        <w:ind w:left="360"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41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(19)</w:t>
            </w:r>
          </w:p>
        </w:tc>
        <w:tc>
          <w:tcPr>
            <w:tcW w:w="3395"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facilities under non-cancelable operating lease agreements. The Company’s leases have remaining terms of 0.3 years to 3.1 years. Options to renew or extend leases beyond their initial term have been excluded from measurement of the ROU assets and lease liabilities as exercise is not reasonably certain. Operating leases are reflected on the unaudited condensed consolidated balance sheets within operating lease ROU assets and the related current and non-current operating lease liabilities. ROU assets represent the right to use an underlying asset for the lease term, and lease liabilities represent the obligation to make lease payments arising from lease agreement. Operating lease ROU assets and liabilities are recognized at the commencement date, or the date on which the lessor makes the underlying asset available for use, based upon the present value of the lease payments over the respective lease term. Lease expense is recognized on a straight-line basis over the lease term, subject to any changes in the lease or expectation regarding the terms. Variable lease costs such as common area maintenance, property taxes and insurance are expensed as incurred. Variable lease cost was $0.1 million and $0.3 million for the thirteen and thirty-nine weeks ended October 1, 2023, respectively, and $0.1 million and $0.2 million for the three and nine months September 30, 2022, respectively. Total lease expense for the thirteen and thirty-nine weeks ended October 1, 2023 was $0.3 million and $1.0 million, respectively, and for the three and nine months ended September 30, 2022 was $0.2 million and $0.5 million,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$0.3 million and $0.8 million of cash payments related to operating leases during the thirteen and thirty-nine weeks ended October 1, 2023, respectively and made $0.1 million and $0.4 million of cash payments related to operating leases during the three and nine months ended September 30, 2022, respectively. New operating lease right-of-use assets obtained in exchange for operating lease liabilities were zero during the thirteen and thirty-nine weeks ended October 1, 2023 and zero and $0.2 million during the three and nine months ended September 30, 2022,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 and the discount rate for the Company’s operating leases are as follows:</w:t>
      </w:r>
    </w:p>
    <w:p>
      <w:pPr>
        <w:pStyle w:val="TextBody"/>
        <w:bidi w:val="0"/>
        <w:spacing w:before="0" w:after="0"/>
        <w:ind w:left="36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875"/>
        <w:gridCol w:w="60"/>
        <w:gridCol w:w="110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r>
      <w:tr>
        <w:trPr/>
        <w:tc>
          <w:tcPr>
            <w:tcW w:w="3875" w:type="dxa"/>
            <w:tcBorders/>
            <w:shd w:fill="CCEEFF" w:val="clear"/>
            <w:vAlign w:val="center"/>
          </w:tcPr>
          <w:p>
            <w:pPr>
              <w:pStyle w:val="TableContents"/>
              <w:bidi w:val="0"/>
              <w:spacing w:before="0" w:after="283"/>
              <w:jc w:val="left"/>
              <w:rPr/>
            </w:pPr>
            <w:r>
              <w:rPr/>
              <w:t>Remaining average remaining lease term</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2.61 years</w:t>
            </w:r>
          </w:p>
        </w:tc>
      </w:tr>
      <w:tr>
        <w:trPr/>
        <w:tc>
          <w:tcPr>
            <w:tcW w:w="387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pPr>
            <w:r>
              <w:rPr/>
              <w:t>15.20%</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non-cancelable operating leases as of October 1, 2023 are as follows (in thousands):</w:t>
      </w:r>
    </w:p>
    <w:p>
      <w:pPr>
        <w:pStyle w:val="TextBody"/>
        <w:bidi w:val="0"/>
        <w:spacing w:before="0" w:after="0"/>
        <w:ind w:left="360" w:right="0" w:hanging="0"/>
        <w:jc w:val="both"/>
        <w:rPr>
          <w:caps w:val="false"/>
          <w:smallCaps w:val="false"/>
        </w:rPr>
      </w:pPr>
      <w:r>
        <w:rPr>
          <w:caps w:val="false"/>
          <w:smallCaps w:val="false"/>
        </w:rPr>
        <w:t> </w:t>
      </w:r>
    </w:p>
    <w:tbl>
      <w:tblPr>
        <w:tblW w:w="6800" w:type="dxa"/>
        <w:jc w:val="left"/>
        <w:tblInd w:w="0" w:type="dxa"/>
        <w:tblLayout w:type="fixed"/>
        <w:tblCellMar>
          <w:top w:w="0" w:type="dxa"/>
          <w:left w:w="0" w:type="dxa"/>
          <w:bottom w:w="0" w:type="dxa"/>
          <w:right w:w="0" w:type="dxa"/>
        </w:tblCellMar>
      </w:tblPr>
      <w:tblGrid>
        <w:gridCol w:w="5930"/>
        <w:gridCol w:w="60"/>
        <w:gridCol w:w="140"/>
        <w:gridCol w:w="560"/>
        <w:gridCol w:w="110"/>
      </w:tblGrid>
      <w:tr>
        <w:trPr/>
        <w:tc>
          <w:tcPr>
            <w:tcW w:w="5930" w:type="dxa"/>
            <w:tcBorders/>
            <w:shd w:fill="CCEEFF" w:val="clear"/>
            <w:vAlign w:val="center"/>
          </w:tcPr>
          <w:p>
            <w:pPr>
              <w:pStyle w:val="TableContents"/>
              <w:bidi w:val="0"/>
              <w:spacing w:before="0" w:after="283"/>
              <w:ind w:left="0" w:right="0" w:hanging="180"/>
              <w:jc w:val="left"/>
              <w:rPr/>
            </w:pPr>
            <w:r>
              <w:rPr/>
              <w:t>2023 (excluding the thirty-nine weeks ended October 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263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pPr>
            <w:r>
              <w:rPr/>
              <w:t>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743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592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477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2027 and 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pPr>
            <w:r>
              <w:rPr/>
              <w:t>Total undiscounted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2,075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(565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930" w:type="dxa"/>
            <w:tcBorders/>
            <w:shd w:fill="FFFFFF" w:val="clear"/>
            <w:vAlign w:val="center"/>
          </w:tcPr>
          <w:p>
            <w:pPr>
              <w:pStyle w:val="TableContents"/>
              <w:bidi w:val="0"/>
              <w:spacing w:before="0" w:after="283"/>
              <w:jc w:val="left"/>
              <w:rPr/>
            </w:pPr>
            <w:r>
              <w:rPr/>
              <w:t>Present value of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1,510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 10-year warranty on its solar energy system installations, which provides assurance over the workmanship in performing the installation, including roof leaks caused by the Company’s performance. For solar panel sales, the Company provides a 30-year warranty that the products will be free from defects in material and workmanship. The Company will retain its warranty obligation associated with its panel sales, subsequent to the disposal of its panel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accrues warranty costs when revenue is recognized for solar energy systems sales and panel sales,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unaudited condensed consolidated statements of operations and comprehensive income (loss). Warranty costs primarily consist of replacement materials and equipment and labor costs for service personnel.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by period relating to the Company’s warranty provision was as follows (in thousands):</w:t>
      </w:r>
    </w:p>
    <w:p>
      <w:pPr>
        <w:pStyle w:val="TextBody"/>
        <w:bidi w:val="0"/>
        <w:spacing w:before="0" w:after="0"/>
        <w:ind w:left="360" w:right="0" w:hanging="0"/>
        <w:jc w:val="both"/>
        <w:rPr>
          <w:caps w:val="false"/>
          <w:smallCaps w:val="false"/>
        </w:rPr>
      </w:pPr>
      <w:r>
        <w:rPr>
          <w:caps w:val="false"/>
          <w:smallCaps w:val="false"/>
        </w:rPr>
        <w:t> </w:t>
      </w:r>
    </w:p>
    <w:tbl>
      <w:tblPr>
        <w:tblW w:w="7478" w:type="dxa"/>
        <w:jc w:val="left"/>
        <w:tblInd w:w="0" w:type="dxa"/>
        <w:tblLayout w:type="fixed"/>
        <w:tblCellMar>
          <w:top w:w="0" w:type="dxa"/>
          <w:left w:w="0" w:type="dxa"/>
          <w:bottom w:w="0" w:type="dxa"/>
          <w:right w:w="0" w:type="dxa"/>
        </w:tblCellMar>
      </w:tblPr>
      <w:tblGrid>
        <w:gridCol w:w="4385"/>
        <w:gridCol w:w="60"/>
        <w:gridCol w:w="233"/>
        <w:gridCol w:w="1061"/>
        <w:gridCol w:w="95"/>
        <w:gridCol w:w="60"/>
        <w:gridCol w:w="265"/>
        <w:gridCol w:w="1209"/>
        <w:gridCol w:w="11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Thirty-Nine </w:t>
              <w:br/>
              <w:t xml:space="preserve">Weeks </w:t>
              <w:br/>
              <w:t xml:space="preserve">Ended </w:t>
              <w:br/>
              <w:t xml:space="preserve">October 1, </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2022</w:t>
            </w:r>
          </w:p>
        </w:tc>
        <w:tc>
          <w:tcPr>
            <w:tcW w:w="11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Warranty provision, beginning of period</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3,981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2,281</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Warranty liability from Business Combination</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1,943</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Accruals for new warranties issued</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1,492</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Settlements</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12" w:space="0" w:color="000000"/>
            </w:tcBorders>
            <w:shd w:fill="FFFFFF" w:val="clear"/>
            <w:tcMar>
              <w:bottom w:w="28" w:type="dxa"/>
            </w:tcMar>
            <w:vAlign w:val="center"/>
          </w:tcPr>
          <w:p>
            <w:pPr>
              <w:pStyle w:val="TableContents"/>
              <w:bidi w:val="0"/>
              <w:spacing w:before="0" w:after="283"/>
              <w:jc w:val="right"/>
              <w:rPr/>
            </w:pPr>
            <w:r>
              <w:rPr/>
              <w:t>(2,060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FFFFFF" w:val="clear"/>
            <w:tcMar>
              <w:bottom w:w="28" w:type="dxa"/>
            </w:tcMar>
            <w:vAlign w:val="center"/>
          </w:tcPr>
          <w:p>
            <w:pPr>
              <w:pStyle w:val="TableContents"/>
              <w:bidi w:val="0"/>
              <w:spacing w:before="0" w:after="283"/>
              <w:jc w:val="right"/>
              <w:rPr/>
            </w:pPr>
            <w:r>
              <w:rPr/>
              <w:t>(1,735</w:t>
            </w:r>
          </w:p>
        </w:tc>
        <w:tc>
          <w:tcPr>
            <w:tcW w:w="11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Warranty provision, end of period</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1" w:type="dxa"/>
            <w:tcBorders>
              <w:bottom w:val="double" w:sz="10" w:space="0" w:color="000000"/>
            </w:tcBorders>
            <w:shd w:fill="CCEEFF" w:val="clear"/>
            <w:tcMar>
              <w:bottom w:w="28" w:type="dxa"/>
            </w:tcMar>
            <w:vAlign w:val="center"/>
          </w:tcPr>
          <w:p>
            <w:pPr>
              <w:pStyle w:val="TableContents"/>
              <w:bidi w:val="0"/>
              <w:spacing w:before="0" w:after="283"/>
              <w:jc w:val="right"/>
              <w:rPr/>
            </w:pPr>
            <w:r>
              <w:rPr/>
              <w:t>4,021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10" w:space="0" w:color="000000"/>
            </w:tcBorders>
            <w:shd w:fill="CCEEFF" w:val="clear"/>
            <w:tcMar>
              <w:bottom w:w="28" w:type="dxa"/>
            </w:tcMar>
            <w:vAlign w:val="center"/>
          </w:tcPr>
          <w:p>
            <w:pPr>
              <w:pStyle w:val="TableContents"/>
              <w:bidi w:val="0"/>
              <w:spacing w:before="0" w:after="283"/>
              <w:jc w:val="right"/>
              <w:rPr/>
            </w:pPr>
            <w:r>
              <w:rPr/>
              <w:t>3,981</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Warranty provision, current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jc w:val="right"/>
              <w:rPr/>
            </w:pPr>
            <w:r>
              <w:rPr/>
              <w:t>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w:t>
            </w:r>
          </w:p>
        </w:tc>
        <w:tc>
          <w:tcPr>
            <w:tcW w:w="1209" w:type="dxa"/>
            <w:tcBorders/>
            <w:shd w:fill="FFFFFF" w:val="clear"/>
            <w:vAlign w:val="center"/>
          </w:tcPr>
          <w:p>
            <w:pPr>
              <w:pStyle w:val="TableContents"/>
              <w:bidi w:val="0"/>
              <w:spacing w:before="0" w:after="283"/>
              <w:jc w:val="right"/>
              <w:rPr/>
            </w:pPr>
            <w:r>
              <w:rPr/>
              <w:t>767</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3,416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3,214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will not have a material adverse effect on the business, financial position, results of operations, or cash flows.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have a material adverse effect on the business, financial position, results of operations, or cash flows. The Company has recorded $3.0 million and $1.9 million as a loss contingency in accrued expenses and other current liabilities on the unaudited condensed consolidated balance sheets as of October 1, 2023 and December 31, 2022, respectively, primarily associated with the pending settlement of the following legal matters.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Katerra Litigation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2022, Katerra, Inc. filed a complaint for breach of contract and turnover of property under Section 542(b) of the Bankruptcy Code in the United States Bankruptcy Court for the Southern District of Texas. The complaint seeks damages for the amounts due under the Settlement Agreement and for attorney’s fees. The Company filed an answer to the complaint on September 6, 2022. On May 11, 2023, the parties reached a settlement in which Solaria agreed to pay Katerra $0.8 million, paid in monthly payments beginning on May 25, 2023 and ending by October 25, 2023. As of October 1, 2023, the remaining balance of payments owed in relation to the settlement was $0.1 million.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Solaria and the Company in the United States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Solaria filed a Notice of Withdrawal of Appeal and will not appeal the Court’s Preliminary Injunction Order. No liability has been recorded in the Company’s unaudited condensed consolidated financial statements as the likelihood of a loss is not probable at this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filed a lawsuit for breach of contract and warranty against the Company and demanded $6.9 million plus legal fees. The case is currently in trial. The Company has recorded $2.0 million and zero as a loss contingency related to this litigation in accrued expenses and other current liabilities on the unaudited condensed consolidated balance sheets as of October 1, 2023 and December 31, 2022,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China Bridge Litigation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China Bridge Capital Limited (“China Bridge”) alleged breach of contract and demanded $6.0 million. The complaint names FACT as the defendant. The complaint alleges China Bridge and FACT entered into a financial advisory agreement in October 2022 whereby FACT engaged China Bridge to advise and assist FACT in identifying a company for FACT to acquire. As part of the agreement, China Bridge claims that FACT agreed to pay China Bridge a $6.0 million advisory fee if FACT completed such an acquisition. China Bridge claims it introduced Complete Solaria to FACT and is therefore owed the $6.0 million advisory fee.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$3.5 million of outstanding letters of credit related to normal business transactions as of October 1, 2023.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and $3.9 million as of October 1, 2023 and December 31, 2022, respectively.</w:t>
      </w:r>
    </w:p>
    <w:p>
      <w:pPr>
        <w:pStyle w:val="TextBody"/>
        <w:bidi w:val="0"/>
        <w:spacing w:before="0" w:after="0"/>
        <w:ind w:left="1120" w:right="0" w:hanging="0"/>
        <w:jc w:val="left"/>
        <w:rPr>
          <w:caps w:val="false"/>
          <w:smallCaps w:val="false"/>
        </w:rPr>
      </w:pPr>
      <w:r>
        <w:rPr>
          <w:caps w:val="false"/>
          <w:smallCaps w:val="false"/>
        </w:rPr>
        <w:t> </w:t>
      </w:r>
    </w:p>
    <w:p>
      <w:pPr>
        <w:pStyle w:val="TextBody"/>
        <w:bidi w:val="0"/>
        <w:spacing w:before="0" w:after="0"/>
        <w:ind w:left="11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20" w:right="0" w:hanging="0"/>
        <w:jc w:val="left"/>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41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(20)</w:t>
            </w:r>
          </w:p>
        </w:tc>
        <w:tc>
          <w:tcPr>
            <w:tcW w:w="3860" w:type="dxa"/>
            <w:tcBorders/>
            <w:vAlign w:val="center"/>
          </w:tcPr>
          <w:p>
            <w:pPr>
              <w:pStyle w:val="TableContents"/>
              <w:bidi w:val="0"/>
              <w:spacing w:before="0" w:after="283"/>
              <w:jc w:val="both"/>
              <w:rPr>
                <w:b/>
              </w:rPr>
            </w:pPr>
            <w:r>
              <w:rPr>
                <w:b/>
              </w:rPr>
              <w:t>Basic and Diluted Net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loss per share. No dividends were declared or paid for the thirteen or thirty-nine weeks ended October 1, 2023 or for the three or nine months ended September 30, 2022. Undistributed earnings for each period are allocated to participating securities, including the redeemable convertible preferred stock, based on the contractual participation rights of the security to share in the current earnings as if all current period earnings had been distributed. As there is no contractual obligation for the redeemable convertible preferred stock to share in losses, the Company’s basic net loss per share is computed by dividing the net loss attributable to common stockholders by the weighted-average shares of common stock outstanding during periods with undistributed losses.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basic and diluted shares and net loss per share for the three and nine months ended September 30, 2022 have been retroactively restated to give effect to the conversion of shares of legal acquiree’s convertible instruments into shares of legal acquiree common stock as though the conversion had occurred as of the beginning of the period. The retroactive restatement is consistent with the presentation on the accompanying unaudited condensed consolidated statements of stockholders’ deficit.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the Company’s basic and diluted net loss per share attributable to common stockholders for the thirteen and thirty-nine weeks ended October 1, 2023 and three and nine months ended September 30, 2022 (in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7"/>
        <w:gridCol w:w="60"/>
        <w:gridCol w:w="185"/>
        <w:gridCol w:w="1455"/>
        <w:gridCol w:w="95"/>
        <w:gridCol w:w="60"/>
        <w:gridCol w:w="166"/>
        <w:gridCol w:w="1309"/>
        <w:gridCol w:w="95"/>
        <w:gridCol w:w="60"/>
        <w:gridCol w:w="140"/>
        <w:gridCol w:w="1100"/>
        <w:gridCol w:w="95"/>
        <w:gridCol w:w="60"/>
        <w:gridCol w:w="161"/>
        <w:gridCol w:w="1276"/>
        <w:gridCol w:w="111"/>
      </w:tblGrid>
      <w:tr>
        <w:trPr/>
        <w:tc>
          <w:tcPr>
            <w:tcW w:w="3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Thirteen Weeks</w:t>
              <w:br/>
              <w:t>Ended</w:t>
              <w:br/>
              <w:t xml:space="preserve">October 1, </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September 30,</w:t>
              <w:b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Thirty-Nine</w:t>
              <w:br/>
              <w:t>Weeks</w:t>
              <w:br/>
              <w:t>Ended</w:t>
              <w:br/>
              <w:t>October 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Ended</w:t>
              <w:br/>
              <w:t xml:space="preserve">September 30, </w:t>
              <w:br/>
              <w:t>2022</w:t>
            </w:r>
          </w:p>
        </w:tc>
        <w:tc>
          <w:tcPr>
            <w:tcW w:w="111" w:type="dxa"/>
            <w:tcBorders/>
            <w:vAlign w:val="center"/>
          </w:tcPr>
          <w:p>
            <w:pPr>
              <w:pStyle w:val="TableContents"/>
              <w:bidi w:val="0"/>
              <w:spacing w:before="0" w:after="283"/>
              <w:jc w:val="left"/>
              <w:rPr/>
            </w:pPr>
            <w:r>
              <w:rPr/>
              <w:t> </w:t>
            </w:r>
          </w:p>
        </w:tc>
      </w:tr>
      <w:tr>
        <w:trPr/>
        <w:tc>
          <w:tcPr>
            <w:tcW w:w="3777"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64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7" w:type="dxa"/>
            <w:gridSpan w:val="2"/>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777" w:type="dxa"/>
            <w:tcBorders/>
            <w:shd w:fill="FFFFFF" w:val="clear"/>
            <w:vAlign w:val="center"/>
          </w:tcPr>
          <w:p>
            <w:pPr>
              <w:pStyle w:val="TableContents"/>
              <w:bidi w:val="0"/>
              <w:spacing w:before="0" w:after="283"/>
              <w:jc w:val="left"/>
              <w:rPr/>
            </w:pPr>
            <w:r>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1455" w:type="dxa"/>
            <w:tcBorders/>
            <w:shd w:fill="FFFFFF" w:val="clear"/>
            <w:vAlign w:val="center"/>
          </w:tcPr>
          <w:p>
            <w:pPr>
              <w:pStyle w:val="TableContents"/>
              <w:bidi w:val="0"/>
              <w:spacing w:before="0" w:after="283"/>
              <w:jc w:val="right"/>
              <w:rPr/>
            </w:pPr>
            <w:r>
              <w:rPr/>
              <w:t>(50,973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309" w:type="dxa"/>
            <w:tcBorders/>
            <w:shd w:fill="FFFFFF" w:val="clear"/>
            <w:vAlign w:val="center"/>
          </w:tcPr>
          <w:p>
            <w:pPr>
              <w:pStyle w:val="TableContents"/>
              <w:bidi w:val="0"/>
              <w:spacing w:before="0" w:after="283"/>
              <w:jc w:val="right"/>
              <w:rPr/>
            </w:pPr>
            <w:r>
              <w:rPr/>
              <w:t>(4,146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(73,448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1276" w:type="dxa"/>
            <w:tcBorders/>
            <w:shd w:fill="FFFFFF" w:val="clear"/>
            <w:vAlign w:val="center"/>
          </w:tcPr>
          <w:p>
            <w:pPr>
              <w:pStyle w:val="TableContents"/>
              <w:bidi w:val="0"/>
              <w:spacing w:before="0" w:after="283"/>
              <w:jc w:val="right"/>
              <w:rPr/>
            </w:pPr>
            <w:r>
              <w:rPr/>
              <w:t>(10,809</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3777" w:type="dxa"/>
            <w:tcBorders/>
            <w:shd w:fill="CCEEFF" w:val="clear"/>
            <w:vAlign w:val="center"/>
          </w:tcPr>
          <w:p>
            <w:pPr>
              <w:pStyle w:val="TableContents"/>
              <w:bidi w:val="0"/>
              <w:spacing w:before="0" w:after="283"/>
              <w:jc w:val="left"/>
              <w:rPr/>
            </w:pPr>
            <w:r>
              <w:rPr/>
              <w:t>Net loss from discontinued operations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12" w:space="0" w:color="000000"/>
            </w:tcBorders>
            <w:shd w:fill="CCEEFF" w:val="clear"/>
            <w:tcMar>
              <w:bottom w:w="28" w:type="dxa"/>
            </w:tcMar>
            <w:vAlign w:val="center"/>
          </w:tcPr>
          <w:p>
            <w:pPr>
              <w:pStyle w:val="TableContents"/>
              <w:bidi w:val="0"/>
              <w:spacing w:before="0" w:after="283"/>
              <w:jc w:val="right"/>
              <w:rPr/>
            </w:pPr>
            <w:r>
              <w:rPr/>
              <w:t>(155,909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(168,458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77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1455" w:type="dxa"/>
            <w:tcBorders/>
            <w:shd w:fill="FFFFFF" w:val="clear"/>
            <w:vAlign w:val="center"/>
          </w:tcPr>
          <w:p>
            <w:pPr>
              <w:pStyle w:val="TableContents"/>
              <w:bidi w:val="0"/>
              <w:spacing w:before="0" w:after="283"/>
              <w:jc w:val="right"/>
              <w:rPr/>
            </w:pPr>
            <w:r>
              <w:rPr/>
              <w:t>(206,882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309" w:type="dxa"/>
            <w:tcBorders/>
            <w:shd w:fill="FFFFFF" w:val="clear"/>
            <w:vAlign w:val="center"/>
          </w:tcPr>
          <w:p>
            <w:pPr>
              <w:pStyle w:val="TableContents"/>
              <w:bidi w:val="0"/>
              <w:spacing w:before="0" w:after="283"/>
              <w:jc w:val="right"/>
              <w:rPr/>
            </w:pPr>
            <w:r>
              <w:rPr/>
              <w:t>(4,146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(241,906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1276" w:type="dxa"/>
            <w:tcBorders/>
            <w:shd w:fill="FFFFFF" w:val="clear"/>
            <w:vAlign w:val="center"/>
          </w:tcPr>
          <w:p>
            <w:pPr>
              <w:pStyle w:val="TableContents"/>
              <w:bidi w:val="0"/>
              <w:spacing w:before="0" w:after="283"/>
              <w:jc w:val="right"/>
              <w:rPr/>
            </w:pPr>
            <w:r>
              <w:rPr/>
              <w:t>(10,809</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3777"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777" w:type="dxa"/>
            <w:tcBorders/>
            <w:shd w:fill="FFFFFF" w:val="clear"/>
            <w:vAlign w:val="center"/>
          </w:tcPr>
          <w:p>
            <w:pPr>
              <w:pStyle w:val="TableContents"/>
              <w:bidi w:val="0"/>
              <w:spacing w:before="0" w:after="0"/>
              <w:jc w:val="left"/>
              <w:rPr/>
            </w:pPr>
            <w:r>
              <w:rPr/>
              <w:t>Weighted average common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39,821,078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13,431,410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16,969,979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13,053,367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3777" w:type="dxa"/>
            <w:tcBorders/>
            <w:shd w:fill="CCEEFF" w:val="clear"/>
            <w:vAlign w:val="center"/>
          </w:tcPr>
          <w:p>
            <w:pPr>
              <w:pStyle w:val="TableContents"/>
              <w:bidi w:val="0"/>
              <w:spacing w:before="0" w:after="283"/>
              <w:jc w:val="left"/>
              <w:rPr>
                <w:b/>
              </w:rPr>
            </w:pPr>
            <w:r>
              <w:rPr>
                <w:b/>
              </w:rPr>
              <w:t>Net loss per share: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777" w:type="dxa"/>
            <w:tcBorders/>
            <w:shd w:fill="FFFFFF" w:val="clear"/>
            <w:vAlign w:val="center"/>
          </w:tcPr>
          <w:p>
            <w:pPr>
              <w:pStyle w:val="TableContents"/>
              <w:bidi w:val="0"/>
              <w:spacing w:before="0" w:after="0"/>
              <w:jc w:val="left"/>
              <w:rPr/>
            </w:pPr>
            <w:r>
              <w:rPr/>
              <w:t>Continuing operations – basic and diluted</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55" w:type="dxa"/>
            <w:tcBorders>
              <w:bottom w:val="double" w:sz="10" w:space="0" w:color="000000"/>
            </w:tcBorders>
            <w:shd w:fill="FFFFFF" w:val="clear"/>
            <w:tcMar>
              <w:bottom w:w="28" w:type="dxa"/>
            </w:tcM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FFFFFF" w:val="clear"/>
            <w:tcMar>
              <w:bottom w:w="28" w:type="dxa"/>
            </w:tcMar>
            <w:vAlign w:val="center"/>
          </w:tcPr>
          <w:p>
            <w:pPr>
              <w:pStyle w:val="TableContents"/>
              <w:bidi w:val="0"/>
              <w:spacing w:before="0" w:after="283"/>
              <w:jc w:val="right"/>
              <w:rPr/>
            </w:pPr>
            <w:r>
              <w:rPr/>
              <w:t>(0.83</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3777" w:type="dxa"/>
            <w:tcBorders/>
            <w:shd w:fill="CCEEFF" w:val="clear"/>
            <w:vAlign w:val="center"/>
          </w:tcPr>
          <w:p>
            <w:pPr>
              <w:pStyle w:val="TableContents"/>
              <w:bidi w:val="0"/>
              <w:spacing w:before="0" w:after="0"/>
              <w:jc w:val="left"/>
              <w:rPr/>
            </w:pPr>
            <w:r>
              <w:rPr/>
              <w:t>Discontinued operations – basic and diluted</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55" w:type="dxa"/>
            <w:tcBorders>
              <w:bottom w:val="double" w:sz="10" w:space="0" w:color="000000"/>
            </w:tcBorders>
            <w:shd w:fill="CCEEFF" w:val="clear"/>
            <w:tcMar>
              <w:bottom w:w="28" w:type="dxa"/>
            </w:tcMar>
            <w:vAlign w:val="center"/>
          </w:tcPr>
          <w:p>
            <w:pPr>
              <w:pStyle w:val="TableContents"/>
              <w:bidi w:val="0"/>
              <w:spacing w:before="0" w:after="283"/>
              <w:jc w:val="right"/>
              <w:rPr/>
            </w:pPr>
            <w:r>
              <w:rPr/>
              <w:t>(3.92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3777" w:type="dxa"/>
            <w:tcBorders/>
            <w:shd w:fill="FFFFFF" w:val="clear"/>
            <w:vAlign w:val="center"/>
          </w:tcPr>
          <w:p>
            <w:pPr>
              <w:pStyle w:val="TableContents"/>
              <w:bidi w:val="0"/>
              <w:spacing w:before="0" w:after="0"/>
              <w:jc w:val="left"/>
              <w:rPr/>
            </w:pPr>
            <w:r>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55" w:type="dxa"/>
            <w:tcBorders>
              <w:bottom w:val="double" w:sz="10" w:space="0" w:color="000000"/>
            </w:tcBorders>
            <w:shd w:fill="FFFFFF" w:val="clear"/>
            <w:tcMar>
              <w:bottom w:w="28" w:type="dxa"/>
            </w:tcMar>
            <w:vAlign w:val="center"/>
          </w:tcPr>
          <w:p>
            <w:pPr>
              <w:pStyle w:val="TableContents"/>
              <w:bidi w:val="0"/>
              <w:spacing w:before="0" w:after="283"/>
              <w:jc w:val="right"/>
              <w:rPr/>
            </w:pPr>
            <w:r>
              <w:rPr/>
              <w:t>(5.20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(14.25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FFFFFF" w:val="clear"/>
            <w:tcMar>
              <w:bottom w:w="28" w:type="dxa"/>
            </w:tcMar>
            <w:vAlign w:val="center"/>
          </w:tcPr>
          <w:p>
            <w:pPr>
              <w:pStyle w:val="TableContents"/>
              <w:bidi w:val="0"/>
              <w:spacing w:before="0" w:after="283"/>
              <w:jc w:val="right"/>
              <w:rPr/>
            </w:pPr>
            <w:r>
              <w:rPr/>
              <w:t>(0.83</w:t>
            </w:r>
          </w:p>
        </w:tc>
        <w:tc>
          <w:tcPr>
            <w:tcW w:w="111"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attributable to common stockholders is the same for the thirteen and thirty-nine weeks ended October 1, 2023 and three and nine months ended September 30, 2022 because the inclusion of potential shares of common stock would have been anti-dilutive for the periods presented.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1520" w:right="0" w:hanging="0"/>
        <w:jc w:val="left"/>
        <w:rPr>
          <w:caps w:val="false"/>
          <w:smallCaps w:val="false"/>
        </w:rPr>
      </w:pPr>
      <w:r>
        <w:rPr>
          <w:caps w:val="false"/>
          <w:smallCaps w:val="false"/>
        </w:rPr>
        <w:t> </w:t>
      </w:r>
    </w:p>
    <w:tbl>
      <w:tblPr>
        <w:tblW w:w="9089" w:type="dxa"/>
        <w:jc w:val="left"/>
        <w:tblInd w:w="0" w:type="dxa"/>
        <w:tblLayout w:type="fixed"/>
        <w:tblCellMar>
          <w:top w:w="0" w:type="dxa"/>
          <w:left w:w="0" w:type="dxa"/>
          <w:bottom w:w="0" w:type="dxa"/>
          <w:right w:w="0" w:type="dxa"/>
        </w:tblCellMar>
      </w:tblPr>
      <w:tblGrid>
        <w:gridCol w:w="6200"/>
        <w:gridCol w:w="60"/>
        <w:gridCol w:w="60"/>
        <w:gridCol w:w="1100"/>
        <w:gridCol w:w="60"/>
        <w:gridCol w:w="60"/>
        <w:gridCol w:w="84"/>
        <w:gridCol w:w="1390"/>
        <w:gridCol w:w="75"/>
      </w:tblGrid>
      <w:tr>
        <w:trPr/>
        <w:tc>
          <w:tcPr>
            <w:tcW w:w="6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October 1,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2022</w:t>
            </w:r>
          </w:p>
        </w:tc>
        <w:tc>
          <w:tcPr>
            <w:tcW w:w="75" w:type="dxa"/>
            <w:tcBorders/>
            <w:vAlign w:val="center"/>
          </w:tcPr>
          <w:p>
            <w:pPr>
              <w:pStyle w:val="TableContents"/>
              <w:bidi w:val="0"/>
              <w:spacing w:before="0" w:after="283"/>
              <w:ind w:left="0" w:right="0" w:hanging="161"/>
              <w:jc w:val="left"/>
              <w:rPr/>
            </w:pPr>
            <w:r>
              <w:rPr/>
              <w:t> </w:t>
            </w:r>
          </w:p>
        </w:tc>
      </w:tr>
      <w:tr>
        <w:trPr/>
        <w:tc>
          <w:tcPr>
            <w:tcW w:w="6200"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23,626,132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2,000,878</w:t>
            </w:r>
          </w:p>
        </w:tc>
        <w:tc>
          <w:tcPr>
            <w:tcW w:w="75" w:type="dxa"/>
            <w:tcBorders/>
            <w:shd w:fill="CCEEFF" w:val="clear"/>
            <w:vAlign w:val="center"/>
          </w:tcPr>
          <w:p>
            <w:pPr>
              <w:pStyle w:val="TableContents"/>
              <w:bidi w:val="0"/>
              <w:spacing w:before="0" w:after="283"/>
              <w:ind w:left="0" w:right="0" w:hanging="161"/>
              <w:jc w:val="left"/>
              <w:rPr/>
            </w:pPr>
            <w:r>
              <w:rPr/>
              <w:t> </w:t>
            </w:r>
          </w:p>
        </w:tc>
      </w:tr>
      <w:tr>
        <w:trPr/>
        <w:tc>
          <w:tcPr>
            <w:tcW w:w="6200" w:type="dxa"/>
            <w:tcBorders/>
            <w:shd w:fill="FFFFFF" w:val="clear"/>
            <w:vAlign w:val="center"/>
          </w:tcPr>
          <w:p>
            <w:pPr>
              <w:pStyle w:val="TableContents"/>
              <w:bidi w:val="0"/>
              <w:spacing w:before="0" w:after="283"/>
              <w:jc w:val="left"/>
              <w:rPr/>
            </w:pPr>
            <w:r>
              <w:rPr/>
              <w:t>Preferred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488,024</w:t>
            </w:r>
          </w:p>
        </w:tc>
        <w:tc>
          <w:tcPr>
            <w:tcW w:w="75" w:type="dxa"/>
            <w:tcBorders/>
            <w:shd w:fill="FFFFFF" w:val="clear"/>
            <w:vAlign w:val="center"/>
          </w:tcPr>
          <w:p>
            <w:pPr>
              <w:pStyle w:val="TableContents"/>
              <w:bidi w:val="0"/>
              <w:spacing w:before="0" w:after="283"/>
              <w:ind w:left="0" w:right="0" w:hanging="161"/>
              <w:jc w:val="left"/>
              <w:rPr/>
            </w:pPr>
            <w:r>
              <w:rPr/>
              <w:t> </w:t>
            </w:r>
          </w:p>
        </w:tc>
      </w:tr>
      <w:tr>
        <w:trPr/>
        <w:tc>
          <w:tcPr>
            <w:tcW w:w="6200" w:type="dxa"/>
            <w:tcBorders/>
            <w:shd w:fill="CCEEFF" w:val="clear"/>
            <w:vAlign w:val="center"/>
          </w:tcPr>
          <w:p>
            <w:pPr>
              <w:pStyle w:val="TableContents"/>
              <w:bidi w:val="0"/>
              <w:spacing w:before="0" w:after="283"/>
              <w:jc w:val="left"/>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7,013,514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CCEEFF" w:val="clear"/>
            <w:tcMar>
              <w:bottom w:w="28" w:type="dxa"/>
            </w:tcMar>
            <w:vAlign w:val="center"/>
          </w:tcPr>
          <w:p>
            <w:pPr>
              <w:pStyle w:val="TableContents"/>
              <w:bidi w:val="0"/>
              <w:spacing w:before="0" w:after="283"/>
              <w:jc w:val="right"/>
              <w:rPr/>
            </w:pPr>
            <w:r>
              <w:rPr/>
              <w:t>2,430,949</w:t>
            </w:r>
          </w:p>
        </w:tc>
        <w:tc>
          <w:tcPr>
            <w:tcW w:w="75" w:type="dxa"/>
            <w:tcBorders/>
            <w:shd w:fill="CCEEFF" w:val="clear"/>
            <w:vAlign w:val="center"/>
          </w:tcPr>
          <w:p>
            <w:pPr>
              <w:pStyle w:val="TableContents"/>
              <w:bidi w:val="0"/>
              <w:spacing w:before="0" w:after="283"/>
              <w:ind w:left="0" w:right="0" w:hanging="161"/>
              <w:jc w:val="left"/>
              <w:rPr/>
            </w:pPr>
            <w:r>
              <w:rPr/>
              <w:t> </w:t>
            </w:r>
          </w:p>
        </w:tc>
      </w:tr>
      <w:tr>
        <w:trPr/>
        <w:tc>
          <w:tcPr>
            <w:tcW w:w="6200" w:type="dxa"/>
            <w:tcBorders/>
            <w:shd w:fill="FFFFFF" w:val="clear"/>
            <w:vAlign w:val="center"/>
          </w:tcPr>
          <w:p>
            <w:pPr>
              <w:pStyle w:val="TableContents"/>
              <w:bidi w:val="0"/>
              <w:spacing w:before="0" w:after="283"/>
              <w:jc w:val="left"/>
              <w:rPr/>
            </w:pPr>
            <w:r>
              <w:rPr/>
              <w:t>Potential common shares excluded from diluted net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30,639,646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FFFFFF" w:val="clear"/>
            <w:tcMar>
              <w:bottom w:w="28" w:type="dxa"/>
            </w:tcMar>
            <w:vAlign w:val="center"/>
          </w:tcPr>
          <w:p>
            <w:pPr>
              <w:pStyle w:val="TableContents"/>
              <w:bidi w:val="0"/>
              <w:spacing w:before="0" w:after="283"/>
              <w:jc w:val="right"/>
              <w:rPr/>
            </w:pPr>
            <w:r>
              <w:rPr/>
              <w:t>4,919,851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41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(21)</w:t>
            </w:r>
          </w:p>
        </w:tc>
        <w:tc>
          <w:tcPr>
            <w:tcW w:w="2825"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112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Convertible Promissory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2020, the Company issued convertible promissory notes (“2020-A Convertible Notes”) of approximately $3.8 million to various investors, out of which $3.3 million was issued to nine related parties. The principal amount of the outstanding balance accrued interest at 2.0% per annum. In 2021, the Company subsequently issued convertible promissory notes (“2021-A Convertible Notes”) of approximately $4.8 million to various investors, out of which $3.6 million was issued to four related parties. The principal amount of the outstanding balance accrued interest at 2.0% per annum. Refer to Note 16 – Borrowing Arrangements for further details.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as part of the Company’s Series D redeemable convertible preferred stock issuance, the Company converted all of the outstanding convertible note series. As part of the conversion, the Company recognized a gain on the extinguishment of related party convertible notes of $1.4 million, which was recorded in other income (expense), net on the unaudited condensed consolidated statements of operations and comprehensive income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through June 2023, the Company issued convertible promissory notes (“2022 Convertible Notes”) of approximately $33.3 million to various investors, out of which $12.1 million was issued to five related parties. Additionally, the Company acquired a related party convertible note, on the same terms as the 2022 Convertible Notes as part of the acquisition of Solaria, with a fair value of $6.7 million at the time of the acquisition. The related party debt is presented as convertible notes, net, due to related parties, noncurrent in the accompanying unaudited condensed consolidated balance sheets. The principal amount of the outstanding balance on the 2022 Convertible Notes accrues at 5.0%, compounded annually. For the thirteen and thirty-nine weeks ended October 1, 2023, the Company has recognized less than $0.1 million and $0.4 million, respectively, in interest expense related to the related party 2022 Convertible Promissory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received $3.5 million of prefunded PIPE proceeds from a related party investor in conjunction with the Company’s merger with Freedom Acquisition I Corp (refer to Note 1(a) – Description of Business and Note 4 – Reverse Recapitalization). The $3.5 million investment converted to equity for reclassification of prepaid PIPE, which is reflected in the unaudited condensed consolidated statements of redeemable convertible preferred stock and stockholders’ deficit for the thirteen and thirty-nine weeks ended October 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in connection with the Mergers, in addition to the $3.5 million of related party PIPE proceeds noted above, the Company received additional PIPE proceeds from related parties of $12.1 million, which is reflected in the unaudited condensed consolidated statements of redeemable convertible preferred stock and stockholders’ deficit for the thirteen and thirty-nine weeks ended October 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in connection with the Mergers, the Company issued 120,000 shares to a related party as a transaction bonus. As a result of the issuance, the Company recognized $0.7 million of expense within other income (expense), net in its unaudited condensed consolidated statements of operations and comprehensive income (loss) for the thirteen and thirty-nine weeks ended October 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entered into a series of FPAs as described in Note 5 – Forward Purchase Agreements. In connection with the FPAs, the Company recognized other expense of $30.7 million for each of the thirteen and thirty-nine weeks ended October 1, 2023 in connection with the issuance of 5,670,000 shares of Complete Solaria Common Stock to the related party FPA Sellers. The Company also recognized other income of $0.3 million in connection with the issuance of the FPAs with related parties. As of October 1, 2023, the Company has recognized a liability associated with the FPAs of $5.6 million due to related parties in its unaudited condensed consolidated balance sheets, and the Company has recognized other expense associated with the change in fair value of the FPA liability due to related parties of $5.9 million in its unaudited condensed consolidated statements of operations and comprehensive income (loss) for both the thirteen and thirty-nine weeks ended October 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in connection with the Mergers, the Company entered into a settlement and release agreement with a related party for the settlement of a working capital loan made to the Sponsor, prior to the closing of the Mergers. As part of the settlement agreement, the Company agreed to pay the related party $0.5 million as a return of capital, which is paid in ten equal monthly installments and does not accrue interest. During each of the thirteen and thirty-nine weeks ended October 1, 2023, the Company made one payment of $0.1 million. As of October 1, 2023, $0.5 million remains outstanding.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material related party transactions during the thirteen and thirty-nine weeks ended October 1, 2023 or the three and nine months ended September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41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b/>
              </w:rPr>
            </w:pPr>
            <w:r>
              <w:rPr>
                <w:b/>
              </w:rPr>
              <w:t>(22)</w:t>
            </w:r>
          </w:p>
        </w:tc>
        <w:tc>
          <w:tcPr>
            <w:tcW w:w="1970"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1085"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unaudited condensed consolidated financial statements as of and for the thirty-nine weeks ended October 1, 2023, the Company evaluated subsequent events for recognition and measurement purposes through November 14, 2023, which is the date the financial statements were available to be issued. The Company noted no subsequent events through November 14, 2023 that would materially impact the unaudited condensed consolidated financial statements, except for the following: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entered into an Assignment and Acceptance Agreement (“Assignment Agreement”), whereby Structural Capital Investments III, LP assigns the SCI debt to Kline Hill Partners Fund LP, Kline Hill Partners IV SPV LLC, Kline Hill Partners Opportunity IV SPV LLC, and Rodgers Massey Revocable Living Trust for a total purchase price of $5.0 million. The Company has identified this as a related party transaction.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in connection with the Assignment Agreement, the Company also entered into the First Amendment to Warrant to Purchase Stock Agreements with the holders of the Series D-7 warrants. Pursuant to the terms of the agreement, the warrants to purchase 1,376,414 shares of Series D-7 preferred stock converted into warrants to purchase 656,630 shares of common stock (the “replacement warrants”). As a result of the warrant amendment, the Company reclassified the replacement warrants from equity to liability. The replacement warrants were remeasured to the fair value on the amendment effective date and the Company will record subsequent changes in fair value in other income (expense), net on the unaudited condensed consolidated statements of operations and comprehensive income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completed the sale of its solar panel business to Maxeon, pursuant to the terms of the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 The Company recorded an impairment charge of $1.7 million related to a decline in the fair value of the Maxeon shares between the end of the fiscal quarter on October 1, 2023 and the disposal date of October 6, 2023. No significant transaction costs were incurred subsequent to the balance sheet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08"/>
      <w:bookmarkEnd w:id="1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the unaudited consolidated financial statements and related notes included elsewhere in this Quarterly Report on Form 10-Q. This discussion contains forward-looking statements that involve risks and uncertainties. Our actual results could differ materially from those discussed below. Factors that could cause or contribute to such differences include those identified below and those discussed in the section titled “Risk Factors” included elsewhere in this Quarterly Report on Form 10-Q. Please also see the section titled “Special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was formed in November 2022 through the merger of Complete Solar and Solaria.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its sales partners, making them competitive with national providers. This turnkey solution makes it easy for anyone to sell solar.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fulfill our customer contracts by engaging with local construction specialists. We manage the customer experience and complete all pre-construction activities prior to delivering build-ready projects including hardware, engineering plans, and building permits to its builder partners. We manage and coordinate this process through our proprietary HelioTrack</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software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2023, we changed our fiscal quarters to four, thirteen-week periods within a standard calendar year. Each annual reporting period begins on January 1 and ends on December 31. Since the fiscal quarter change was made after the end of fiscal 2022, we will continue to report prior year financial information based on our prior year fiscal calendar. Our financial results for the thirteen and thirty-nine weeks ended October 1, 2023 are compared to our results for the three and nine months ended September 30, 2022. The comparison of these quarters is primarily affected by the difference of one day between the first three quarters of fiscal 2023 and the first three quarters of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the entity’s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 and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Solaria’s growth strategy contains the following elements: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by expanding installation capacity and developing new geographic markets – </w:t>
            </w:r>
            <w:r>
              <w:rPr>
                <w:rFonts w:ascii="Times New Roman;Times;Serif" w:hAnsi="Times New Roman;Times;Serif"/>
                <w:sz w:val="20"/>
              </w:rPr>
              <w:t>We continue to expand our network of partners who will install systems resulting from sales generated by our sales partners. By leveraging this network of skilled builders, we aim to increase our installation capacity in our traditional markets and expand our offering into new geographies throughout the United States. This will enable greater sales growth in existing markets and create new revenue in expansion markets.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engaging national-scale sales partners</w:t>
            </w:r>
            <w:r>
              <w:rPr>
                <w:rFonts w:ascii="Times New Roman;Times;Serif" w:hAnsi="Times New Roman;Times;Serif"/>
                <w:sz w:val="20"/>
              </w:rPr>
              <w:t xml:space="preserve"> – We aim to offer a turnkey solar solution to prospective sales 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“First Merger”), (ii) immediately thereafter and as part of the same overall transaction, Complete Solaria merged with and into Second Merger Sub, with Second Merger Sub surviving as a wholly-owned subsidiary of FACT (the “Second Merger”),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(“Third Merger Sub”), with Third Merger Sub surviving as a wholly-owned subsidiary of FACT (the “Additional Merger”, and together with the First Merger and the Second Merger,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between Complete Solaria and FACT has been accounted for as a reverse recapitalization. Under this method of accounting, FACT is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have been treated as the equivalent of a capital transaction in which Complete Solaria is issuing stock for the net assets of FACT. The net assets of FACT have been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2023, we entered into a Non-Binding Letter of Intent to sell certain of our North American solar panel assets, inclusive of certain intellectual property and customer contracts, to Maxeon Solar Technologies, Ltd. (“Maxeon”). On September 20, 2023, we entered into an asset purchase agreement (the “Disposal Agreement”) for the sale of certain assets to Maxeon. The Disposal Agreement also includes a supply agreement for Maxeon to supply its premium, high-performance, high-efficiency solar panels to Complete Solaria. The transaction closed on October 6, 2023. Under the terms of the Disposal Agreement, Maxeon agreed to acquire the identified assets and certain employees of Complete Solaria for an aggregate purchase price consisting of 1,100,000 Maxeon Common Shares (the “Disposal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Disposal Transaction, we determined that the criteria were met for held for sale and discontinued operations classification as of the end of our third fiscal quarter as the divestiture represents a strategic shift in our business. We recorded an impairment of $147.5 million associated with the recording of the assets as held for sale during the thirteen and thirty-nine weeks ended October 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have discussed our historical results of continuing operations, which excludes our product revenues and related metrics, as all results of operations associated with the solar panel business have been presented as discontinued operations, unless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Definitions/Components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by providing customer solar solutions through a standardized platform to our residential solar providers and companies to facilitate the sale and installation of solar energy systems. Our contracts consist of two performance obligations, which include solar installation services and post-installation services that are performed prior to inspection by the authority having jurisdiction. The significant majority of our service revenue is recognized at a point in time upon the completion of the installation and the remainder is recognized upon inspection. Service revenue is recognized net of a reserve for the performance guarantee of solar output.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three types of customer contracts for solar energy installations. The majority of our service revenue is recognized through contracts where the homeowner enters into a power purchase agreement with our distribution partner. We perform the solar energy installation services on behalf of our distribution partner, who owns the solar energy system upon installation. Additionally, we enter into a Solar Purchase and Installation Agreement directly with homeowners, whereby the homeowner either pays cash or obtains financing through a third-party loan partner. In cash contracts with homeowners, we recognize service revenue based on the price we charge to the homeowner. We record service revenue in the amount received from the financing partner, net of any financing fees charged to the homeowner, which we consider to be a customer incentive.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service revenue, we also enter into contracts to provide our software enhanced service offerings, including design and proposal services, to customers that include solar installers and solar sales organizations. We perform these leveraging our HelioQuote</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platform and other software tools to create computer aided drawings, structural letters, and electrical reviews for installers and proposals for installers. We charge a fixed fee per service offering, which we recognize in the period the service is performed.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primarily of the cost of solar energy systems, installation and other subcontracting costs. Cost of revenues also includes associated warranty costs, shipping and handling, allocated overhead costs, depreciation, and amortization of internally developed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direct and incremental costs of obtaining customer contracts. These costs are paid to third-party vendors who source residential customer contracts for the sale of solar energy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related costs, including salaries and employee benefits, stock-based compensation, and other promotional and advertising expenses. We expense certain sales and marketing, including promotional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related expenses for our employees, in our finance, research, engineering, and administrative teams including salaries, bonuses, payroll taxes, and stock-based compensation. It also consists of legal, consulting, and professional fees, rent expenses pertaining to our offices, business insurance costs and other costs. We expect an increase in audit, tax, accounting, legal and other costs related to compliance with applicable securities and other regulations, as well as additional insurance, investor relations, and other costs associated with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relates to interest expense on the issuance of debt and convertible notes and the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consists of changes in the fair value of our convertible notes, the impact of debt extinguishment, and changes in the fair value of stock warrant liabilities and forward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primarily consists of income taxes in certain foreign and state jurisdictions in which we conduct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Chain Constraints and Risk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small number of suppliers of solar energy systems and other equipment. If any of our suppliers was unable or unwilling to provide us with contracted quantities in a timely manner at prices, quality levels and volumes acceptable to us, we would have very limited alternatives for supply, and we may not be able find suitable replacements for our customers, or at all. Such an event could materially adversely affect our business, prospects,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In an effort to mitigate unpredictable lead times, we experienced a substantial build up in inventory on hand commencing in early 2022 in response to global supply chain constraints. In certain cases, this has caused delays in critical equipment and inventory, longer lead times, and has resulted in cost volatility. These shortages and delays can be attributed in part to the COVID-19 pandemic and resulting government action, as well as broader macroeconomic conditions, and have been exacerbated by the ongoing conflicts in Ukraine and Israel. While we believe that a majority our suppliers have secured sufficient supply to permit them to continue delivery and installations through the end of 2023, if these shortages and delays persist into 2024, they could adversely affect the timing of when battery energy storage systems can be delivered and installed, and when (or if) we can begin to generate revenue from those systems. If any of our suppliers of solar modules experienced disruptions in the supply of the modules’ component parts, for example semiconductor solar wafers or investors,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 For additional information on risk factors that could impact our results, please refer to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located elsewhere in this Quarterly Report on Form 10-Q.</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unaudited condensed consolidated financial statements included elsewhere in this Quarterly Report on Form 10-Q.</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policies associated with our revenue recognition, product warranties, inventory excess and obsolescence and stock-based compensation have the greatest impact on our unaudited condensed consolidated financial statements. Therefore, we consider these to be our critical accounting policies and estimates.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when control of goods or services is transferred to customers, in an amount that reflects the consideration we expect to be entitled to in exchange for those services.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 Solar Energy System Installations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revenue is generated from the installation of solar energy systems. We identify two performance obligations, which include installation services and post-installation services, and we recognize revenue when control transfers to the customer, upon the completion of the installation and upon the solar energy system passes inspection by the authority having jurisdiction, respectively. We apply judgment in allocating the transaction price between the installation and post-installation performance obligations, based on the estimated costs to perform our services. Changes in such estimates could have a material impact on the timing of our revenue recognition.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with customers generally contain a performance guarantee of system output, and we will issue payments to customers if output falls below contractually stated thresholds over the performance guarantee period, which is typically 10 years. We apply judgment in estimating the reduction in revenue associated with the performance guarantee, which is historically not material. However, due to the long-term nature of the guarantee, changes in future estimates could have a material impact on the estimate of our revenue reserve.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 – Software Enhanced Services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from software enhanced services, which include proposals generated from our HelioQuote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and design services performed using internally developed and external software applications. We contract with solar installers to generate proposals and we contract with solar sales entities to perform design services for their potential customers. Under each type of customer contract, we generate a fixed number of proposals or designs for the customer in the month the services are contracted. Contracts with customers are enforceable on a month-to-month basis and we recognize revenue each month based on the volume of services performed.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Warranties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provide a 10-year warranty on our solar energy system installations, which provides assurance over the workmanship in performing the installation, including roof leaks caused by our performance. For solar panel sales recognized prior to the Disposal Transaction, we provide a 30-year warranty that the products will be free from defects in material and workmanship. We record a liability for estimated future warranty claims based on historical trends and new installations. To the extent that warranty claim behavior differs from historical trends, we may experience a material change in our warranty liability.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Excess and Obsolescence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inventory consists of completed solar energy systems and related components, which we classify as finished costs. We record a reserve for inventory which is considered obsolete or in excess of anticipated demand based on a consideration of marketability and product life cycle stage, component cost trends, demand forecasts, historical revenues, and assumptions about future demand and market conditions. We apply judgment in estimating the excess and obsolete inventory, and changes in demand for our inventory components could have a material impact on our inventory reserve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stock-based compensation expense over the requisite service period on a straight-line basis for all stock-based payments that are expected to vest to employees, non-employees and directors, including grants of employee stock options and other stock-based awards. Equity-classified awards issued to employees and non-employees, such as consultants and non-employee directors, are measured at the grant-date fair value of the award. Forfeitures are recognized as they occur. For accounting purposes, we estimate the grant-date fair value of stock options using the Black-Scholes option pricing model. The Black-Scholes option pricing model requires the input of highly subjective assumptions, including the fair value of the underlying common stock prior to the Mergers, the expected term of the option, the expected volatility of the price of our common stock and expected dividend yield. We determine these inputs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Term—Expected term represents the period that our stock-based awards are expected to be outstanding and is determined using the simplified method.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Volatility—Expected volatility is estimated by studying the volatility of comparable public companies for similar terms.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Dividend—The Black-Scholes valuation model calls for a single expected dividend yield as an input. We have never paid dividends and have no plans to pay dividends.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Interest Rate – We derive the risk-free interest rate assumption from the U.S. Treasury’s rates for the U.S. Treasury zero-coupon bonds with maturities similar to those of the expected term of the awards being valued.</w:t>
            </w:r>
          </w:p>
        </w:tc>
      </w:tr>
    </w:tbl>
    <w:p>
      <w:pPr>
        <w:pStyle w:val="TextBody"/>
        <w:bidi w:val="0"/>
        <w:spacing w:before="0" w:after="0"/>
        <w:ind w:left="720" w:right="0" w:hanging="0"/>
        <w:jc w:val="left"/>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Forfeitures – We recognize forfeitures as they occur.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assumptions used in the Black-Scholes option pricing model change significantly, stock-based compensation for future awards may differ materially compared to the awards granted previously. For the thirteen and thirty-nine week periods ended October 1, 2023, stock-based compensation expense was $2.1 million and $4.2 million, respectively, of which $0.5 million and $1.8 million, respectively, related to discontinued operations. As of October 1, 2023, we had approximately $16.6 million of total unrecognized stock-based compensation expense related to stock options.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recently issued accounting standards applicable to Complete Solaria is described in Note 2 – Summary of Significant Accounting Policies, in the accompanying notes to the unaudited condensed consolidated financial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Thirteen weeks ended October 1, 2023 compared to three months ended September 30,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data for the thirteen weeks ended October 1, 2023 and the three months ended September 30, 2022, respectively. We have derived this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pStyle w:val="TextBody"/>
        <w:bidi w:val="0"/>
        <w:spacing w:before="0" w:after="0"/>
        <w:ind w:left="0" w:right="0" w:hanging="0"/>
        <w:jc w:val="left"/>
        <w:rPr>
          <w:caps w:val="false"/>
          <w:smallCaps w:val="false"/>
        </w:rPr>
      </w:pPr>
      <w:r>
        <w:rPr>
          <w:caps w:val="false"/>
          <w:smallCaps w:val="false"/>
        </w:rPr>
        <w:t> </w:t>
      </w:r>
    </w:p>
    <w:tbl>
      <w:tblPr>
        <w:tblW w:w="9575" w:type="dxa"/>
        <w:jc w:val="left"/>
        <w:tblInd w:w="0" w:type="dxa"/>
        <w:tblLayout w:type="fixed"/>
        <w:tblCellMar>
          <w:top w:w="0" w:type="dxa"/>
          <w:left w:w="0" w:type="dxa"/>
          <w:bottom w:w="28" w:type="dxa"/>
          <w:right w:w="0" w:type="dxa"/>
        </w:tblCellMar>
      </w:tblPr>
      <w:tblGrid>
        <w:gridCol w:w="4295"/>
        <w:gridCol w:w="60"/>
        <w:gridCol w:w="211"/>
        <w:gridCol w:w="1144"/>
        <w:gridCol w:w="215"/>
        <w:gridCol w:w="60"/>
        <w:gridCol w:w="208"/>
        <w:gridCol w:w="1012"/>
        <w:gridCol w:w="215"/>
        <w:gridCol w:w="60"/>
        <w:gridCol w:w="140"/>
        <w:gridCol w:w="755"/>
        <w:gridCol w:w="95"/>
        <w:gridCol w:w="60"/>
        <w:gridCol w:w="111"/>
        <w:gridCol w:w="704"/>
        <w:gridCol w:w="230"/>
      </w:tblGrid>
      <w:tr>
        <w:trPr/>
        <w:tc>
          <w:tcPr>
            <w:tcW w:w="429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35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1,</w:t>
              <w:br/>
              <w:t>2023</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w:t>
              <w:br/>
              <w:t>September 30,</w:t>
              <w:br/>
              <w:t>2022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283"/>
              <w:jc w:val="center"/>
              <w:rPr>
                <w:b/>
              </w:rPr>
            </w:pPr>
            <w:r>
              <w:rPr>
                <w:b/>
              </w:rPr>
              <w:t>$</w:t>
              <w:br/>
              <w:t>Change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w:t>
              <w:br/>
              <w:t>Change</w:t>
            </w:r>
          </w:p>
        </w:tc>
        <w:tc>
          <w:tcPr>
            <w:tcW w:w="230"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1144" w:type="dxa"/>
            <w:tcBorders/>
            <w:shd w:fill="CCEEFF" w:val="clear"/>
            <w:tcMar>
              <w:bottom w:w="0" w:type="dxa"/>
            </w:tcMar>
            <w:vAlign w:val="center"/>
          </w:tcPr>
          <w:p>
            <w:pPr>
              <w:pStyle w:val="TableContents"/>
              <w:bidi w:val="0"/>
              <w:spacing w:before="0" w:after="283"/>
              <w:jc w:val="right"/>
              <w:rPr/>
            </w:pPr>
            <w:r>
              <w:rPr/>
              <w:t>24,590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12" w:type="dxa"/>
            <w:tcBorders/>
            <w:shd w:fill="CCEEFF" w:val="clear"/>
            <w:tcMar>
              <w:bottom w:w="0" w:type="dxa"/>
            </w:tcMar>
            <w:vAlign w:val="center"/>
          </w:tcPr>
          <w:p>
            <w:pPr>
              <w:pStyle w:val="TableContents"/>
              <w:bidi w:val="0"/>
              <w:spacing w:before="0" w:after="283"/>
              <w:jc w:val="right"/>
              <w:rPr/>
            </w:pPr>
            <w:r>
              <w:rPr/>
              <w:t>12,260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12,330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101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1144" w:type="dxa"/>
            <w:tcBorders>
              <w:bottom w:val="single" w:sz="12" w:space="0" w:color="000000"/>
            </w:tcBorders>
            <w:shd w:fill="FFFFFF" w:val="clear"/>
            <w:vAlign w:val="center"/>
          </w:tcPr>
          <w:p>
            <w:pPr>
              <w:pStyle w:val="TableContents"/>
              <w:bidi w:val="0"/>
              <w:spacing w:before="0" w:after="283"/>
              <w:jc w:val="right"/>
              <w:rPr/>
            </w:pPr>
            <w:r>
              <w:rPr/>
              <w:t>18,354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12" w:space="0" w:color="000000"/>
            </w:tcBorders>
            <w:shd w:fill="FFFFFF" w:val="clear"/>
            <w:vAlign w:val="center"/>
          </w:tcPr>
          <w:p>
            <w:pPr>
              <w:pStyle w:val="TableContents"/>
              <w:bidi w:val="0"/>
              <w:spacing w:before="0" w:after="283"/>
              <w:jc w:val="left"/>
              <w:rPr/>
            </w:pPr>
            <w:r>
              <w:rPr/>
              <w:t> </w:t>
            </w:r>
          </w:p>
        </w:tc>
        <w:tc>
          <w:tcPr>
            <w:tcW w:w="1012" w:type="dxa"/>
            <w:tcBorders>
              <w:bottom w:val="single" w:sz="12" w:space="0" w:color="000000"/>
            </w:tcBorders>
            <w:shd w:fill="FFFFFF" w:val="clear"/>
            <w:vAlign w:val="center"/>
          </w:tcPr>
          <w:p>
            <w:pPr>
              <w:pStyle w:val="TableContents"/>
              <w:bidi w:val="0"/>
              <w:spacing w:before="0" w:after="283"/>
              <w:jc w:val="right"/>
              <w:rPr/>
            </w:pPr>
            <w:r>
              <w:rPr/>
              <w:t>8,266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10,088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704" w:type="dxa"/>
            <w:tcBorders>
              <w:bottom w:val="single" w:sz="12" w:space="0" w:color="000000"/>
            </w:tcBorders>
            <w:shd w:fill="FFFFFF" w:val="clear"/>
            <w:vAlign w:val="center"/>
          </w:tcPr>
          <w:p>
            <w:pPr>
              <w:pStyle w:val="TableContents"/>
              <w:bidi w:val="0"/>
              <w:spacing w:before="0" w:after="283"/>
              <w:jc w:val="right"/>
              <w:rPr/>
            </w:pPr>
            <w:r>
              <w:rPr/>
              <w:t>122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6,236</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3,994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2,242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56</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pPr>
            <w:r>
              <w:rPr/>
              <w:t>Gross margin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25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33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left"/>
              <w:rPr/>
            </w:pPr>
            <w:r>
              <w:rPr/>
              <w:t>Sales commissions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8,755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3,572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5,183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145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and marketing</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2,214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1,604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610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38</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1144" w:type="dxa"/>
            <w:tcBorders>
              <w:bottom w:val="single" w:sz="12" w:space="0" w:color="000000"/>
            </w:tcBorders>
            <w:shd w:fill="FFFFFF" w:val="clear"/>
            <w:vAlign w:val="center"/>
          </w:tcPr>
          <w:p>
            <w:pPr>
              <w:pStyle w:val="TableContents"/>
              <w:bidi w:val="0"/>
              <w:spacing w:before="0" w:after="283"/>
              <w:jc w:val="right"/>
              <w:rPr/>
            </w:pPr>
            <w:r>
              <w:rPr/>
              <w:t>6,345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12" w:space="0" w:color="000000"/>
            </w:tcBorders>
            <w:shd w:fill="FFFFFF" w:val="clear"/>
            <w:vAlign w:val="center"/>
          </w:tcPr>
          <w:p>
            <w:pPr>
              <w:pStyle w:val="TableContents"/>
              <w:bidi w:val="0"/>
              <w:spacing w:before="0" w:after="283"/>
              <w:jc w:val="left"/>
              <w:rPr/>
            </w:pPr>
            <w:r>
              <w:rPr/>
              <w:t> </w:t>
            </w:r>
          </w:p>
        </w:tc>
        <w:tc>
          <w:tcPr>
            <w:tcW w:w="1012" w:type="dxa"/>
            <w:tcBorders>
              <w:bottom w:val="single" w:sz="12" w:space="0" w:color="000000"/>
            </w:tcBorders>
            <w:shd w:fill="FFFFFF" w:val="clear"/>
            <w:vAlign w:val="center"/>
          </w:tcPr>
          <w:p>
            <w:pPr>
              <w:pStyle w:val="TableContents"/>
              <w:bidi w:val="0"/>
              <w:spacing w:before="0" w:after="283"/>
              <w:jc w:val="right"/>
              <w:rPr/>
            </w:pPr>
            <w:r>
              <w:rPr/>
              <w:t>2,027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4,318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704" w:type="dxa"/>
            <w:tcBorders>
              <w:bottom w:val="single" w:sz="12" w:space="0" w:color="000000"/>
            </w:tcBorders>
            <w:shd w:fill="FFFFFF" w:val="clear"/>
            <w:vAlign w:val="center"/>
          </w:tcPr>
          <w:p>
            <w:pPr>
              <w:pStyle w:val="TableContents"/>
              <w:bidi w:val="0"/>
              <w:spacing w:before="0" w:after="283"/>
              <w:jc w:val="right"/>
              <w:rPr/>
            </w:pPr>
            <w:r>
              <w:rPr/>
              <w:t>213</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vAlign w:val="center"/>
          </w:tcPr>
          <w:p>
            <w:pPr>
              <w:pStyle w:val="TableContents"/>
              <w:bidi w:val="0"/>
              <w:spacing w:before="0" w:after="283"/>
              <w:jc w:val="left"/>
              <w:rPr/>
            </w:pPr>
            <w:r>
              <w:rPr/>
              <w:t> </w:t>
            </w:r>
          </w:p>
        </w:tc>
        <w:tc>
          <w:tcPr>
            <w:tcW w:w="1144" w:type="dxa"/>
            <w:tcBorders>
              <w:bottom w:val="single" w:sz="12" w:space="0" w:color="000000"/>
            </w:tcBorders>
            <w:shd w:fill="CCEEFF" w:val="clear"/>
            <w:vAlign w:val="center"/>
          </w:tcPr>
          <w:p>
            <w:pPr>
              <w:pStyle w:val="TableContents"/>
              <w:bidi w:val="0"/>
              <w:spacing w:before="0" w:after="283"/>
              <w:jc w:val="right"/>
              <w:rPr/>
            </w:pPr>
            <w:r>
              <w:rPr/>
              <w:t>17,314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12" w:space="0" w:color="000000"/>
            </w:tcBorders>
            <w:shd w:fill="CCEEFF" w:val="clear"/>
            <w:vAlign w:val="center"/>
          </w:tcPr>
          <w:p>
            <w:pPr>
              <w:pStyle w:val="TableContents"/>
              <w:bidi w:val="0"/>
              <w:spacing w:before="0" w:after="283"/>
              <w:jc w:val="left"/>
              <w:rPr/>
            </w:pPr>
            <w:r>
              <w:rPr/>
              <w:t> </w:t>
            </w:r>
          </w:p>
        </w:tc>
        <w:tc>
          <w:tcPr>
            <w:tcW w:w="1012" w:type="dxa"/>
            <w:tcBorders>
              <w:bottom w:val="single" w:sz="12" w:space="0" w:color="000000"/>
            </w:tcBorders>
            <w:shd w:fill="CCEEFF" w:val="clear"/>
            <w:vAlign w:val="center"/>
          </w:tcPr>
          <w:p>
            <w:pPr>
              <w:pStyle w:val="TableContents"/>
              <w:bidi w:val="0"/>
              <w:spacing w:before="0" w:after="283"/>
              <w:jc w:val="right"/>
              <w:rPr/>
            </w:pPr>
            <w:r>
              <w:rPr/>
              <w:t>7,203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10,111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704" w:type="dxa"/>
            <w:tcBorders>
              <w:bottom w:val="single" w:sz="12" w:space="0" w:color="000000"/>
            </w:tcBorders>
            <w:shd w:fill="CCEEFF" w:val="clear"/>
            <w:vAlign w:val="center"/>
          </w:tcPr>
          <w:p>
            <w:pPr>
              <w:pStyle w:val="TableContents"/>
              <w:bidi w:val="0"/>
              <w:spacing w:before="0" w:after="283"/>
              <w:jc w:val="right"/>
              <w:rPr/>
            </w:pPr>
            <w:r>
              <w:rPr/>
              <w:t>140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pPr>
            <w:r>
              <w:rPr/>
              <w:t>Loss from continuing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(11,078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(3,209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(7,869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245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(1,902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(941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(961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102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pPr>
            <w:r>
              <w:rPr/>
              <w:t>Interest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9</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 net</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vAlign w:val="center"/>
          </w:tcPr>
          <w:p>
            <w:pPr>
              <w:pStyle w:val="TableContents"/>
              <w:bidi w:val="0"/>
              <w:spacing w:before="0" w:after="283"/>
              <w:jc w:val="left"/>
              <w:rPr/>
            </w:pPr>
            <w:r>
              <w:rPr/>
              <w:t> </w:t>
            </w:r>
          </w:p>
        </w:tc>
        <w:tc>
          <w:tcPr>
            <w:tcW w:w="1144" w:type="dxa"/>
            <w:tcBorders>
              <w:bottom w:val="single" w:sz="12" w:space="0" w:color="000000"/>
            </w:tcBorders>
            <w:shd w:fill="CCEEFF" w:val="clear"/>
            <w:vAlign w:val="center"/>
          </w:tcPr>
          <w:p>
            <w:pPr>
              <w:pStyle w:val="TableContents"/>
              <w:bidi w:val="0"/>
              <w:spacing w:before="0" w:after="283"/>
              <w:jc w:val="right"/>
              <w:rPr/>
            </w:pPr>
            <w:r>
              <w:rPr/>
              <w:t>(38,003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12" w:space="0" w:color="000000"/>
            </w:tcBorders>
            <w:shd w:fill="CCEEFF" w:val="clear"/>
            <w:vAlign w:val="center"/>
          </w:tcPr>
          <w:p>
            <w:pPr>
              <w:pStyle w:val="TableContents"/>
              <w:bidi w:val="0"/>
              <w:spacing w:before="0" w:after="283"/>
              <w:jc w:val="left"/>
              <w:rPr/>
            </w:pPr>
            <w:r>
              <w:rPr/>
              <w:t> </w:t>
            </w:r>
          </w:p>
        </w:tc>
        <w:tc>
          <w:tcPr>
            <w:tcW w:w="1012" w:type="dxa"/>
            <w:tcBorders>
              <w:bottom w:val="single" w:sz="12" w:space="0" w:color="000000"/>
            </w:tcBorders>
            <w:shd w:fill="CCEEFF" w:val="clear"/>
            <w:vAlign w:val="center"/>
          </w:tcPr>
          <w:p>
            <w:pPr>
              <w:pStyle w:val="TableContents"/>
              <w:bidi w:val="0"/>
              <w:spacing w:before="0" w:after="283"/>
              <w:jc w:val="right"/>
              <w:rPr/>
            </w:pPr>
            <w:r>
              <w:rPr/>
              <w:t>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(38,007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70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left"/>
              <w:rPr/>
            </w:pPr>
            <w:r>
              <w:rPr/>
              <w:t>Loss from continuing operations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(50,974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(4,146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(46,828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Income tax benefit (provision)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vAlign w:val="center"/>
          </w:tcPr>
          <w:p>
            <w:pPr>
              <w:pStyle w:val="TableContents"/>
              <w:bidi w:val="0"/>
              <w:spacing w:before="0" w:after="283"/>
              <w:jc w:val="left"/>
              <w:rPr/>
            </w:pPr>
            <w:r>
              <w:rPr/>
              <w:t> </w:t>
            </w:r>
          </w:p>
        </w:tc>
        <w:tc>
          <w:tcPr>
            <w:tcW w:w="1144" w:type="dxa"/>
            <w:tcBorders>
              <w:bottom w:val="single" w:sz="12" w:space="0" w:color="000000"/>
            </w:tcBorders>
            <w:shd w:fill="CCEEFF" w:val="clear"/>
            <w:vAlign w:val="center"/>
          </w:tcPr>
          <w:p>
            <w:pPr>
              <w:pStyle w:val="TableContents"/>
              <w:bidi w:val="0"/>
              <w:spacing w:before="0" w:after="283"/>
              <w:jc w:val="right"/>
              <w:rPr/>
            </w:pPr>
            <w:r>
              <w:rPr/>
              <w:t>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12" w:space="0" w:color="000000"/>
            </w:tcBorders>
            <w:shd w:fill="CCEEFF" w:val="clear"/>
            <w:vAlign w:val="center"/>
          </w:tcPr>
          <w:p>
            <w:pPr>
              <w:pStyle w:val="TableContents"/>
              <w:bidi w:val="0"/>
              <w:spacing w:before="0" w:after="283"/>
              <w:jc w:val="left"/>
              <w:rPr/>
            </w:pPr>
            <w:r>
              <w:rPr/>
              <w:t> </w:t>
            </w:r>
          </w:p>
        </w:tc>
        <w:tc>
          <w:tcPr>
            <w:tcW w:w="1012" w:type="dxa"/>
            <w:tcBorders>
              <w:bottom w:val="single" w:sz="12" w:space="0" w:color="000000"/>
            </w:tcBorders>
            <w:shd w:fill="CCEEFF" w:val="cle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704" w:type="dxa"/>
            <w:tcBorders>
              <w:bottom w:val="single" w:sz="12" w:space="0" w:color="000000"/>
            </w:tcBorders>
            <w:shd w:fill="CCEEFF" w:val="cle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left"/>
              <w:rPr/>
            </w:pPr>
            <w:r>
              <w:rPr/>
              <w:t>Net loss from continuing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FFFFFF" w:val="clear"/>
            <w:vAlign w:val="center"/>
          </w:tcPr>
          <w:p>
            <w:pPr>
              <w:pStyle w:val="TableContents"/>
              <w:bidi w:val="0"/>
              <w:spacing w:before="0" w:after="283"/>
              <w:jc w:val="left"/>
              <w:rPr/>
            </w:pPr>
            <w:r>
              <w:rPr/>
              <w:t>$</w:t>
            </w:r>
          </w:p>
        </w:tc>
        <w:tc>
          <w:tcPr>
            <w:tcW w:w="1144" w:type="dxa"/>
            <w:tcBorders>
              <w:bottom w:val="double" w:sz="10" w:space="0" w:color="000000"/>
            </w:tcBorders>
            <w:shd w:fill="FFFFFF" w:val="clear"/>
            <w:vAlign w:val="center"/>
          </w:tcPr>
          <w:p>
            <w:pPr>
              <w:pStyle w:val="TableContents"/>
              <w:bidi w:val="0"/>
              <w:spacing w:before="0" w:after="283"/>
              <w:jc w:val="right"/>
              <w:rPr/>
            </w:pPr>
            <w:r>
              <w:rPr/>
              <w:t>(50,973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10" w:space="0" w:color="000000"/>
            </w:tcBorders>
            <w:shd w:fill="FFFFFF" w:val="clear"/>
            <w:vAlign w:val="center"/>
          </w:tcPr>
          <w:p>
            <w:pPr>
              <w:pStyle w:val="TableContents"/>
              <w:bidi w:val="0"/>
              <w:spacing w:before="0" w:after="283"/>
              <w:jc w:val="left"/>
              <w:rPr/>
            </w:pPr>
            <w:r>
              <w:rPr/>
              <w:t>$</w:t>
            </w:r>
          </w:p>
        </w:tc>
        <w:tc>
          <w:tcPr>
            <w:tcW w:w="1012" w:type="dxa"/>
            <w:tcBorders>
              <w:bottom w:val="double" w:sz="10" w:space="0" w:color="000000"/>
            </w:tcBorders>
            <w:shd w:fill="FFFFFF" w:val="clear"/>
            <w:vAlign w:val="center"/>
          </w:tcPr>
          <w:p>
            <w:pPr>
              <w:pStyle w:val="TableContents"/>
              <w:bidi w:val="0"/>
              <w:spacing w:before="0" w:after="283"/>
              <w:jc w:val="right"/>
              <w:rPr/>
            </w:pPr>
            <w:r>
              <w:rPr/>
              <w:t>(4,146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755" w:type="dxa"/>
            <w:tcBorders>
              <w:bottom w:val="double" w:sz="10" w:space="0" w:color="000000"/>
            </w:tcBorders>
            <w:shd w:fill="FFFFFF" w:val="clear"/>
            <w:vAlign w:val="center"/>
          </w:tcPr>
          <w:p>
            <w:pPr>
              <w:pStyle w:val="TableContents"/>
              <w:bidi w:val="0"/>
              <w:spacing w:before="0" w:after="283"/>
              <w:jc w:val="right"/>
              <w:rPr/>
            </w:pPr>
            <w:r>
              <w:rPr/>
              <w:t>(46,827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bottom w:val="double" w:sz="10" w:space="0" w:color="000000"/>
            </w:tcBorders>
            <w:shd w:fill="FFFFFF" w:val="clear"/>
            <w:vAlign w:val="center"/>
          </w:tcPr>
          <w:p>
            <w:pPr>
              <w:pStyle w:val="TableContents"/>
              <w:bidi w:val="0"/>
              <w:spacing w:before="0" w:after="283"/>
              <w:jc w:val="left"/>
              <w:rPr/>
            </w:pPr>
            <w:r>
              <w:rPr/>
              <w:t> </w:t>
            </w:r>
          </w:p>
        </w:tc>
        <w:tc>
          <w:tcPr>
            <w:tcW w:w="704"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55"/>
        <w:gridCol w:w="2840"/>
      </w:tblGrid>
      <w:tr>
        <w:trPr/>
        <w:tc>
          <w:tcPr>
            <w:tcW w:w="155"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not meaningful</w:t>
            </w:r>
          </w:p>
        </w:tc>
      </w:tr>
    </w:tbl>
    <w:p>
      <w:pPr>
        <w:pStyle w:val="TextBody"/>
        <w:shd w:fill="FFFFFF" w:val="clear"/>
        <w:bidi w:val="0"/>
        <w:spacing w:before="0" w:after="0"/>
        <w:ind w:left="0" w:right="0" w:firstLine="36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stock-based compensation expense as follows (in thousands):</w:t>
            </w:r>
          </w:p>
        </w:tc>
      </w:tr>
    </w:tbl>
    <w:p>
      <w:pPr>
        <w:pStyle w:val="TextBody"/>
        <w:bidi w:val="0"/>
        <w:spacing w:before="0" w:after="0"/>
        <w:ind w:left="0" w:right="0" w:firstLine="360"/>
        <w:jc w:val="left"/>
        <w:rPr>
          <w:caps w:val="false"/>
          <w:smallCaps w:val="false"/>
        </w:rPr>
      </w:pPr>
      <w:r>
        <w:rPr>
          <w:caps w:val="false"/>
          <w:smallCaps w:val="false"/>
        </w:rPr>
        <w:t> </w:t>
      </w:r>
    </w:p>
    <w:tbl>
      <w:tblPr>
        <w:tblW w:w="7319" w:type="dxa"/>
        <w:jc w:val="left"/>
        <w:tblInd w:w="0" w:type="dxa"/>
        <w:tblLayout w:type="fixed"/>
        <w:tblCellMar>
          <w:top w:w="0" w:type="dxa"/>
          <w:left w:w="0" w:type="dxa"/>
          <w:bottom w:w="0" w:type="dxa"/>
          <w:right w:w="0" w:type="dxa"/>
        </w:tblCellMar>
      </w:tblPr>
      <w:tblGrid>
        <w:gridCol w:w="3890"/>
        <w:gridCol w:w="60"/>
        <w:gridCol w:w="328"/>
        <w:gridCol w:w="1312"/>
        <w:gridCol w:w="60"/>
        <w:gridCol w:w="60"/>
        <w:gridCol w:w="157"/>
        <w:gridCol w:w="1377"/>
        <w:gridCol w:w="7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Thirteen Weeks</w:t>
              <w:br/>
              <w:t>Ended</w:t>
              <w:b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Ended</w:t>
              <w:br/>
              <w:t>September 30,</w:t>
              <w:br/>
              <w:t>2022</w:t>
            </w:r>
          </w:p>
        </w:tc>
        <w:tc>
          <w:tcPr>
            <w:tcW w:w="75" w:type="dxa"/>
            <w:tcBorders/>
            <w:vAlign w:val="center"/>
          </w:tcPr>
          <w:p>
            <w:pPr>
              <w:pStyle w:val="TableContents"/>
              <w:bidi w:val="0"/>
              <w:spacing w:before="0" w:after="283"/>
              <w:ind w:left="0" w:right="0" w:hanging="251"/>
              <w:jc w:val="left"/>
              <w:rPr/>
            </w:pPr>
            <w:r>
              <w:rPr/>
              <w:t> </w:t>
            </w:r>
          </w:p>
        </w:tc>
      </w:tr>
      <w:tr>
        <w:trPr/>
        <w:tc>
          <w:tcPr>
            <w:tcW w:w="389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377" w:type="dxa"/>
            <w:tcBorders/>
            <w:shd w:fill="CCEEFF" w:val="clear"/>
            <w:vAlign w:val="center"/>
          </w:tcPr>
          <w:p>
            <w:pPr>
              <w:pStyle w:val="TableContents"/>
              <w:bidi w:val="0"/>
              <w:spacing w:before="0" w:after="283"/>
              <w:jc w:val="right"/>
              <w:rPr/>
            </w:pPr>
            <w:r>
              <w:rPr/>
              <w:t>                  </w:t>
            </w:r>
            <w:r>
              <w:rPr/>
              <w:t>1</w:t>
            </w:r>
          </w:p>
        </w:tc>
        <w:tc>
          <w:tcPr>
            <w:tcW w:w="75" w:type="dxa"/>
            <w:tcBorders/>
            <w:shd w:fill="CCEEFF" w:val="clear"/>
            <w:vAlign w:val="center"/>
          </w:tcPr>
          <w:p>
            <w:pPr>
              <w:pStyle w:val="TableContents"/>
              <w:bidi w:val="0"/>
              <w:spacing w:before="0" w:after="283"/>
              <w:ind w:left="0" w:right="0" w:hanging="251"/>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37</w:t>
            </w:r>
          </w:p>
        </w:tc>
        <w:tc>
          <w:tcPr>
            <w:tcW w:w="75" w:type="dxa"/>
            <w:tcBorders/>
            <w:shd w:fill="FFFFFF" w:val="clear"/>
            <w:vAlign w:val="center"/>
          </w:tcPr>
          <w:p>
            <w:pPr>
              <w:pStyle w:val="TableContents"/>
              <w:bidi w:val="0"/>
              <w:spacing w:before="0" w:after="283"/>
              <w:ind w:left="0" w:right="0" w:hanging="251"/>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2" w:type="dxa"/>
            <w:tcBorders>
              <w:bottom w:val="single" w:sz="12" w:space="0" w:color="000000"/>
            </w:tcBorders>
            <w:shd w:fill="CCEEFF" w:val="clear"/>
            <w:tcMar>
              <w:bottom w:w="28" w:type="dxa"/>
            </w:tcMar>
            <w:vAlign w:val="center"/>
          </w:tcPr>
          <w:p>
            <w:pPr>
              <w:pStyle w:val="TableContents"/>
              <w:bidi w:val="0"/>
              <w:spacing w:before="0" w:after="283"/>
              <w:jc w:val="right"/>
              <w:rPr/>
            </w:pPr>
            <w:r>
              <w:rPr/>
              <w:t>1,416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7" w:type="dxa"/>
            <w:tcBorders>
              <w:bottom w:val="single" w:sz="12" w:space="0" w:color="000000"/>
            </w:tcBorders>
            <w:shd w:fill="CCEEFF" w:val="clear"/>
            <w:tcMar>
              <w:bottom w:w="28" w:type="dxa"/>
            </w:tcMar>
            <w:vAlign w:val="center"/>
          </w:tcPr>
          <w:p>
            <w:pPr>
              <w:pStyle w:val="TableContents"/>
              <w:bidi w:val="0"/>
              <w:spacing w:before="0" w:after="283"/>
              <w:jc w:val="right"/>
              <w:rPr/>
            </w:pPr>
            <w:r>
              <w:rPr/>
              <w:t>47</w:t>
            </w:r>
          </w:p>
        </w:tc>
        <w:tc>
          <w:tcPr>
            <w:tcW w:w="75" w:type="dxa"/>
            <w:tcBorders/>
            <w:shd w:fill="CCEEFF" w:val="clear"/>
            <w:vAlign w:val="center"/>
          </w:tcPr>
          <w:p>
            <w:pPr>
              <w:pStyle w:val="TableContents"/>
              <w:bidi w:val="0"/>
              <w:spacing w:before="0" w:after="283"/>
              <w:ind w:left="0" w:right="0" w:hanging="251"/>
              <w:jc w:val="left"/>
              <w:rPr/>
            </w:pPr>
            <w:r>
              <w:rPr/>
              <w:t> </w:t>
            </w:r>
          </w:p>
        </w:tc>
      </w:tr>
      <w:tr>
        <w:trPr/>
        <w:tc>
          <w:tcPr>
            <w:tcW w:w="3890" w:type="dxa"/>
            <w:tcBorders/>
            <w:shd w:fill="FFFFFF" w:val="clear"/>
            <w:vAlign w:val="center"/>
          </w:tcPr>
          <w:p>
            <w:pPr>
              <w:pStyle w:val="TableContents"/>
              <w:bidi w:val="0"/>
              <w:spacing w:before="0" w:after="283"/>
              <w:jc w:val="left"/>
              <w:rPr/>
            </w:pPr>
            <w:r>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32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12" w:type="dxa"/>
            <w:tcBorders>
              <w:bottom w:val="double" w:sz="10" w:space="0" w:color="000000"/>
            </w:tcBorders>
            <w:shd w:fill="FFFFFF" w:val="clear"/>
            <w:tcMar>
              <w:bottom w:w="28" w:type="dxa"/>
            </w:tcMar>
            <w:vAlign w:val="center"/>
          </w:tcPr>
          <w:p>
            <w:pPr>
              <w:pStyle w:val="TableContents"/>
              <w:bidi w:val="0"/>
              <w:spacing w:before="0" w:after="283"/>
              <w:jc w:val="right"/>
              <w:rPr/>
            </w:pPr>
            <w:r>
              <w:rPr/>
              <w:t>1,579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77" w:type="dxa"/>
            <w:tcBorders>
              <w:bottom w:val="double" w:sz="10" w:space="0" w:color="000000"/>
            </w:tcBorders>
            <w:shd w:fill="FFFFFF" w:val="clear"/>
            <w:tcMar>
              <w:bottom w:w="28" w:type="dxa"/>
            </w:tcMar>
            <w:vAlign w:val="center"/>
          </w:tcPr>
          <w:p>
            <w:pPr>
              <w:pStyle w:val="TableContents"/>
              <w:bidi w:val="0"/>
              <w:spacing w:before="0" w:after="283"/>
              <w:jc w:val="right"/>
              <w:rPr/>
            </w:pPr>
            <w:r>
              <w:rPr/>
              <w:t>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interest expense to related party of $0.1 million and zero during the thirteen weeks ended October 1, 2023 and the three months ended September 30, 2022, respectively.</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other income (expense), net from related parties of $36.9 million and zero during the thirteen weeks ended October 1, 2023 and the three months ended September 30, 2022, respectively.</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disaggregate our revenues based on the following types of services (in thousands):</w:t>
      </w:r>
    </w:p>
    <w:p>
      <w:pPr>
        <w:pStyle w:val="TextBody"/>
        <w:bidi w:val="0"/>
        <w:spacing w:before="0" w:after="0"/>
        <w:ind w:left="0" w:right="0" w:firstLine="72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3110"/>
        <w:gridCol w:w="60"/>
        <w:gridCol w:w="231"/>
        <w:gridCol w:w="1124"/>
        <w:gridCol w:w="60"/>
        <w:gridCol w:w="60"/>
        <w:gridCol w:w="250"/>
        <w:gridCol w:w="1225"/>
        <w:gridCol w:w="60"/>
        <w:gridCol w:w="60"/>
        <w:gridCol w:w="140"/>
        <w:gridCol w:w="680"/>
        <w:gridCol w:w="95"/>
        <w:gridCol w:w="60"/>
        <w:gridCol w:w="111"/>
        <w:gridCol w:w="704"/>
        <w:gridCol w:w="305"/>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0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Solar energy system installations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23,915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11,120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115</w:t>
            </w:r>
          </w:p>
        </w:tc>
        <w:tc>
          <w:tcPr>
            <w:tcW w:w="305"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Software enhanced services</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12" w:space="0" w:color="000000"/>
            </w:tcBorders>
            <w:shd w:fill="FFFFFF" w:val="clear"/>
            <w:tcMar>
              <w:bottom w:w="28" w:type="dxa"/>
            </w:tcMar>
            <w:vAlign w:val="center"/>
          </w:tcPr>
          <w:p>
            <w:pPr>
              <w:pStyle w:val="TableContents"/>
              <w:bidi w:val="0"/>
              <w:spacing w:before="0" w:after="283"/>
              <w:jc w:val="right"/>
              <w:rPr/>
            </w:pPr>
            <w:r>
              <w:rPr/>
              <w:t>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1,140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FFFFFF" w:val="clear"/>
            <w:tcMar>
              <w:bottom w:w="28" w:type="dxa"/>
            </w:tcMar>
            <w:vAlign w:val="center"/>
          </w:tcPr>
          <w:p>
            <w:pPr>
              <w:pStyle w:val="TableContents"/>
              <w:bidi w:val="0"/>
              <w:spacing w:before="0" w:after="283"/>
              <w:jc w:val="right"/>
              <w:rPr/>
            </w:pPr>
            <w:r>
              <w:rPr/>
              <w:t>(41</w:t>
            </w:r>
          </w:p>
        </w:tc>
        <w:tc>
          <w:tcPr>
            <w:tcW w:w="305"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double" w:sz="10" w:space="0" w:color="000000"/>
            </w:tcBorders>
            <w:shd w:fill="CCEEFF" w:val="clear"/>
            <w:tcMar>
              <w:bottom w:w="28" w:type="dxa"/>
            </w:tcMar>
            <w:vAlign w:val="center"/>
          </w:tcPr>
          <w:p>
            <w:pPr>
              <w:pStyle w:val="TableContents"/>
              <w:bidi w:val="0"/>
              <w:spacing w:before="0" w:after="283"/>
              <w:jc w:val="right"/>
              <w:rPr/>
            </w:pPr>
            <w:r>
              <w:rPr/>
              <w:t>24,590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12,260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12,330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CCEEFF" w:val="clear"/>
            <w:tcMar>
              <w:bottom w:w="28" w:type="dxa"/>
            </w:tcMar>
            <w:vAlign w:val="center"/>
          </w:tcPr>
          <w:p>
            <w:pPr>
              <w:pStyle w:val="TableContents"/>
              <w:bidi w:val="0"/>
              <w:spacing w:before="0" w:after="283"/>
              <w:jc w:val="right"/>
              <w:rPr/>
            </w:pPr>
            <w:r>
              <w:rPr/>
              <w:t>101</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solar energy system installations for the thirteen weeks ended October 1, 2023 was $23.9 million compared to $11.1 million for the three months ended September 30, 2022. The increase in solar energy system installation revenues of $12.8 million was primarily due to an increase in the volume of solar energy system installations, as well as an increase in average selling price of solar energy system installations.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software enhanced services for the thirteen weeks ended October 1, 2023 was $0.7 million compared to $1.1 million for the three months ended September 30, 2022. The decrease of $0.5 million was the result of a shift in focus towards solar energy installations.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Cost of Revenues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thirteen weeks ended October 1, 2023 was $18.4 million compared to $8.3 million for the three months ended September 30, 2022. The increase in cost of revenues of $10.1 million, or 122%, was primarily due to the increase in revenue of 101%, coupled with rising costs associated with supply chain constraints, and a small increase in excess and obsolete inventory reserves.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decreased 8% year over year, from 33% for the three months ended September 30, 2022 to 25% for the thirteen weeks ended October 1, 2023. The decrease in gross margin was primarily attributed to the increasing cost of revenues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for the thirteen weeks ended October 1, 2023 was $8.8 million compared to $3.6 million for the three months ended September 30, 2022. The increase of $5.2 million, or 145%, was primarily due to the increase in revenue of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for the thirteen weeks ended October 1, 2023 increased by $0.6 million, or 38%, compared to the three months ended September 30, 2022. The increase is attributable to an increase of $0.3 million in related to office and operating related expenses, an increase of $0.1 million in travel related expenses, an increase of $0.1 million in stock-based compensation expenses due to options issued during the thirteen weeks ended October 1, 2023, and an increase of $0.1 million in outside services, offset by decrease in payroll of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for the thirteen weeks ended October 1, 2023 increased by $4.3 million, or 213%, compared to the three months ended September 30, 2022. The increase was primarily attributed to increase in payroll of $1.7 million, increase of $1.0 million in stock-based compensation expenses due to options and RSUs issued in the thirteen weeks ended October 1, 2023, increase in travel costs of $0.5 million, increase in office occupancy related costs of $0.5 million, and increases in contractors and outside services costs of $0.4 million related to the Mergers.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thirteen weeks ended October 1, 2023 increased by $1.0 million, or 102%, compared to the three months ended September 30, 2022. The increase was primarily attributed $0.5 million of interest related to debt acquired as part of the acquisition of Solaria in November 2022, which was retained upon the divestiture from the business, as well as an increase of $0.3 million in interest expense related to the convertible notes and long-term debt in CS Solis for the thirteen weeks ended October 1, 2023.</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for the thirteen weeks ended October 1, 2023 increased by $38.0 million compared to the three months ended September 30, 2022. The increase was primarily attributed to an increase of $35.5 million in other expense related to the issuance of common stock in connection with the FPAs, the loss on extinguishment of debt in CS Solis of $10.3 million, an increase of $6.7 million in other expense associated with the change in fair value of the FPAs, and an increase of $2.4 million driven by Company’s issuance of bonus shares in connection with the Mergers, offset by decreases in the fair value of the Company’s warrant liabilities of $16.9 million.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loss from continuing operations for the thirteen weeks ended October 1, 2023 was $51.0 million, an increase of $46.8 million, as compared to a net loss from continuing operations of $4.1 million for the three months ended September 30, 2022.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Thirty-nine weeks ended October 1, 2023 compared to nine months ended September 30,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data for the thirty-nine weeks ended October 1, 2023 and the nine months ended September 30, 2022, respectively. We have derived this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038" w:type="dxa"/>
        <w:jc w:val="left"/>
        <w:tblInd w:w="0" w:type="dxa"/>
        <w:tblLayout w:type="fixed"/>
        <w:tblCellMar>
          <w:top w:w="0" w:type="dxa"/>
          <w:left w:w="0" w:type="dxa"/>
          <w:bottom w:w="28" w:type="dxa"/>
          <w:right w:w="0" w:type="dxa"/>
        </w:tblCellMar>
      </w:tblPr>
      <w:tblGrid>
        <w:gridCol w:w="4295"/>
        <w:gridCol w:w="60"/>
        <w:gridCol w:w="223"/>
        <w:gridCol w:w="1206"/>
        <w:gridCol w:w="215"/>
        <w:gridCol w:w="60"/>
        <w:gridCol w:w="239"/>
        <w:gridCol w:w="1295"/>
        <w:gridCol w:w="215"/>
        <w:gridCol w:w="60"/>
        <w:gridCol w:w="140"/>
        <w:gridCol w:w="755"/>
        <w:gridCol w:w="95"/>
        <w:gridCol w:w="60"/>
        <w:gridCol w:w="94"/>
        <w:gridCol w:w="721"/>
        <w:gridCol w:w="305"/>
      </w:tblGrid>
      <w:tr>
        <w:trPr/>
        <w:tc>
          <w:tcPr>
            <w:tcW w:w="429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Thirty-Nine</w:t>
              <w:br/>
              <w:t>Weeks Ended</w:t>
              <w:br/>
              <w:t>October 1,</w:t>
              <w:br/>
              <w:t>2023</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Nine Months</w:t>
              <w:br/>
              <w:t>Ended</w:t>
              <w:br/>
              <w:t xml:space="preserve">September 30, </w:t>
              <w:br/>
              <w:t>2022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283"/>
              <w:jc w:val="center"/>
              <w:rPr>
                <w:b/>
              </w:rPr>
            </w:pPr>
            <w:r>
              <w:rPr>
                <w:b/>
              </w:rPr>
              <w:t>$</w:t>
              <w:br/>
              <w:t>Change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w:t>
              <w:br/>
              <w:t>Change</w:t>
            </w:r>
          </w:p>
        </w:tc>
        <w:tc>
          <w:tcPr>
            <w:tcW w:w="305"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206" w:type="dxa"/>
            <w:tcBorders/>
            <w:shd w:fill="CCEEFF" w:val="clear"/>
            <w:tcMar>
              <w:bottom w:w="0" w:type="dxa"/>
            </w:tcMar>
            <w:vAlign w:val="center"/>
          </w:tcPr>
          <w:p>
            <w:pPr>
              <w:pStyle w:val="TableContents"/>
              <w:bidi w:val="0"/>
              <w:spacing w:before="0" w:after="283"/>
              <w:jc w:val="right"/>
              <w:rPr/>
            </w:pPr>
            <w:r>
              <w:rPr/>
              <w:t>66,887</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48,974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17,913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37</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FFFFFF" w:val="clear"/>
            <w:vAlign w:val="center"/>
          </w:tcPr>
          <w:p>
            <w:pPr>
              <w:pStyle w:val="TableContents"/>
              <w:bidi w:val="0"/>
              <w:spacing w:before="0" w:after="283"/>
              <w:jc w:val="left"/>
              <w:rPr/>
            </w:pPr>
            <w:r>
              <w:rPr/>
              <w:t> </w:t>
            </w:r>
          </w:p>
        </w:tc>
        <w:tc>
          <w:tcPr>
            <w:tcW w:w="1206" w:type="dxa"/>
            <w:tcBorders>
              <w:bottom w:val="single" w:sz="12" w:space="0" w:color="000000"/>
            </w:tcBorders>
            <w:shd w:fill="FFFFFF" w:val="clear"/>
            <w:vAlign w:val="center"/>
          </w:tcPr>
          <w:p>
            <w:pPr>
              <w:pStyle w:val="TableContents"/>
              <w:bidi w:val="0"/>
              <w:spacing w:before="0" w:after="283"/>
              <w:jc w:val="right"/>
              <w:rPr/>
            </w:pPr>
            <w:r>
              <w:rPr/>
              <w:t>51,788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bottom w:val="single" w:sz="12" w:space="0" w:color="000000"/>
            </w:tcBorders>
            <w:shd w:fill="FFFFFF" w:val="clear"/>
            <w:vAlign w:val="center"/>
          </w:tcPr>
          <w:p>
            <w:pPr>
              <w:pStyle w:val="TableContents"/>
              <w:bidi w:val="0"/>
              <w:spacing w:before="0" w:after="283"/>
              <w:jc w:val="left"/>
              <w:rPr/>
            </w:pPr>
            <w:r>
              <w:rPr/>
              <w:t> </w:t>
            </w:r>
          </w:p>
        </w:tc>
        <w:tc>
          <w:tcPr>
            <w:tcW w:w="1295" w:type="dxa"/>
            <w:tcBorders>
              <w:bottom w:val="single" w:sz="12" w:space="0" w:color="000000"/>
            </w:tcBorders>
            <w:shd w:fill="FFFFFF" w:val="clear"/>
            <w:vAlign w:val="center"/>
          </w:tcPr>
          <w:p>
            <w:pPr>
              <w:pStyle w:val="TableContents"/>
              <w:bidi w:val="0"/>
              <w:spacing w:before="0" w:after="283"/>
              <w:jc w:val="right"/>
              <w:rPr/>
            </w:pPr>
            <w:r>
              <w:rPr/>
              <w:t>33,792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17,996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721" w:type="dxa"/>
            <w:tcBorders>
              <w:bottom w:val="single" w:sz="12" w:space="0" w:color="000000"/>
            </w:tcBorders>
            <w:shd w:fill="FFFFFF" w:val="clear"/>
            <w:vAlign w:val="center"/>
          </w:tcPr>
          <w:p>
            <w:pPr>
              <w:pStyle w:val="TableContents"/>
              <w:bidi w:val="0"/>
              <w:spacing w:before="0" w:after="283"/>
              <w:jc w:val="right"/>
              <w:rPr/>
            </w:pPr>
            <w:r>
              <w:rPr/>
              <w:t>53</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15,099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15,182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pPr>
            <w:r>
              <w:rPr/>
              <w:t>Gross margin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23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31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left"/>
              <w:rPr/>
            </w:pPr>
            <w:r>
              <w:rPr/>
              <w:t>Sales commissions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23,221</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15,694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7,527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48</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and marketing</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5,216</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4,607</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609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FFFFFF" w:val="clear"/>
            <w:vAlign w:val="center"/>
          </w:tcPr>
          <w:p>
            <w:pPr>
              <w:pStyle w:val="TableContents"/>
              <w:bidi w:val="0"/>
              <w:spacing w:before="0" w:after="283"/>
              <w:jc w:val="left"/>
              <w:rPr/>
            </w:pPr>
            <w:r>
              <w:rPr/>
              <w:t> </w:t>
            </w:r>
          </w:p>
        </w:tc>
        <w:tc>
          <w:tcPr>
            <w:tcW w:w="1206" w:type="dxa"/>
            <w:tcBorders>
              <w:bottom w:val="single" w:sz="12" w:space="0" w:color="000000"/>
            </w:tcBorders>
            <w:shd w:fill="FFFFFF" w:val="clear"/>
            <w:vAlign w:val="center"/>
          </w:tcPr>
          <w:p>
            <w:pPr>
              <w:pStyle w:val="TableContents"/>
              <w:bidi w:val="0"/>
              <w:spacing w:before="0" w:after="283"/>
              <w:jc w:val="right"/>
              <w:rPr/>
            </w:pPr>
            <w:r>
              <w:rPr/>
              <w:t>22,965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bottom w:val="single" w:sz="12" w:space="0" w:color="000000"/>
            </w:tcBorders>
            <w:shd w:fill="FFFFFF" w:val="clear"/>
            <w:vAlign w:val="center"/>
          </w:tcPr>
          <w:p>
            <w:pPr>
              <w:pStyle w:val="TableContents"/>
              <w:bidi w:val="0"/>
              <w:spacing w:before="0" w:after="283"/>
              <w:jc w:val="left"/>
              <w:rPr/>
            </w:pPr>
            <w:r>
              <w:rPr/>
              <w:t> </w:t>
            </w:r>
          </w:p>
        </w:tc>
        <w:tc>
          <w:tcPr>
            <w:tcW w:w="1295" w:type="dxa"/>
            <w:tcBorders>
              <w:bottom w:val="single" w:sz="12" w:space="0" w:color="000000"/>
            </w:tcBorders>
            <w:shd w:fill="FFFFFF" w:val="clear"/>
            <w:vAlign w:val="center"/>
          </w:tcPr>
          <w:p>
            <w:pPr>
              <w:pStyle w:val="TableContents"/>
              <w:bidi w:val="0"/>
              <w:spacing w:before="0" w:after="283"/>
              <w:jc w:val="right"/>
              <w:rPr/>
            </w:pPr>
            <w:r>
              <w:rPr/>
              <w:t>6,194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16,771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721" w:type="dxa"/>
            <w:tcBorders>
              <w:bottom w:val="single" w:sz="12" w:space="0" w:color="000000"/>
            </w:tcBorders>
            <w:shd w:fill="FFFFFF" w:val="clear"/>
            <w:vAlign w:val="center"/>
          </w:tcPr>
          <w:p>
            <w:pPr>
              <w:pStyle w:val="TableContents"/>
              <w:bidi w:val="0"/>
              <w:spacing w:before="0" w:after="283"/>
              <w:jc w:val="right"/>
              <w:rPr/>
            </w:pPr>
            <w:r>
              <w:rPr/>
              <w:t>271</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1206" w:type="dxa"/>
            <w:tcBorders>
              <w:bottom w:val="single" w:sz="12" w:space="0" w:color="000000"/>
            </w:tcBorders>
            <w:shd w:fill="CCEEFF" w:val="clear"/>
            <w:vAlign w:val="center"/>
          </w:tcPr>
          <w:p>
            <w:pPr>
              <w:pStyle w:val="TableContents"/>
              <w:bidi w:val="0"/>
              <w:spacing w:before="0" w:after="283"/>
              <w:jc w:val="right"/>
              <w:rPr/>
            </w:pPr>
            <w:r>
              <w:rPr/>
              <w:t>51,402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bottom w:val="single" w:sz="12" w:space="0" w:color="000000"/>
            </w:tcBorders>
            <w:shd w:fill="CCEEFF" w:val="clear"/>
            <w:vAlign w:val="center"/>
          </w:tcPr>
          <w:p>
            <w:pPr>
              <w:pStyle w:val="TableContents"/>
              <w:bidi w:val="0"/>
              <w:spacing w:before="0" w:after="283"/>
              <w:jc w:val="left"/>
              <w:rPr/>
            </w:pPr>
            <w:r>
              <w:rPr/>
              <w:t> </w:t>
            </w:r>
          </w:p>
        </w:tc>
        <w:tc>
          <w:tcPr>
            <w:tcW w:w="1295" w:type="dxa"/>
            <w:tcBorders>
              <w:bottom w:val="single" w:sz="12" w:space="0" w:color="000000"/>
            </w:tcBorders>
            <w:shd w:fill="CCEEFF" w:val="clear"/>
            <w:vAlign w:val="center"/>
          </w:tcPr>
          <w:p>
            <w:pPr>
              <w:pStyle w:val="TableContents"/>
              <w:bidi w:val="0"/>
              <w:spacing w:before="0" w:after="283"/>
              <w:jc w:val="right"/>
              <w:rPr/>
            </w:pPr>
            <w:r>
              <w:rPr/>
              <w:t>26,495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24,907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94</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pPr>
            <w:r>
              <w:rPr/>
              <w:t>Loss from continuing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(36,303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(11,313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(24,990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221</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(8,870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(2,672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(6,198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232</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pPr>
            <w:r>
              <w:rPr/>
              <w:t>Interest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26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 net</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1206" w:type="dxa"/>
            <w:tcBorders>
              <w:bottom w:val="single" w:sz="12" w:space="0" w:color="000000"/>
            </w:tcBorders>
            <w:shd w:fill="CCEEFF" w:val="clear"/>
            <w:vAlign w:val="center"/>
          </w:tcPr>
          <w:p>
            <w:pPr>
              <w:pStyle w:val="TableContents"/>
              <w:bidi w:val="0"/>
              <w:spacing w:before="0" w:after="283"/>
              <w:jc w:val="right"/>
              <w:rPr/>
            </w:pPr>
            <w:r>
              <w:rPr/>
              <w:t>(28,302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bottom w:val="single" w:sz="12" w:space="0" w:color="000000"/>
            </w:tcBorders>
            <w:shd w:fill="CCEEFF" w:val="clear"/>
            <w:vAlign w:val="center"/>
          </w:tcPr>
          <w:p>
            <w:pPr>
              <w:pStyle w:val="TableContents"/>
              <w:bidi w:val="0"/>
              <w:spacing w:before="0" w:after="283"/>
              <w:jc w:val="left"/>
              <w:rPr/>
            </w:pPr>
            <w:r>
              <w:rPr/>
              <w:t> </w:t>
            </w:r>
          </w:p>
        </w:tc>
        <w:tc>
          <w:tcPr>
            <w:tcW w:w="1295" w:type="dxa"/>
            <w:tcBorders>
              <w:bottom w:val="single" w:sz="12" w:space="0" w:color="000000"/>
            </w:tcBorders>
            <w:shd w:fill="CCEEFF" w:val="clear"/>
            <w:vAlign w:val="center"/>
          </w:tcPr>
          <w:p>
            <w:pPr>
              <w:pStyle w:val="TableContents"/>
              <w:bidi w:val="0"/>
              <w:spacing w:before="0" w:after="283"/>
              <w:jc w:val="right"/>
              <w:rPr/>
            </w:pPr>
            <w:r>
              <w:rPr/>
              <w:t>3,180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(31,482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left"/>
              <w:rPr/>
            </w:pPr>
            <w:r>
              <w:rPr/>
              <w:t>Loss from continuing operations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(73,449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(10,805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(62,644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580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Income tax benefit (provision)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1206" w:type="dxa"/>
            <w:tcBorders>
              <w:bottom w:val="single" w:sz="12" w:space="0" w:color="000000"/>
            </w:tcBorders>
            <w:shd w:fill="CCEEFF" w:val="clear"/>
            <w:vAlign w:val="center"/>
          </w:tcPr>
          <w:p>
            <w:pPr>
              <w:pStyle w:val="TableContents"/>
              <w:bidi w:val="0"/>
              <w:spacing w:before="0" w:after="283"/>
              <w:jc w:val="right"/>
              <w:rPr/>
            </w:pPr>
            <w:r>
              <w:rPr/>
              <w:t>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bottom w:val="single" w:sz="12" w:space="0" w:color="000000"/>
            </w:tcBorders>
            <w:shd w:fill="CCEEFF" w:val="clear"/>
            <w:vAlign w:val="center"/>
          </w:tcPr>
          <w:p>
            <w:pPr>
              <w:pStyle w:val="TableContents"/>
              <w:bidi w:val="0"/>
              <w:spacing w:before="0" w:after="283"/>
              <w:jc w:val="left"/>
              <w:rPr/>
            </w:pPr>
            <w:r>
              <w:rPr/>
              <w:t> </w:t>
            </w:r>
          </w:p>
        </w:tc>
        <w:tc>
          <w:tcPr>
            <w:tcW w:w="1295" w:type="dxa"/>
            <w:tcBorders>
              <w:bottom w:val="single" w:sz="12" w:space="0" w:color="000000"/>
            </w:tcBorders>
            <w:shd w:fill="CCEEFF" w:val="clear"/>
            <w:vAlign w:val="center"/>
          </w:tcPr>
          <w:p>
            <w:pPr>
              <w:pStyle w:val="TableContents"/>
              <w:bidi w:val="0"/>
              <w:spacing w:before="0" w:after="283"/>
              <w:jc w:val="right"/>
              <w:rPr/>
            </w:pPr>
            <w:r>
              <w:rPr/>
              <w:t>(4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(125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pPr>
            <w:r>
              <w:rPr/>
              <w:t>Net loss from continuing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double" w:sz="10" w:space="0" w:color="000000"/>
            </w:tcBorders>
            <w:shd w:fill="FFFFFF" w:val="clear"/>
            <w:vAlign w:val="center"/>
          </w:tcPr>
          <w:p>
            <w:pPr>
              <w:pStyle w:val="TableContents"/>
              <w:bidi w:val="0"/>
              <w:spacing w:before="0" w:after="283"/>
              <w:jc w:val="left"/>
              <w:rPr/>
            </w:pPr>
            <w:r>
              <w:rPr/>
              <w:t>$</w:t>
            </w:r>
          </w:p>
        </w:tc>
        <w:tc>
          <w:tcPr>
            <w:tcW w:w="1206" w:type="dxa"/>
            <w:tcBorders>
              <w:bottom w:val="double" w:sz="10" w:space="0" w:color="000000"/>
            </w:tcBorders>
            <w:shd w:fill="FFFFFF" w:val="clear"/>
            <w:vAlign w:val="center"/>
          </w:tcPr>
          <w:p>
            <w:pPr>
              <w:pStyle w:val="TableContents"/>
              <w:bidi w:val="0"/>
              <w:spacing w:before="0" w:after="283"/>
              <w:jc w:val="right"/>
              <w:rPr/>
            </w:pPr>
            <w:r>
              <w:rPr/>
              <w:t>(74,448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bottom w:val="double" w:sz="10" w:space="0" w:color="000000"/>
            </w:tcBorders>
            <w:shd w:fill="FFFFFF" w:val="clear"/>
            <w:vAlign w:val="center"/>
          </w:tcPr>
          <w:p>
            <w:pPr>
              <w:pStyle w:val="TableContents"/>
              <w:bidi w:val="0"/>
              <w:spacing w:before="0" w:after="283"/>
              <w:jc w:val="left"/>
              <w:rPr/>
            </w:pPr>
            <w:r>
              <w:rPr/>
              <w:t>$</w:t>
            </w:r>
          </w:p>
        </w:tc>
        <w:tc>
          <w:tcPr>
            <w:tcW w:w="1295" w:type="dxa"/>
            <w:tcBorders>
              <w:bottom w:val="double" w:sz="10" w:space="0" w:color="000000"/>
            </w:tcBorders>
            <w:shd w:fill="FFFFFF" w:val="clear"/>
            <w:vAlign w:val="center"/>
          </w:tcPr>
          <w:p>
            <w:pPr>
              <w:pStyle w:val="TableContents"/>
              <w:bidi w:val="0"/>
              <w:spacing w:before="0" w:after="283"/>
              <w:jc w:val="right"/>
              <w:rPr/>
            </w:pPr>
            <w:r>
              <w:rPr/>
              <w:t>(10,809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755" w:type="dxa"/>
            <w:tcBorders>
              <w:bottom w:val="double" w:sz="10" w:space="0" w:color="000000"/>
            </w:tcBorders>
            <w:shd w:fill="FFFFFF" w:val="clear"/>
            <w:vAlign w:val="center"/>
          </w:tcPr>
          <w:p>
            <w:pPr>
              <w:pStyle w:val="TableContents"/>
              <w:bidi w:val="0"/>
              <w:spacing w:before="0" w:after="283"/>
              <w:jc w:val="right"/>
              <w:rPr/>
            </w:pPr>
            <w:r>
              <w:rPr/>
              <w:t>(62,639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double" w:sz="10" w:space="0" w:color="000000"/>
            </w:tcBorders>
            <w:shd w:fill="FFFFFF" w:val="clear"/>
            <w:vAlign w:val="center"/>
          </w:tcPr>
          <w:p>
            <w:pPr>
              <w:pStyle w:val="TableContents"/>
              <w:bidi w:val="0"/>
              <w:spacing w:before="0" w:after="283"/>
              <w:jc w:val="left"/>
              <w:rPr/>
            </w:pPr>
            <w:r>
              <w:rPr/>
              <w:t> </w:t>
            </w:r>
          </w:p>
        </w:tc>
        <w:tc>
          <w:tcPr>
            <w:tcW w:w="721"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40"/>
        <w:gridCol w:w="300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both"/>
              <w:rPr/>
            </w:pPr>
            <w:r>
              <w:rPr/>
              <w:t xml:space="preserve">Percentage </w:t>
            </w:r>
            <w:r>
              <w:rPr>
                <w:rFonts w:ascii="Times New Roman;Times;Serif" w:hAnsi="Times New Roman;Times;Serif"/>
                <w:sz w:val="20"/>
              </w:rPr>
              <w:t>change not meaningful</w:t>
            </w:r>
          </w:p>
        </w:tc>
      </w:tr>
    </w:tbl>
    <w:p>
      <w:pPr>
        <w:pStyle w:val="TextBody"/>
        <w:shd w:fill="FFFFFF" w:val="clear"/>
        <w:bidi w:val="0"/>
        <w:spacing w:before="0" w:after="0"/>
        <w:ind w:left="0" w:right="0" w:firstLine="360"/>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3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stock-based compensation expense as follows (in thousands):</w:t>
            </w:r>
          </w:p>
        </w:tc>
      </w:tr>
    </w:tbl>
    <w:p>
      <w:pPr>
        <w:pStyle w:val="TextBody"/>
        <w:bidi w:val="0"/>
        <w:spacing w:before="0" w:after="0"/>
        <w:ind w:left="0" w:right="0" w:firstLine="36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3890"/>
        <w:gridCol w:w="60"/>
        <w:gridCol w:w="205"/>
        <w:gridCol w:w="820"/>
        <w:gridCol w:w="60"/>
        <w:gridCol w:w="60"/>
        <w:gridCol w:w="397"/>
        <w:gridCol w:w="1078"/>
        <w:gridCol w:w="7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Thirty-Nine</w:t>
              <w:br/>
              <w:t>Weeks</w:t>
              <w:br/>
              <w:t>Ended</w:t>
              <w:b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Ended</w:t>
              <w:br/>
              <w:t>September 30,</w:t>
              <w:br/>
              <w:t>2022</w:t>
            </w:r>
          </w:p>
        </w:tc>
        <w:tc>
          <w:tcPr>
            <w:tcW w:w="75" w:type="dxa"/>
            <w:tcBorders/>
            <w:vAlign w:val="center"/>
          </w:tcPr>
          <w:p>
            <w:pPr>
              <w:pStyle w:val="TableContents"/>
              <w:bidi w:val="0"/>
              <w:spacing w:before="0" w:after="283"/>
              <w:ind w:left="0" w:right="0" w:hanging="251"/>
              <w:jc w:val="left"/>
              <w:rPr/>
            </w:pPr>
            <w:r>
              <w:rPr/>
              <w:t> </w:t>
            </w:r>
          </w:p>
        </w:tc>
      </w:tr>
      <w:tr>
        <w:trPr/>
        <w:tc>
          <w:tcPr>
            <w:tcW w:w="389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ind w:left="0" w:right="0" w:hanging="251"/>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91</w:t>
            </w:r>
          </w:p>
        </w:tc>
        <w:tc>
          <w:tcPr>
            <w:tcW w:w="75" w:type="dxa"/>
            <w:tcBorders/>
            <w:shd w:fill="FFFFFF" w:val="clear"/>
            <w:vAlign w:val="center"/>
          </w:tcPr>
          <w:p>
            <w:pPr>
              <w:pStyle w:val="TableContents"/>
              <w:bidi w:val="0"/>
              <w:spacing w:before="0" w:after="283"/>
              <w:ind w:left="0" w:right="0" w:hanging="251"/>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75" w:type="dxa"/>
            <w:tcBorders/>
            <w:shd w:fill="CCEEFF" w:val="clear"/>
            <w:vAlign w:val="center"/>
          </w:tcPr>
          <w:p>
            <w:pPr>
              <w:pStyle w:val="TableContents"/>
              <w:bidi w:val="0"/>
              <w:spacing w:before="0" w:after="283"/>
              <w:ind w:left="0" w:right="0" w:hanging="251"/>
              <w:jc w:val="left"/>
              <w:rPr/>
            </w:pPr>
            <w:r>
              <w:rPr/>
              <w:t> </w:t>
            </w:r>
          </w:p>
        </w:tc>
      </w:tr>
      <w:tr>
        <w:trPr/>
        <w:tc>
          <w:tcPr>
            <w:tcW w:w="3890" w:type="dxa"/>
            <w:tcBorders/>
            <w:shd w:fill="FFFFFF" w:val="clear"/>
            <w:vAlign w:val="center"/>
          </w:tcPr>
          <w:p>
            <w:pPr>
              <w:pStyle w:val="TableContents"/>
              <w:bidi w:val="0"/>
              <w:spacing w:before="0" w:after="283"/>
              <w:jc w:val="left"/>
              <w:rPr/>
            </w:pPr>
            <w:r>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10" w:space="0" w:color="000000"/>
            </w:tcBorders>
            <w:shd w:fill="FFFFFF" w:val="clear"/>
            <w:tcMar>
              <w:bottom w:w="28" w:type="dxa"/>
            </w:tcMar>
            <w:vAlign w:val="center"/>
          </w:tcPr>
          <w:p>
            <w:pPr>
              <w:pStyle w:val="TableContents"/>
              <w:bidi w:val="0"/>
              <w:spacing w:before="0" w:after="283"/>
              <w:jc w:val="right"/>
              <w:rPr/>
            </w:pPr>
            <w:r>
              <w:rPr/>
              <w:t>2,321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8" w:type="dxa"/>
            <w:tcBorders>
              <w:bottom w:val="double" w:sz="10" w:space="0" w:color="000000"/>
            </w:tcBorders>
            <w:shd w:fill="FFFFFF" w:val="clear"/>
            <w:tcMar>
              <w:bottom w:w="28" w:type="dxa"/>
            </w:tcMar>
            <w:vAlign w:val="center"/>
          </w:tcPr>
          <w:p>
            <w:pPr>
              <w:pStyle w:val="TableContents"/>
              <w:bidi w:val="0"/>
              <w:spacing w:before="0" w:after="283"/>
              <w:jc w:val="right"/>
              <w:rPr/>
            </w:pPr>
            <w:r>
              <w:rPr/>
              <w:t>217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interest expense to related party of $0.4 million and $0.1 million during the thirty-nine weeks ended October 1, 2023 and the nine months ended September 30, 2022, respectively.</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other income (expense), net from related parties of $36.9 million and $1.4 million during the thirty-nine weeks ended October 1, 2023 and the nine months ended September 30, 2022,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disaggregate our revenues based on the following types of services (in thousands):</w:t>
      </w:r>
    </w:p>
    <w:p>
      <w:pPr>
        <w:pStyle w:val="TextBody"/>
        <w:bidi w:val="0"/>
        <w:spacing w:before="0" w:after="0"/>
        <w:ind w:left="0" w:right="0" w:firstLine="72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3110"/>
        <w:gridCol w:w="60"/>
        <w:gridCol w:w="185"/>
        <w:gridCol w:w="900"/>
        <w:gridCol w:w="60"/>
        <w:gridCol w:w="60"/>
        <w:gridCol w:w="251"/>
        <w:gridCol w:w="1224"/>
        <w:gridCol w:w="60"/>
        <w:gridCol w:w="60"/>
        <w:gridCol w:w="140"/>
        <w:gridCol w:w="680"/>
        <w:gridCol w:w="95"/>
        <w:gridCol w:w="60"/>
        <w:gridCol w:w="123"/>
        <w:gridCol w:w="692"/>
        <w:gridCol w:w="305"/>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Thirty-Nine</w:t>
              <w:br/>
              <w:t>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0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Solar energy system installations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64,511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46,214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40</w:t>
            </w:r>
          </w:p>
        </w:tc>
        <w:tc>
          <w:tcPr>
            <w:tcW w:w="305"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Software enhanced services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pPr>
            <w:r>
              <w:rPr/>
              <w:t>2,376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2,760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305"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CCEEFF" w:val="clear"/>
            <w:tcMar>
              <w:bottom w:w="28" w:type="dxa"/>
            </w:tcMar>
            <w:vAlign w:val="center"/>
          </w:tcPr>
          <w:p>
            <w:pPr>
              <w:pStyle w:val="TableContents"/>
              <w:bidi w:val="0"/>
              <w:spacing w:before="0" w:after="283"/>
              <w:jc w:val="right"/>
              <w:rPr/>
            </w:pPr>
            <w:r>
              <w:rPr/>
              <w:t>66,887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48,974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17,913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double" w:sz="10" w:space="0" w:color="000000"/>
            </w:tcBorders>
            <w:shd w:fill="CCEEFF" w:val="clear"/>
            <w:tcMar>
              <w:bottom w:w="28" w:type="dxa"/>
            </w:tcMar>
            <w:vAlign w:val="center"/>
          </w:tcPr>
          <w:p>
            <w:pPr>
              <w:pStyle w:val="TableContents"/>
              <w:bidi w:val="0"/>
              <w:spacing w:before="0" w:after="283"/>
              <w:jc w:val="right"/>
              <w:rPr/>
            </w:pPr>
            <w:r>
              <w:rPr/>
              <w:t>37</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solar energy system installations for the thirty-nine weeks ended October 1, 2023 was $64.5 million compared to $46.2 million for the nine months ended September 30, 2022. The increase in solar energy system installation revenues of $18.3 million, or 40%, was primarily due to an increase in the volume of solar energy systems installations, a portion of which related to the fulfillment of delayed installations experienced in the first quarter of 2023 due to unusual inclement California weather, as well as an increase in average selling price of solar energy system installations.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software enhanced services for the thirty-nine weeks ended October 1, 2023 was $2.4 million compared to $2.8 million for the nine months ended September 30, 2022. The decrease of $0.4 million was the result of a shift in focus towards solar energy installations.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Cost of Revenues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thirty-nine weeks ended October 1, 2023 was $51.8 million compared to $33.8 million for the nine months ended September 30, 2022. The increase in cost of revenues of $18.0 million, or 53%, was primarily due to the increase in revenues of 37%, coupled with rising costs associated with supply chain constraints.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Gross Margin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decreased 8% year over year, from 31% for the nine months ended September 30, 2022 to 23% for the thirty-nine weeks ended October 1, 2023. The decrease in gross margin is primarily attributed to the increasing cost of revenues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for the thirty-nine weeks ended October 1, 2023, increased by $7.5 million, or 48%, compared to the nine months ended September 30, 2022. The increase in sales commissions was primarily due to the increase in solar system installation revenue of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for the thirty-nine weeks ended October 1, 2023 increased by $0.6 million, or 13%, compared to the nine months ended September 30, 2022. The increase is primarily attributable to an increase of $0.4 million in office and operating related expense, increase of $0.2 million in stock-based compensation expenses due to options issued in the thirty-nineteen weeks ended October 1, 2023 an increase of $0.2 million in outside services, and an increase of $0.1 million in travel related expenses, offset by decrease in payroll of $0.4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for the thirty-nine weeks ended October 1, 2023 increased by $16.8 million, or 271%, compared to the nine months ended September 30, 2022. The increase was primarily attributed to increases in contractors and outside services costs of $6.6 million related to the Mergers, increase in payroll of $3.9 million, an increase in bad debt expense of $3.4 million, increase of $1.8 million in stock-based compensation expenses due to options and RSUs issued, and increase in office occupancy related costs of $1.1 million for the thirty-nine weeks ended October 1, 2023.</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thirty-nine weeks ended October 1, 2023 increased by $6.2 million, or 232%, compared to the nine months ended September 30, 2022. The increase was primarily attributed $4.6 million of interest related to debt acquired as part of the acquisition of Solaria in November 2022, which was retained upon the divestiture from the business, as well as an increase of $1.4 million in interest expense related to the convertible notes and long-term debt in CS Solis for the thirty-nine weeks ended October 1, 2023.</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for the thirty-nine weeks ended October 1, 2023 increased by $31.5 million compared to the nine months ended September 30, 2022. The increase was primarily attributed to an increase of $35.5 million in other expense related to the issuance of common stock in connection with the FPAs, the loss on extinguishment of debt in CS Solis of $10.3 million, an increase of $6.7 million in other expense associated with the change in fair value of FPAs, an increase of $2.4 million driven by Company’s issuance of bonus shares in connection with the Mergers, and $3.2 million related to the conversion of convertible debts and SAFE agreements in March 2022, offset by decreases in the change in fair value of the Company’s warrant liabilities of $26.5 million.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loss from continuing operations for the thirty-nine weeks ended October 1, 2023 was $73.4 million, an increase of $62.6 million, as compared to a net loss from continuing operations of $10.8 million for the nine months ended September 30, 2022.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financed our operations primarily through sales of equity securities, issuance of convertible notes and cash generated from operations. Our principal uses of cash in recent periods have been funding our operations and investing in capital expenditures. As of October 1, 2023, our principal sources of liquidity were cash and cash equivalents of $1.7 million, which were held for working capital purposes. Our cash equivalents are on deposit with major financial institutions. Our cash position raises substantial doubt regarding our ability to continue as a going concern for 12 months following the issuance of the unaudited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the proceeds from any cash exercise of any Warrants. The aggregate amount of proceeds could be up to $254.1 million if all the Warrants are exercised for cash. However, to the extent the Warrants are exercised on a “cashless basis,” the amount of cash we would receive from the exercise of the Warrants will decrease. The Private Warrants and Working Capital Warrants may be exercised for cash or on a “cashless basis.” The Public Warrants and the Mergers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and working capital purposes, which would increase our liquidity. As of November 10, 2023, the price of our common stock was $0.98 per share.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entered into an asset purchase agreement with Maxeon for the sale of certain assets to Maxeon. The agreement also includes a supply agreement for Maxeon to supply its premium, high-performance, high-efficiency solar panels to Complete Solaria. The transaction closed October 6,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received cash of $19.8 million from the completion of the Mergers in July 2023, and despite results of the closing of the Disposal Transaction and our recent cost cutting measures, additional capital infusion will likely be necessary in order to fund planned operations while meeting obligations as they come due. It is currently unlikely that warrant holders will exercise their warrants based on the current price of our common stock, and additional financing is required from outside sources. We may not be able to raise it on terms acceptable to us or at all. If we are unable to raise additional capital when desired, we may be required to reduce planned spending, which could have a material adverse effect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Financings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2018 Bridge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Solaria Corporation issued senior subordinated convertible secured notes (“2018 Notes”) totaling approximately $3.4 million in exchange for cash. The notes bear interest at the rate of 8% per annum and the investors are entitled to receive twice of the face value of the notes at maturity. The 2018 Notes were assumed in the acquisition by Complete Solaria and are secured by substantially all of the assets of Complete Solaria. In 2021, the 2018 Notes were amended extending the maturity date to December 13, 2022. In connection with the 2021 amendment, Solaria had issued warrants to purchase shares of Series E-1 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entered into an amendment to the 2018 Notes extending the maturity date from December 13, 2022 to December 13, 2023. In connection with the amendment, the notes will continue to bear interest at 8% per annum and are entitled to an increased repayment premium from 110% to 120% of the principal and accrued interest at the time of repayment.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modification was a troubled debt restructuring as the Company was experiencing financial difficulty and the amended terms resulted in a concession to the Company. As the future undiscounted cash payments under the modified terms exceeded the carrying amount of the Solaria Bridge Notes on the date of modification, the modification was accounted for prospectively. The incremental repayment premium is being amortized to interest expense using the effective interest rate method. As of October 1, 2023 and December 31, 2022, the carrying value of the 2018 Notes was $10.7 million and $9.8 million, respectively. Interest expense recognized for the thirteen and thirty-nine weeks ended October 1, 2023 was $0.3 million and $1.0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SCI Term Loan and Revolver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Solaria entered into a loan agreement (“Loan Agreement”) with Structural Capital Investments III, LP (“SCI”). The Loan Agreement with SCI comprises of two facilities, a term loan (the “Term Loan”) and a revolving loan (the “Revolving Loan”) for $5.0 million each with a maturity date of October 31, 2023. Both the Term Loan and the Revolving Loan were fully drawn upon closing. The Term Loan was repaid prior to the acquisition of Solaria by Complete Solar and was not included in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has a term of thirty-six months, principal repayments at the end of the term and an annual interest rate of 7.75% or Prime rate plus 4.5%, whichever is higher. Interest expense recognized for the thirteen and thirty-nine weeks ended October 1, 2023 was $0.2 million and $0.5 million, respectively. In October 2023, the Company entered into an Assignment and Acceptance Agreement whereby Structural Capital Investments III, LP assigns the SCI debt to Kline Hill Partners Fund LP, Kline Hill Partners IV SPV LLC, Kline Hill Partners Opportunity IV SPV LLC, and Rodgers Massey Revocable Living Trust for a total purchase price of $5.0 million, as discussed in Note 22 – Subsequent Events of the accompanying notes to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entered into a secured credit facility agreement with Kline Hill Partners IV SPV LLC and Kline Hill Partners Opportunity IV SPV LLC. The secured credit facility agreement, which matures in April 2023, allows us to borrow up to 70% of the net amount of our eligible vendor purchase orders with a maximum amount of $10.0 million at any point in time. The purchase orders are backed by relevant customer sales orders which serve as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We may prepay any borrowed amount without premium or penalty. Under the original terms, the secured credit facility agreement was due to mature in April 2023. We are in the process of amending the secured credit facility agreement to extend its maturity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October 1, 2023, the outstanding net debt amounted to $11.7 million, including accrued financing cost of $4.1 million, compared to December 31, 2022, where the outstanding net debt amounted to $5.6 million, including accrued financing cost of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in CS Solis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we received an investment from CRSEF Solis Holdings, LLC (“CRSEF”). The investment was made pursuant to a subscription agreement, under which CRSEF contributed $25.6 million in exchange for 100 Class B Membership Units of CS Solis. The Class B Membership Units are mandatorily redeemable by us on the three-year anniversary of the effective date of the CS Solis amended and restated LLC agreement. The Class B Membership Units accrue interest that is payable upon redemption at a rate of 10.5% which is accrued as an unpaid dividend, compounded annually, and subject to increases in the event we declare any dividends. In July 2023, we amended the debt of with CSREF as part of the closing of the Mergers. The modification did not change the interest rate. The modification accelerates the redemption date of the investment, which was previously February 14, 2025, and is March 31, 2024 subsequent to the modification. As of October 1, 2023 and December 31, 2022, we have recorded a liability of $29.2 million and zero, respectively, included in short-term debt in CS Solis on the unaudited condensed consolidated balance sheets. As of October 1, 2023 and December 31, 2022, we have recorded a liability of zero and $25.2 million, respectively, included in long-term debt in CS Solis on the unaudited condensed consolidated balance sheets. For the thirteen and thirty-nine weeks ended October 1, 2023, we have recorded accretion of the liability as interest expense of $1.2 million and $2.7 million, respectively, and we have recorded amortization of issuance costs as interest expense of less than $0.1 million and $0.7 million, respectively. For the three and nine months ended September 30, 2022, we have recorded accretion of the liability of $0.7 million and $1.7 million, respectively, and we have recorded the amortization of issuance costs as interest expense of $0.4 million and $0.9 million,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Thirty-Nine Weeks Ended October 1, 2023 and the Nine Months Ended September 30,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Complete Solaria’s cash flows from operating, investing, and financing activities for the thirty-nine weeks ended October 1, 2023 and the nine months ended September 30, 2022 (in thousands):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8"/>
        <w:gridCol w:w="60"/>
        <w:gridCol w:w="160"/>
        <w:gridCol w:w="865"/>
        <w:gridCol w:w="95"/>
        <w:gridCol w:w="60"/>
        <w:gridCol w:w="237"/>
        <w:gridCol w:w="1288"/>
        <w:gridCol w:w="112"/>
      </w:tblGrid>
      <w:tr>
        <w:trPr/>
        <w:tc>
          <w:tcPr>
            <w:tcW w:w="73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Thirty-Nine</w:t>
              <w:br/>
              <w:t>Weeks</w:t>
              <w:br/>
              <w:t>Ended</w:t>
              <w:br/>
              <w:t>October 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Ended</w:t>
              <w:br/>
              <w:t xml:space="preserve">September 30, </w:t>
              <w:br/>
              <w:t>2022</w:t>
            </w:r>
          </w:p>
        </w:tc>
        <w:tc>
          <w:tcPr>
            <w:tcW w:w="112" w:type="dxa"/>
            <w:tcBorders/>
            <w:vAlign w:val="center"/>
          </w:tcPr>
          <w:p>
            <w:pPr>
              <w:pStyle w:val="TableContents"/>
              <w:bidi w:val="0"/>
              <w:spacing w:before="0" w:after="283"/>
              <w:jc w:val="left"/>
              <w:rPr/>
            </w:pPr>
            <w:r>
              <w:rPr/>
              <w:t> </w:t>
            </w:r>
          </w:p>
        </w:tc>
      </w:tr>
      <w:tr>
        <w:trPr/>
        <w:tc>
          <w:tcPr>
            <w:tcW w:w="7328" w:type="dxa"/>
            <w:tcBorders/>
            <w:shd w:fill="CCEEFF" w:val="clear"/>
            <w:vAlign w:val="center"/>
          </w:tcPr>
          <w:p>
            <w:pPr>
              <w:pStyle w:val="TableContents"/>
              <w:bidi w:val="0"/>
              <w:spacing w:before="0" w:after="283"/>
              <w:jc w:val="left"/>
              <w:rPr/>
            </w:pPr>
            <w:r>
              <w:rPr/>
              <w:t>Net cash used in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(47,152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(17,197</w:t>
            </w:r>
          </w:p>
        </w:tc>
        <w:tc>
          <w:tcPr>
            <w:tcW w:w="112" w:type="dxa"/>
            <w:tcBorders/>
            <w:shd w:fill="CCEEFF" w:val="clear"/>
            <w:vAlign w:val="center"/>
          </w:tcPr>
          <w:p>
            <w:pPr>
              <w:pStyle w:val="TableContents"/>
              <w:bidi w:val="0"/>
              <w:spacing w:before="0" w:after="283"/>
              <w:jc w:val="left"/>
              <w:rPr/>
            </w:pPr>
            <w:r>
              <w:rPr/>
              <w:t>)</w:t>
            </w:r>
          </w:p>
        </w:tc>
      </w:tr>
      <w:tr>
        <w:trPr/>
        <w:tc>
          <w:tcPr>
            <w:tcW w:w="7328"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865" w:type="dxa"/>
            <w:tcBorders/>
            <w:shd w:fill="FFFFFF" w:val="clear"/>
            <w:vAlign w:val="center"/>
          </w:tcPr>
          <w:p>
            <w:pPr>
              <w:pStyle w:val="TableContents"/>
              <w:bidi w:val="0"/>
              <w:spacing w:before="0" w:after="283"/>
              <w:jc w:val="right"/>
              <w:rPr/>
            </w:pPr>
            <w:r>
              <w:rPr/>
              <w:t>(1,534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(1,048</w:t>
            </w:r>
          </w:p>
        </w:tc>
        <w:tc>
          <w:tcPr>
            <w:tcW w:w="112" w:type="dxa"/>
            <w:tcBorders/>
            <w:shd w:fill="FFFFFF" w:val="clear"/>
            <w:vAlign w:val="center"/>
          </w:tcPr>
          <w:p>
            <w:pPr>
              <w:pStyle w:val="TableContents"/>
              <w:bidi w:val="0"/>
              <w:spacing w:before="0" w:after="283"/>
              <w:jc w:val="left"/>
              <w:rPr/>
            </w:pPr>
            <w:r>
              <w:rPr/>
              <w:t>)</w:t>
            </w:r>
          </w:p>
        </w:tc>
      </w:tr>
      <w:tr>
        <w:trPr/>
        <w:tc>
          <w:tcPr>
            <w:tcW w:w="7328" w:type="dxa"/>
            <w:tcBorders/>
            <w:shd w:fill="CCEEFF" w:val="clear"/>
            <w:vAlign w:val="center"/>
          </w:tcPr>
          <w:p>
            <w:pPr>
              <w:pStyle w:val="TableContents"/>
              <w:bidi w:val="0"/>
              <w:spacing w:before="0" w:after="283"/>
              <w:jc w:val="left"/>
              <w:rPr/>
            </w:pPr>
            <w:r>
              <w:rPr/>
              <w:t>Net cash provided by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45,575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13,704</w:t>
            </w:r>
          </w:p>
        </w:tc>
        <w:tc>
          <w:tcPr>
            <w:tcW w:w="112" w:type="dxa"/>
            <w:tcBorders/>
            <w:shd w:fill="CCEEFF" w:val="clear"/>
            <w:vAlign w:val="center"/>
          </w:tcPr>
          <w:p>
            <w:pPr>
              <w:pStyle w:val="TableContents"/>
              <w:bidi w:val="0"/>
              <w:spacing w:before="0" w:after="283"/>
              <w:jc w:val="left"/>
              <w:rPr/>
            </w:pPr>
            <w:r>
              <w:rPr/>
              <w:t> </w:t>
            </w:r>
          </w:p>
        </w:tc>
      </w:tr>
      <w:tr>
        <w:trPr/>
        <w:tc>
          <w:tcPr>
            <w:tcW w:w="7328" w:type="dxa"/>
            <w:tcBorders/>
            <w:shd w:fill="FFFFFF" w:val="clear"/>
            <w:vAlign w:val="center"/>
          </w:tcPr>
          <w:p>
            <w:pPr>
              <w:pStyle w:val="TableContents"/>
              <w:bidi w:val="0"/>
              <w:spacing w:before="0" w:after="283"/>
              <w:jc w:val="left"/>
              <w:rPr/>
            </w:pPr>
            <w:r>
              <w:rPr/>
              <w:t>Net increase in cash, cash equivalents and restricted cash from discontinued operations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865" w:type="dxa"/>
            <w:tcBorders/>
            <w:shd w:fill="FFFFFF" w:val="cle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328" w:type="dxa"/>
            <w:tcBorders/>
            <w:shd w:fill="CCEEFF" w:val="clear"/>
            <w:vAlign w:val="center"/>
          </w:tcPr>
          <w:p>
            <w:pPr>
              <w:pStyle w:val="TableContents"/>
              <w:bidi w:val="0"/>
              <w:spacing w:before="0" w:after="283"/>
              <w:jc w:val="left"/>
              <w:rPr/>
            </w:pPr>
            <w:r>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(2,897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(4,541</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$47.2 million for the thirty-nine weeks ended October 1, 2023 was primarily due to the net loss from continuing operations, net of tax of $73.4 million and net cash outflows of $18.8 million from changes in our operating assets and liabilities, adjusted for non-cash charges of $45.1 million. Non-cash charges primarily consisted of $35.5 million for the issuance of common stock in connection with FPAs, $10.3 million loss on CS Solis debt extinguishment, $6.7 million change in fair value of FPAs, $4.3 million change in allowance for credit losses, $4.0 million interest expense, $2.5 million accretion of long-term debt in CS Solis, $2.4 million related to the issuance of bonus common stock shares in connection with the Mergers, $2.3 million of stock-based compensation expense, and $2.1 million relating to the change in reserve for excess and obsolete inventory, partially offset by a decrease in the fair value of warrant liabilities of $26.3 million. The main drivers of net cash outflows derived from the changes in operating assets and liabilities were related to an increase in accounts receivable, net of $11.8 million, an increase in prepaid expenses and other current assets of $8.3 million, an increase in inventory of $3.9 million, and a decrease in deferred revenue of $0.8 million, partially offset by an increase in accounts payable of $4.4 million, an increase in accrued expenses and other current liabilities of $1.6 million and a decrease in other noncurrent assets of $1.1 million.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$17.2 million for the nine months ended September 30, 2022 was primarily due to the net loss from continuing operations, net of tax of $10.8 million and net cash outflows of $10.6 million from changes in operating assets and liabilities, adjusted for non-cash charges of $4.2 million. The main drivers of net cash outflows derived from the changes in operating assets and liabilities were related to an increase in inventory of $5.0 million, an increase in accounts receivable, net of $3.0 million, a decrease in accrued expenses and other current liabilities of $2.1 million and a decrease in warranty provision, noncurrent of $0.6 million. Non-cash charges primarily consisted of a change in reserve for obsolete inventory of $3.1 million, accretion of long-term debt in CS Solis of $2.6 million, $0.7 million change in allowance for credit losses, and $0.5 million in depreciation and amortization expense, partially offset by a gain on extinguishment of convertible notes and SAFEs of $3.2 million.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increase in cash, cash equivalents and restricted cash from discontinued operations of $0.2 million for the thirty-nine weeks ended October 1, 2023 was entirely attributable to net cash provided by operating activities from discontinued operations. This increase was primarily due to the net loss from discontinued operations, net of tax of $168.5 million, adjusted for non-cash charges of $152.9 million and net cash inflows of $15.8 million from changes in our operating assets and liabilities. Non-cash charges primarily consisted of impairment of goodwill of $119.4 million, impairment of intangible assets of $28.1 million, depreciation and amortization expense of $2.4 million, stock-based compensation expense of $1.8 million and a $1.1 million change in allowance for credit losses. The main drivers of net cash inflows derived from the changes in operating assets and liabilities were related to a decrease in accounts receivable, net of $8.2 million an increase in accrued expenses and other current liabilities of $6.0 million, a decrease of long-term deposits of $2.8 million and a decrease in inventories of $2.3 million, partially offset by a decrease of $2.9 million in accounts payable.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$1.5 million for the thirty-nine weeks ended October 1, 2023 was primarily due to additions to internal-use-software.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$1.0 million for the nine months ended September 30, 2022 was due to additions to internal-use-software.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of $45.6 million for the thirty-nine weeks ended October 1, 2023 was primarily due to $21.3 million in net proceeds from the issuance of convertible notes, $19.8 million in proceeds from the Mergers and PIPE Financing and $14.1 million in net proceeds from the issuance of notes payable, partially offset by repayment of notes payable of $9.7 million.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of $13.7 million for the nine months ended September 30, 2022 was primarily due to net proceeds from the issuance of long-term debt in CS Solis of $25.0 million, partially offset by repayment of notes payable of $9.5 million, payments for issuance of Series D redeemable convertible preferred stock of $1.3 million and the repayment of convertible notes payable to related parties of $0.5 million.</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on Form 10-Q, Complete Solaria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Complete Solaria is a party, under which it has any obligation arising under a guaranteed contract, derivative instrument, or variable interest or a retained or contingent interest in assets transferred to such entity or similar arrangement that serves as credit, liquidity, or market risk support for such assets.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Complete Solaria does not engage in off-balance sheet financing arrangements.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is an “emerging growth company” as defined in Section 2(a) of the Securities Act, and has elected to take advantage of the benefits of the extended transition period for new or revised financial accounting standards. Following the closing of the Mergers, our Post-Combination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December 31, 2025. Complete Solaria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entered into an Assignment and Acceptance Agreement (“Assignment Agreement”), whereby Structural Capital Investments III, LP assigns the SCI debt to Kline Hill Partners Fund LP, Kline Hill Partners IV SPV LLC, Kline Hill Partners Opportunity IV SPV LLC, and Rodgers Massey Revocable Living Trust for a total purchase price of $5.0 million. The Company has identified this as a related party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in connection with the Assignment Agreement, the Company also entered into the First Amendment to Warrant to Stock Purchase Agreements with the holders of the Series D-7 warrants. Pursuant to the terms of the agreement, the warrants to purchase 1,376,414 shares of Series D-7 preferred stock converted into warrants to purchase 656,630 shares of common stock (the “replacement warrants”). As a result of the warrant amendment, the Company reclassified the replacement warrants from equity to liability. The replacement warrants were remeasured to the fair value on the amendment effective date and the Company will record subsequent changes in fair value in other income (expense), net on the unaudited condensed consolidated statements of operations and comprehensive income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in October 2023, we completed the sale of our solar panel business to Maxeon, pursuant to the terms of the Disposal Agreement.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13" w:name="a_009"/>
      <w:bookmarkEnd w:id="13"/>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certain market risks in the ordinary course of our business. The Company monitors and manages these financial exposures as an integral part of its overall risk management program.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significant exposure to interest rate risk that could affect the balance sheet, statement of operations, and the statement of cash flows, as we do not have any outstanding variable rate debt as of October 1,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 and Major Customers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consists primarily of residential homeowners. We do not require collateral on our accounts receivable. Further, our accounts receivable are with individual homeowners and we are exposed to normal industry credit risks. We continually evaluate our reserves for potential credit losses and establish reserves for such losses.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 2023 and September 30, 2022, one customer accounted for 10% or more of the total accounts receivable, net balance.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and thirty-nine weeks ended October 1, 2023, zero and one customer accounted for 10% or more of the total revenues. For the three and nine months ended September 30, 2022, two customers accounted for 10% or more of total revenues.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14" w:name="a_010"/>
      <w:bookmarkEnd w:id="14"/>
      <w:r>
        <w:rPr>
          <w:rFonts w:ascii="Times New Roman;Times;Serif" w:hAnsi="Times New Roman;Times;Serif"/>
          <w:b/>
          <w:i w:val="false"/>
          <w:caps w:val="false"/>
          <w:smallCaps w:val="false"/>
          <w:sz w:val="20"/>
        </w:rPr>
        <w:t>ITEM 4.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(Disclosure Controls) within the meaning of Rules 13a-15(e) and 15d-15(e) of the Securities Exchange Act of 1934, as amended,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Securities and Exchange Commission’s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on Form 10-Q, we evaluated the effectiveness of the design and operation of our Disclosure Controls, which was done under the supervision and with the participation of our management, including our Chief Executive Officer and our Chief Financial Officer. Based on the evaluation of our Disclosure Controls, our Chief Executive Officer and Chief Financial Officer have concluded that, as of October 1, 2023, our Disclosure Controls were not effective due to a material weakness in the Company’s internal control over financial reporting as disclosed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Weaknesses in Internal Control Over Financial Reporting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for the years ended December 31, 2021 and 2020, and our consolidated financial statements for the year ended December 31, 2022, our management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The material weakness is as follows:</w:t>
      </w:r>
    </w:p>
    <w:p>
      <w:pPr>
        <w:pStyle w:val="TextBody"/>
        <w:shd w:fill="FFFFFF" w:val="clear"/>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do not have sufficient full-time accounting personnel, (i) to enable appropriate reviews over the financial close and reporting process, (ii) to allow for an appropriate segregation of duties, and (iii) with the requisite experience and technical accounting knowledge to identify, review and resolve complex accounting issues under generally accepted accounting principles in the United States (“GAAP”). Additionally, we did not adequately design and/or implement controls related to conducting a formal risk assessment process.</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 required to perform an evaluation of internal control over financial reporting as of December 31, 2021 and 2020 in accordance with the provisions of the Sarbanes-Oxley Act, nor were we required to do so as of December 31, 2022. Had such an evaluation been performed, additional control deficiencies may have been identified by the Company’s management, and those control deficiencies could have also represented one or more material weaknesses.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 to Remediate Material Weaknesses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its internal resources, to enhance its internal control environment and plans to take additional steps to remediate the material weaknesses. Although we plan to complete this remediation process as quickly as possible, we cannot at this time estimate how long it will take. We cannot assure you that the measures we have taken to date and may take in the future, will be sufficient to remediate the control deficiencies that led to our material weakness in internal control over financial reporting or that it will prevent or avoid potential future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secured revolving credit facility and other agreements, or other material adverse effects on our business, reputation, results of operations, financial condition or liquidity.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material weakness and remediation efforts described above, there were no changes in our internal control over financial reporting that occurred during the quarter to which this report relates, that have materially affected, or are reasonably likely to materially affect, our internal control over financial reporting.</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1"/>
      <w:bookmarkEnd w:id="15"/>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2"/>
      <w:bookmarkEnd w:id="16"/>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with respect to legal proceedings is set forth under Note 19 – Commitments and Contingencies, in the accompanying unaudited condensed consolidated financial statements in Part I, Item 1 of this Quarterly Report on Form 10-Q,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3"/>
      <w:bookmarkEnd w:id="17"/>
      <w:r>
        <w:rPr>
          <w:rFonts w:ascii="Times New Roman;Times;Serif" w:hAnsi="Times New Roman;Times;Serif"/>
          <w:b/>
          <w:i w:val="false"/>
          <w:caps w:val="false"/>
          <w:smallCaps w:val="false"/>
          <w:sz w:val="20"/>
        </w:rPr>
        <w:t>ITEM 1A.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together with all of the other information contained in this Quarterly Report on Form 10-Q, including our unaudited condensed consolidated financial statements and related notes appearing in Part I, Item 1 of this Quarterly Report on Form 10-Q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Businesses and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currently depends in part on the availability of rebates, tax credits and other financial incentives. The expiration, elimination or reduction of these rebates, credits or incentives or the ability to monetize them could adversely impact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IRA extended and modified prior law applicable to tax credits that are available with respect to solar energy systems. Under the IRA, the following credits are available: (i) a production tax credit under Code Section 44 (for facilities that begin construction before January 1, 2025) and Code Section 45Y (for facilities that begin construction between January 1, 2025 and the year that is four calendar years after the year in which certain U.S. greenhouse gas emissions percentages are met) (the “</w:t>
      </w:r>
      <w:r>
        <w:rPr>
          <w:rFonts w:ascii="Times New Roman;Times;Serif" w:hAnsi="Times New Roman;Times;Serif"/>
          <w:b/>
          <w:i w:val="false"/>
          <w:caps w:val="false"/>
          <w:smallCaps w:val="false"/>
          <w:sz w:val="20"/>
        </w:rPr>
        <w:t>PTC</w:t>
      </w:r>
      <w:r>
        <w:rPr>
          <w:rFonts w:ascii="Times New Roman;Times;Serif" w:hAnsi="Times New Roman;Times;Serif"/>
          <w:b w:val="false"/>
          <w:i w:val="false"/>
          <w:caps w:val="false"/>
          <w:smallCaps w:val="false"/>
          <w:sz w:val="20"/>
        </w:rPr>
        <w:t>”) in connection with the installation of certain solar facilities and energy storage technology, (ii) an investment tax credit under Code Section 48 (for facilities that begin construction before January 1, 2025) and Code Section 48E (for facilities that begin construction between January 1, 2025 and the year that is four calendar years after the year in which certain U.S. greenhouse gas emissions percentages are met) (the “</w:t>
      </w:r>
      <w:r>
        <w:rPr>
          <w:rFonts w:ascii="Times New Roman;Times;Serif" w:hAnsi="Times New Roman;Times;Serif"/>
          <w:b/>
          <w:i w:val="false"/>
          <w:caps w:val="false"/>
          <w:smallCaps w:val="false"/>
          <w:sz w:val="20"/>
        </w:rPr>
        <w:t>ITC</w:t>
      </w:r>
      <w:r>
        <w:rPr>
          <w:rFonts w:ascii="Times New Roman;Times;Serif" w:hAnsi="Times New Roman;Times;Serif"/>
          <w:b w:val="false"/>
          <w:i w:val="false"/>
          <w:caps w:val="false"/>
          <w:smallCaps w:val="false"/>
          <w:sz w:val="20"/>
        </w:rPr>
        <w:t>”) in connection with the installation of certain solar facilities and energy storage technology, and (iii) a residential clean energy credit (the “</w:t>
      </w:r>
      <w:r>
        <w:rPr>
          <w:rFonts w:ascii="Times New Roman;Times;Serif" w:hAnsi="Times New Roman;Times;Serif"/>
          <w:b/>
          <w:i w:val="false"/>
          <w:caps w:val="false"/>
          <w:smallCaps w:val="false"/>
          <w:sz w:val="20"/>
        </w:rPr>
        <w:t>Section 25D Credit</w:t>
      </w:r>
      <w:r>
        <w:rPr>
          <w:rFonts w:ascii="Times New Roman;Times;Serif" w:hAnsi="Times New Roman;Times;Serif"/>
          <w:b w:val="false"/>
          <w:i w:val="false"/>
          <w:caps w:val="false"/>
          <w:smallCaps w:val="false"/>
          <w:sz w:val="20"/>
        </w:rPr>
        <w:t>”) in connection with the installation of property that uses solar energy to generate electricity for residential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IRA, the PTC for solar facilities had phased out and was no longer available. The IRA reinstated the PTC for solar facilities. The PTC available to a taxpayer in a taxable year is equal to a certain rate multiplied by the kilowatt hours of electricity produced by the taxpayer from solar energy at a facility owned by it and sold to an unrelated party during that taxable year. The base rate for the PTC is 0.3 cents. This rate is increased to 1.5 cents for projects that (i) have a maximum net output of less than one MW AC, (ii) begin construction before January 29, 2023, or (iii) meet certain prevailing wage and apprenticeship requirements. It also may be increased for projects that include a certain percentage of components that were produced in the United States, projects that are located in certain energy communities, and projects that are located in low-income communities.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ITC available to a taxpayer in a taxable year is equal to the “energy percentage” of the basis of “energy property” placed in service by the taxpayer during that taxable year. “Energy property” includes equipment that uses solar energy to generate electricity (including structural components that are necessary to the functioning of a solar facility as a whole) and certain energy storage systems (including batteries included as part of or adjacent to a solar facility). The base “energy percentage” for the ITC is 6%. This energy percentage is increased to 30% for projects that (i) have a maximum net output of less than one MW AC, (ii) begin construction before January 29, 2023, or (iii) meet certain prevailing wage and apprenticeship requirements. It also may be increased for projects that include a certain percentage of components that were produced in the United States, projects that are located in certain energy communities, and projects that are located in low-income communities. ITCs are subject to recapture if, during the five-year period after a facility is placed in service, the facility is sold, exchanged, involuntarily converted, or ceases its business usage. If the event that causes such recapture occurs within the first year after a project is placed in service, 100% of the ITCs will be recaptured. The recapture percentage is reduced 20% for each subsequent year. Historically, we have utilized the ITC when available for both residential and commercial leases and power purchase agreements, based on ownership of the solar energy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25D Credit available to a taxpayer is equal to the “applicable percentage” of expenditures for property that uses solar energy to generate electricity for use in a dwelling unit used as a residence by the taxpayer. The applicable percentage is 26% for such systems that are placed in service before January 1, 2022, 30% for such systems that are placed in service after December 31, 2021 and before January 1, 2033, 26% for such systems that are placed in service in 2033, and 22% for such systems that are placed in service in 2034. The Section 25D Credit is scheduled to expire effective January 1, 2035. Although it is unlikely that Complete Solaria would qualify for the Section 25D Credit, the availability of the Section 25D Credit may impact the prices of its solar energy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in, eliminations of, or expirations of, governmental incentives could adversely impact results of operations and ability to compete in this industry by increasing the cost of capital, causing us to increase the prices of our energy and solar energy systems and reduce the size of our addressable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regulations and policies and changes to these regulations and policies may present technical, regulatory, and economic barriers to the purchase and use of solar power products, which may significantly reduce demand for our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electric generation products is heavily influenced by federal, state and local government laws, regulations and policies concerning the electric utility industry in the United States and abroad, as well as policies promulgated by electric utilities. These regulations and policies often relate to electricity pricing and technical interconnection of customer-owned electricity generation, and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trade and local content laws,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United States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Any new regulations or policies pertaining our solar power products may result in significant additional expenses for our customers, which could cause a significant reduction in demand for our solar power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net metering and related policies to offer competitive pricing to customers in many of our current markets and changes to net metering policies may significantly reduce demand for electricity from residential solar energy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is one of several key policies that have enabled the growth of distributed generation solar energy systems in the United States,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California, the California Public Utilities Commission (“</w:t>
      </w:r>
      <w:r>
        <w:rPr>
          <w:rFonts w:ascii="Times New Roman;Times;Serif" w:hAnsi="Times New Roman;Times;Serif"/>
          <w:b/>
          <w:i w:val="false"/>
          <w:caps w:val="false"/>
          <w:smallCaps w:val="false"/>
          <w:sz w:val="20"/>
        </w:rPr>
        <w:t>CPUC</w:t>
      </w:r>
      <w:r>
        <w:rPr>
          <w:rFonts w:ascii="Times New Roman;Times;Serif" w:hAnsi="Times New Roman;Times;Serif"/>
          <w:b w:val="false"/>
          <w:i w:val="false"/>
          <w:caps w:val="false"/>
          <w:smallCaps w:val="false"/>
          <w:sz w:val="20"/>
        </w:rPr>
        <w:t>”) issued an order in 2016 retaining retail-based net metering credits for residential customers of California’s major utilities as part of Net Energy Metering 2.0 (“</w:t>
      </w:r>
      <w:r>
        <w:rPr>
          <w:rFonts w:ascii="Times New Roman;Times;Serif" w:hAnsi="Times New Roman;Times;Serif"/>
          <w:b/>
          <w:i w:val="false"/>
          <w:caps w:val="false"/>
          <w:smallCaps w:val="false"/>
          <w:sz w:val="20"/>
        </w:rPr>
        <w:t>NEM 2.0</w:t>
      </w:r>
      <w:r>
        <w:rPr>
          <w:rFonts w:ascii="Times New Roman;Times;Serif" w:hAnsi="Times New Roman;Times;Serif"/>
          <w:b w:val="false"/>
          <w:i w:val="false"/>
          <w:caps w:val="false"/>
          <w:smallCaps w:val="false"/>
          <w:sz w:val="20"/>
        </w:rPr>
        <w:t>”). Under NEM 2.0, new distributed generation customers receive the retail rate for electricity exported to the grid, less certain non-bypassable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Times;Serif" w:hAnsi="Times New Roman;Times;Serif"/>
          <w:b/>
          <w:i w:val="false"/>
          <w:caps w:val="false"/>
          <w:smallCaps w:val="false"/>
          <w:sz w:val="20"/>
        </w:rPr>
        <w:t>NEM 3.0</w:t>
      </w:r>
      <w:r>
        <w:rPr>
          <w:rFonts w:ascii="Times New Roman;Times;Serif" w:hAnsi="Times New Roman;Times;Serif"/>
          <w:b w:val="false"/>
          <w:i w:val="false"/>
          <w:caps w:val="false"/>
          <w:smallCaps w:val="false"/>
          <w:sz w:val="20"/>
        </w:rPr>
        <w:t>”), also referred to by the CPUC as the NEM 2.0 successor tariff. NEM 3.0 was finalized on December 15, 2022 and will include several changes from previous net metering plans. There will be changes that impact the amount that homeowners with solar power will be able to recuperate when selling excess energy back to the utility grid. With NEM 3.0, the value of the credits for net exports will be tied to the state’s 2022 Distributed Energy Resources Avoided Cost Calculator Documentation (“</w:t>
      </w:r>
      <w:r>
        <w:rPr>
          <w:rFonts w:ascii="Times New Roman;Times;Serif" w:hAnsi="Times New Roman;Times;Serif"/>
          <w:b/>
          <w:i w:val="false"/>
          <w:caps w:val="false"/>
          <w:smallCaps w:val="false"/>
          <w:sz w:val="20"/>
        </w:rPr>
        <w:t>ACC</w:t>
      </w:r>
      <w:r>
        <w:rPr>
          <w:rFonts w:ascii="Times New Roman;Times;Serif" w:hAnsi="Times New Roman;Times;Serif"/>
          <w:b w:val="false"/>
          <w:i w:val="false"/>
          <w:caps w:val="false"/>
          <w:smallCaps w:val="false"/>
          <w:sz w:val="20"/>
        </w:rPr>
        <w:t>”). Another significant change with NEM 3.0 will be applied to the netting period: the time period over which the utilities measure the clean energy being imported or exported. In general, longer netting periods have typically been advantageous for solar power customers because any consumption can be offset with production. NEM 3.0 will instead measure energy using instantaneous netting, which means interval netting approximately every 15 minutes. This will lead to more NEM customers’ electricity registering as exports, now valued at the new, lower ACC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solar panels, inverters and other system components from a limited number of suppliers, which makes us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are a limited number of inverter suppliers. Once we design a system for use with a particular inverter, if that type of inverter is not readily available at an anticipated price, we may incur additional delay and expense to redesign the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efforts to obtain components from multiple sources whenever possible, many suppliers may be single-source suppliers of certain components. If we are not able to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its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effectively compete in the markets in which the company operates.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substantially focuses on solar service agreements and transactions with residential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solar service agreements and transactions with residential customers. Our energy system sales to homeowners utilize power purchase agreements (“</w:t>
      </w:r>
      <w:r>
        <w:rPr>
          <w:rFonts w:ascii="Times New Roman;Times;Serif" w:hAnsi="Times New Roman;Times;Serif"/>
          <w:b/>
          <w:i w:val="false"/>
          <w:caps w:val="false"/>
          <w:smallCaps w:val="false"/>
          <w:sz w:val="20"/>
        </w:rPr>
        <w:t>PPAs</w:t>
      </w:r>
      <w:r>
        <w:rPr>
          <w:rFonts w:ascii="Times New Roman;Times;Serif" w:hAnsi="Times New Roman;Times;Serif"/>
          <w:b w:val="false"/>
          <w:i w:val="false"/>
          <w:caps w:val="false"/>
          <w:smallCaps w:val="false"/>
          <w:sz w:val="20"/>
        </w:rPr>
        <w:t>”), leases, loans and other products and services. We currently offer PPAs and leases through Sunrun, Inc., EverBright, LLC, Sunnova Energy International, and OakStar Bank. If we were to be unable to arrange new or alternative methods of financing for PPAs and leases on favorable terms, our business, financial condition, results of operations and prospects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international trade policies, tariffs, or trade disputes could significantly and adversely affect our business, revenues, margins, results of operations,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2018, safeguard tariffs on imported solar cells and modules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Times;Serif" w:hAnsi="Times New Roman;Times;Serif"/>
          <w:b/>
          <w:i w:val="false"/>
          <w:caps w:val="false"/>
          <w:smallCaps w:val="false"/>
          <w:sz w:val="20"/>
        </w:rPr>
        <w:t>International Trade Commission</w:t>
      </w:r>
      <w:r>
        <w:rPr>
          <w:rFonts w:ascii="Times New Roman;Times;Serif" w:hAnsi="Times New Roman;Times;Serif"/>
          <w:b w:val="false"/>
          <w:i w:val="false"/>
          <w:caps w:val="false"/>
          <w:smallCaps w:val="false"/>
          <w:sz w:val="20"/>
        </w:rPr>
        <w:t>”). Since 2021, modules are subject to a tariff rate of 15%. Cells are subjected to a tariff-rate quota, under which the first 2.5 GW of cell imports each year will be exempt from tariffs; and cells imported after the 2.5 GW quota has been reached will be subject to the same 30% tariff as modules in the first year, with the same 5% decline in each of the three subsequent years. The tariff-free cell quota applies globally, without any allocation by country or region.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tariffs could materially and adversely affect our business and results of operations. While solar cells and modules based on interdigitated back contact technology were granted exclusion from these safeguard tariffs on September 19, 2018, our solar products based on other technologies continue to be subject to the safeguard tariffs. Although we are actively engaged in efforts to mitigate the effect of these tariffs, there is no guarantee that these efforts will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surrounding the implications of existing tariffs affecting the U.S. solar market and potential trade tensions between the United States and other countries is likely to cause market volatility, price fluctuations, supply shortages, and project delays, any of which could harm our business, and the pursuit of mitigating actions may divert substantial resources from other projects. 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the company’s solar power products and greatly reduce our competitive advantage.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operations and growth effectively, we may be unable to execute our business plan, maintain high levels of customer service or adequately address competitive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recent periods as measured by our number of customers; we intend to continue efforts to expand our business within existing and new markets. This growth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current and planned operations, personnel, information technology and other systems and procedures might be inadequate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international activities and customers in the European Union, and plans to continue these efforts, which subjects us to additional business risks, including logistical and compliance related complexity.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our sales are made to customers outside of the United States, and a substantial portion of our supply agreements are with supply and equipment vendors located outside of the United States. We have solar cell and module production lines located at our outsourced manufacturing facilities in Thailand, Vietnam, and India. We are also considering other manufacturing locations.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we face in conducting business internationally include:</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multiple, conflicting and changing laws and regulations, export and import restrictions, employment laws, data protection laws, environmental protection, regulatory requirements, international trade agreements, and other government approvals, permits and licenses;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7"/>
        <w:gridCol w:w="9940"/>
      </w:tblGrid>
      <w:tr>
        <w:trPr/>
        <w:tc>
          <w:tcPr>
            <w:tcW w:w="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difficulties and costs in staffing and managing foreign operations as well as cultural differences;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potentially adverse tax consequences associated with current, future or deemed permanent establishment of operations in multiple countries;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relatively uncertain legal systems, including potentially limited protection for intellectual property rights, and laws, changes in the governmental incentives that we rely on, regulations and policies which impose additional restrictions on the ability of foreign companies to conduct business in certain countries or otherwise place them at a competitive disadvantage in relation to domestic companies;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8"/>
        <w:gridCol w:w="9902"/>
      </w:tblGrid>
      <w:tr>
        <w:trPr/>
        <w:tc>
          <w:tcPr>
            <w:tcW w:w="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inadequate local infrastructure and developing telecommunications infrastructures;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risks, such as longer sales and payment cycles and greater difficulty collecting accounts receivable;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currency fluctuations, government-fixed foreign exchange rates, the effects of currency hedging activity, and the potential inability to hedge currency fluctuations;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instability, including wars, acts of terrorism, political unrest, boycotts, curtailments of trade and other business restrictions;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 barriers such as export requirements, tariffs, taxes and other restrictions and expenses, which could increase the prices of our products and make the company less competitive in some countries;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liabilities associated with compliance with laws (for example, the Foreign Corrupt Practices Act in the United States and similar laws outside of the United States).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organizational structure involving entities globally. This increases the potential impact of adverse changes in laws, rules and regulations affecting the free flow of goods and personnel, and therefore heightens some of the risks noted above. Further, this structure requires us to effectively manage our international inventory and warehouses. If we fail to do so, our shipping movements may not correspond with product demand and flow. Unsettled intercompany balances between entities could result, if changes in law, regulations or related interpretations occur in adverse tax or other consequences that affect capital structure, intercompany interest rates and legal structure. If we are unable to successfully manage any such risks, any one or more could materially and negatively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and may be unable to achieve or sustain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and had an accumulated deficit of $327.3 million and $85.4 million as of October 1, 2023 and December 31, 2022, respectively.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696"/>
        <w:gridCol w:w="9354"/>
      </w:tblGrid>
      <w:tr>
        <w:trPr/>
        <w:tc>
          <w:tcPr>
            <w:tcW w:w="15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pPr>
            <w:r>
              <w:rPr/>
              <w:t>●</w:t>
            </w:r>
          </w:p>
        </w:tc>
        <w:tc>
          <w:tcPr>
            <w:tcW w:w="93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the customer base;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97"/>
        <w:gridCol w:w="9720"/>
      </w:tblGrid>
      <w:tr>
        <w:trPr/>
        <w:tc>
          <w:tcPr>
            <w:tcW w:w="8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w:t>
            </w:r>
          </w:p>
        </w:tc>
        <w:tc>
          <w:tcPr>
            <w:tcW w:w="9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or further lowering the cost of capital;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0"/>
        <w:gridCol w:w="9814"/>
      </w:tblGrid>
      <w:tr>
        <w:trPr/>
        <w:tc>
          <w:tcPr>
            <w:tcW w:w="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cost of components for our solar service offerings;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68"/>
        <w:gridCol w:w="9755"/>
      </w:tblGrid>
      <w:tr>
        <w:trPr/>
        <w:tc>
          <w:tcPr>
            <w:tcW w:w="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and maintaining our channel partner network;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4"/>
        <w:gridCol w:w="9748"/>
      </w:tblGrid>
      <w:tr>
        <w:trPr/>
        <w:tc>
          <w:tcPr>
            <w:tcW w:w="8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w:t>
            </w:r>
          </w:p>
        </w:tc>
        <w:tc>
          <w:tcPr>
            <w:tcW w:w="9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our direct-to-consumer business to scale;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operating costs by lowering customer acquisition costs and optimizing our design and installation processes and supply chain logistics.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do achieve profitability, we may be unable to sustain or increase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material drop in the retail price of utility-generated electricity or electricity from other sources could adversely impact our ability to attract customers which would harm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 significant number of new power generation plants, including nuclear, coal, natural gas or renewable energy technologies;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79"/>
        <w:gridCol w:w="9864"/>
      </w:tblGrid>
      <w:tr>
        <w:trPr/>
        <w:tc>
          <w:tcPr>
            <w:tcW w:w="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additional electric transmission and distribution lines;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reduction in the price of natural gas or other natural resources as a result of new drilling techniques or other technological developments, a relaxation of associated regulatory standards, or broader economic or policy developments;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energy conservation technologies and public initiatives to reduce electricity consumption;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subsidies impacting electricity prices, including in connection with electricity generation and transmission;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8"/>
        <w:gridCol w:w="9878"/>
      </w:tblGrid>
      <w:tr>
        <w:trPr/>
        <w:tc>
          <w:tcPr>
            <w:tcW w:w="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w:t>
            </w:r>
          </w:p>
        </w:tc>
        <w:tc>
          <w:tcPr>
            <w:tcW w:w="98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new energy technologies that provide less expensive energy.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both traditional energy companies and renewable energy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solar energy and renewable energy industries are both highly competitive and continually evolving as participants strive to distinguish themselves within their markets and compete with large utilities. We believe that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a majority of utilities’ sources of electricity is non-solar, which may allow utilities to sell electricity more cheaply than electricity generated by our solar energy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concentrated in certain markets including California, putting us at risk of region-specific disruptions.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 2023, a substantial portion of our installations were in California and we expect much of its near-term future growth to occur in California, further concentrating our customer base and operational infrastructure. Accordingly, our business and results of operations are particularly susceptible to adverse economic, regulatory, political, weather and other conditions in this market and in other markets that may become similarly concentrated. We may not have adequate insurance, including business interruption insurance, to compensate for losses that may occur from any such significant events. A significant natural disaster could have a material adverse impact on our business, results of operations and financial condition. In addition, acts of terrorism or malicious computer viruses could cause disruptions in our business, our partners’ businesses or the economy as a whole. To the extent that these disruptions result in delays or cancellations of installations or the deployment of solar service offerings, our business, results of operations and financial condition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depends on the widespread adoption of solar power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distributed residential solar energy market is at a relatively early stage of development in comparison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be unsuccessful in broadening our customer base through origination of solar service agreements and related solar energy systems and energy storage systems within its current markets or in new markets we may enter.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may affect the demand for solar energy systems, including, but not limited to, the following:</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substance and magnitude of solar support programs including government targets, subsidies, incentives, renewable portfolio standards and residential net metering rules;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pricing of other conventional and non-renewable energy sources, such as natural gas, coal, oil and other fossil fuels, wind, utility-scale solar, nuclear, geothermal and biomass;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reliability and availability of energy generated by solar energy systems compared to conventional and other non-solar renewable energy sources;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6"/>
        <w:gridCol w:w="9782"/>
      </w:tblGrid>
      <w:tr>
        <w:trPr/>
        <w:tc>
          <w:tcPr>
            <w:tcW w:w="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w:t>
            </w:r>
          </w:p>
        </w:tc>
        <w:tc>
          <w:tcPr>
            <w:tcW w:w="97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and the level of interest rates.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seasonal trends, poor weather, labor shortages, and construction cycles.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industry-specific seasonal fluctuations. In the United States, many customers make purchasing decisions towards the end of the year in order to take advantage of tax credits. In addition, sales in the new home development market are often tied to construction market demands, which tend to follow national trends in construction, including declining sales during cold weather months. For example, revenue increased due to fulfillment of delayed installations experienced in the first quarter of 2023 due to unusual inclement California weather in the fourth quarter of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ongoing COVID-19 pandemic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COVID-19 pandemic has resulted in and may continue to result in widespread adverse impacts on the global economy. We have experienced some resulting disruptions to business operations as the COVID-19 virus has continued to evolve and circulate through the states and U.S. territories in which the company operates. We, along with our dealers, modified certain business and workforce practices (including those related to new contract origination, installation and servicing of solar energy systems and employee work locations) to conform to government restrictions and best practices encouraged by governmental and regulatory authorities. Such modifications have allowed our dealers to continue to install and the company to continue to service solar energy systems, but may also disrupt operations, impede productivity or otherwise be ineffective in the future. If there are additional outbreaks of the COVID-19 virus or other viruses or more stringent health and safety guidelines are adopted, our ability, and the ability of our dealers to continue performing installations and service calls may be adversely impacted. A significant or extended decline in new contract origination may have a material adverse effect on our business, cash flows, liquidity,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considerable uncertainty regarding the extent and duration of governmental and other measures implemented to try to slow the spread of the COVID-19 virus, such as large-scale travel bans and restrictions, border closures, quarantines, shelter-in-place orders and business and government shutdowns. We have seen delays in most jurisdictions from whom it must receive permission to operate for its solar energy systems to be placed in service. Worsening economic conditions could result in less favorable outcomes over time, which would impact future financial performance. Further, the effects of the economic downturn associated with the COVID-19 pandemic may increase unemployment and reduce consumer credit ratings and credit availability, which may adversely affect new customer origination and existing customers’ ability to make payments on their solar service agreements. Periods of high unemployment and a lack of availability of credit may lead to increased delinquency and default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full impact the COVID-19 pandemic or the significant disruption and volatility currently being experienced in the capital markets will have on our business, cash flows, liquidity, financial condition and results of operations at this time due to numerous uncertainties. The ultimate impact will depend on future developments, including, among other things, the ultimate duration of the COVID-19 virus, the distribution, acceptance and efficacy of the vaccine, the depth and duration of the economic downturn and other economic effects of the COVID-19 pandemic, the consequences of governmental and other measures designed to prevent the spread of the COVID-19 virus, actions taken by governmental authorities, customers, dealers and other third parties, our ability and the ability of our customers, potential customers and dealers to adapt to operating in a changed environment and the timing and extent to which normal economic and operating conditions resume.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Natural disasters, terrorist activities, political unrest, economic volatility, and other outbreaks could disrupt our delivery and operations, which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United States and other countries across the globe with significant disruption to financial markets. We have outsourced product development and software engineering in Ukraine and we may potentially indirectly be adversely impacted any significant disruption it has caused and may continue to escalate. Any one or more of these events may impede our operation and delivery efforts and adversely affect sales results, or even for a prolonged period of time, which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a limited number of customers and sales contracts for a significant portion of revenues, and the loss of any customer or cancellation of any contract may cause significant fluctuations or declines in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2020, 2021 and 2022, our top customer, Sunrun Inc., accounted for 32%, 36%, and 37% of our total revenues from continuing operations, respectively. For the three quarters ended October 1, 2023, no customer accounted for greater than 10% of our total revenues from continuing operations. We anticipate that our dependence on a limited number of customers may continue for the foreseeable future. As a result of customer concentration, our financial performance may fluctuate significantly from period to period based, among others, on exogenous circumstances related to its clients. In addition, any one of the following events may materially adversely affect cash flows, revenues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reduction, delay or cancellation of orders from one or more significant customers;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of one or more significant customers and failure to identify additional or replacement customers;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9"/>
        <w:gridCol w:w="9889"/>
      </w:tblGrid>
      <w:tr>
        <w:trPr/>
        <w:tc>
          <w:tcPr>
            <w:tcW w:w="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w:t>
            </w:r>
          </w:p>
        </w:tc>
        <w:tc>
          <w:tcPr>
            <w:tcW w:w="98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any significant customers to make timely payment for our products;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customers becoming insolvent or having difficulties meeting their financial obligations for any reason.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credit risk of customers and payment delinquencies on its accounts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customer defaults have been immaterial to date, we expect that the risk of customer defaults may increase as we grow our business. If we experience increased customer credit defaults, our revenue and our ability to raise new investment funds could be adversely affected. If economic conditions worsen, certain of our customers may face liquidity concerns and may be unable to satisfy their payment obligations to us on a timely basis or at all, which could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the anticipated benefits of past or future acquisitions, and integration of these acquisitions may disrupt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we acquired The Solaria Corporation, after which Complete Solar was renamed “Complete Solaria, Inc.” We subsequently divested from this business and recorded an impairment loss of $147.5 million in September 2023.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 has numerous risks, including, but not limited to, the following:</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assimilating the operations and personnel of the acquired company;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effectively integrating the acquired technologies or products with current products and technologies;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6"/>
        <w:gridCol w:w="9941"/>
      </w:tblGrid>
      <w:tr>
        <w:trPr/>
        <w:tc>
          <w:tcPr>
            <w:tcW w:w="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maintaining controls, procedures and policies during the transition and integration;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 of ongoing business and distraction of management and employees from other opportunities and challenges due to integration issues;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integrating the acquired company’s accounting, management information and other administrative systems;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8"/>
        <w:gridCol w:w="9902"/>
      </w:tblGrid>
      <w:tr>
        <w:trPr/>
        <w:tc>
          <w:tcPr>
            <w:tcW w:w="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technical and managerial personnel of the acquired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9"/>
        <w:gridCol w:w="9938"/>
      </w:tblGrid>
      <w:tr>
        <w:trPr/>
        <w:tc>
          <w:tcPr>
            <w:tcW w:w="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customers, vendors, and other business partners of the acquired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9"/>
        <w:gridCol w:w="9938"/>
      </w:tblGrid>
      <w:tr>
        <w:trPr/>
        <w:tc>
          <w:tcPr>
            <w:tcW w:w="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achieve the financial and strategic goals for the acquired and combined businesses;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incurring acquisition-related costs or amortization costs for acquired intangible assets that could impact operating results;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due diligence processes to identify significant issues with product quality, legal and financial liabilities, among other things;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6"/>
        <w:gridCol w:w="9893"/>
      </w:tblGrid>
      <w:tr>
        <w:trPr/>
        <w:tc>
          <w:tcPr>
            <w:tcW w:w="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assert that internal controls over financial reporting are effective;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or obtain in a timely manner, approvals from governmental authorities, which could delay or prevent such acquisitions.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intellectual property and may face intellectual property infringement claims that could be time-consuming and costly to defend and could result in the loss of significant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and our customers, or the third parties with whom we work may receive letters, including letters from other third parties, and may become subject to lawsuits with such third parties alleging infringement of their patents. Additionally, we are required by contract to indemnify some customers and third- party intellectual property providers for certain costs and damages of patent infringement in circumstances where our products are a factor creating the customer’s or these third-party providers’ infringement liability. This practice may subject us to significant indemnification claims by customers and third-party providers. We cannot assure investors that indemnification claims will not be made or that these claims will not harm our business, operating results or financial condition. Intellectual property litigation is very expensive and time-consuming and could divert management’s attention from our business and could have a material adverse effect on our business, operating results or financial condition. If there is a successful claim of infringement against us, our customers or our third-party intellectual property providers, we may be required to pay substantial damages to the party claiming infringement, stop selling products or using technology that contains the allegedly infringing intellectual property, or enter into royalty or license agreements that may not be available on acceptable terms, if at all. Parties making infringement claims may also be able to bring an action before the International Trade Commission that could result in an order stopping the importation into the United States of our solar products. Any of these judgments could materially damage our business. We may have to develop non-infringing technology, and our failure in doing so or in obtaining licenses to the proprietary rights on a timely basis could have a material adverse effect on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file claims against other parties for infringing its intellectual property that may be costly and may not be resolved in its favor.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technology or improvements in distributed solar energy generation and related technologies or components may materially adversely affect demand for our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complex and evolving data protection laws. Many of these laws and regulations are subject to change and uncertain interpretation and could result in claims, increased cost of operations or otherwise harm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personal privacy and data security have become significant issues and the subject of rapidly evolving regulation in the United States.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Times;Serif" w:hAnsi="Times New Roman;Times;Serif"/>
          <w:b/>
          <w:i w:val="false"/>
          <w:caps w:val="false"/>
          <w:smallCaps w:val="false"/>
          <w:sz w:val="20"/>
        </w:rPr>
        <w:t>CCPA</w:t>
      </w:r>
      <w:r>
        <w:rPr>
          <w:rFonts w:ascii="Times New Roman;Times;Serif" w:hAnsi="Times New Roman;Times;Serif"/>
          <w:b w:val="false"/>
          <w:i w:val="false"/>
          <w:caps w:val="false"/>
          <w:smallCaps w:val="false"/>
          <w:sz w:val="20"/>
        </w:rPr>
        <w:t>”) and California voters recently approved the California Privacy Rights Act (“</w:t>
      </w:r>
      <w:r>
        <w:rPr>
          <w:rFonts w:ascii="Times New Roman;Times;Serif" w:hAnsi="Times New Roman;Times;Serif"/>
          <w:b/>
          <w:i w:val="false"/>
          <w:caps w:val="false"/>
          <w:smallCaps w:val="false"/>
          <w:sz w:val="20"/>
        </w:rPr>
        <w:t>CPRA</w:t>
      </w:r>
      <w:r>
        <w:rPr>
          <w:rFonts w:ascii="Times New Roman;Times;Serif" w:hAnsi="Times New Roman;Times;Serif"/>
          <w:b w:val="false"/>
          <w:i w:val="false"/>
          <w:caps w:val="false"/>
          <w:smallCaps w:val="false"/>
          <w:sz w:val="20"/>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Complete Solaria’s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United States, an increasing number of laws, regulations, and industry standards may govern data privacy and security. For example, the European Union’s General Data Protection Regulation (“</w:t>
      </w:r>
      <w:r>
        <w:rPr>
          <w:rFonts w:ascii="Times New Roman;Times;Serif" w:hAnsi="Times New Roman;Times;Serif"/>
          <w:b/>
          <w:i w:val="false"/>
          <w:caps w:val="false"/>
          <w:smallCaps w:val="false"/>
          <w:sz w:val="20"/>
        </w:rPr>
        <w:t>EU GDPR</w:t>
      </w:r>
      <w:r>
        <w:rPr>
          <w:rFonts w:ascii="Times New Roman;Times;Serif" w:hAnsi="Times New Roman;Times;Serif"/>
          <w:b w:val="false"/>
          <w:i w:val="false"/>
          <w:caps w:val="false"/>
          <w:smallCaps w:val="false"/>
          <w:sz w:val="20"/>
        </w:rPr>
        <w:t>”) and the United Kingdom’s GDPR (“</w:t>
      </w:r>
      <w:r>
        <w:rPr>
          <w:rFonts w:ascii="Times New Roman;Times;Serif" w:hAnsi="Times New Roman;Times;Serif"/>
          <w:b/>
          <w:i w:val="false"/>
          <w:caps w:val="false"/>
          <w:smallCaps w:val="false"/>
          <w:sz w:val="20"/>
        </w:rPr>
        <w:t>UK GDPR</w:t>
      </w:r>
      <w:r>
        <w:rPr>
          <w:rFonts w:ascii="Times New Roman;Times;Serif" w:hAnsi="Times New Roman;Times;Serif"/>
          <w:b w:val="false"/>
          <w:i w:val="false"/>
          <w:caps w:val="false"/>
          <w:smallCaps w:val="false"/>
          <w:sz w:val="20"/>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Times;Serif" w:hAnsi="Times New Roman;Times;Serif"/>
          <w:b/>
          <w:i w:val="false"/>
          <w:caps w:val="false"/>
          <w:smallCaps w:val="false"/>
          <w:sz w:val="20"/>
        </w:rPr>
        <w:t>EEA</w:t>
      </w:r>
      <w:r>
        <w:rPr>
          <w:rFonts w:ascii="Times New Roman;Times;Serif" w:hAnsi="Times New Roman;Times;Serif"/>
          <w:b w:val="false"/>
          <w:i w:val="false"/>
          <w:caps w:val="false"/>
          <w:smallCaps w:val="false"/>
          <w:sz w:val="20"/>
        </w:rPr>
        <w:t>”) and the United Kingdom have significantly restricted the transfer of personal data to the United States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Complete Solaria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unauthorized access to or disclosure or theft of personal information we gather, store or use could harm our reputation and subject us to claims or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Complete Solaria takes precautions to provide for disaster recovery, the company’s ability to recover systems or data may be expensive and may interfere with normal operations. Also, although we obtain assurances from such third parties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we our suppliers or vendors and our dealers may be unable to anticipate these techniques or to implement adequate preventative or mitigation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The COVID-19 pandemic generally is increasing the attack surface available to criminals, as more companies and individuals work remotely and otherwise work online. Consequently, the risk of a cybersecurity incident suffered by us or our vendors or service providers is increased, and our investment in risk mitigations against cybersecurity incidents is evolving as the threat landscape changes.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laws and regulations relating to interactions by the company or its dealers with current or prospective residential customers could result in negative publicity, claims, investigations and litigation and adversely affect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solar service agreements and transactions with residential customers. We offer leases, loans and other products and services to consumers by contractors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Times;Serif" w:hAnsi="Times New Roman;Times;Serif"/>
          <w:b w:val="false"/>
          <w:i/>
          <w:caps w:val="false"/>
          <w:smallCaps w:val="false"/>
          <w:sz w:val="20"/>
        </w:rPr>
        <w:t>As sales to residential customers have grown, we have increasingly become subject to substantial financing and consumer protection laws and regulations.</w:t>
      </w:r>
      <w:r>
        <w:rPr>
          <w:rFonts w:ascii="Times New Roman;Times;Serif" w:hAnsi="Times New Roman;Times;Serif"/>
          <w:b w:val="false"/>
          <w:i w:val="false"/>
          <w:caps w:val="false"/>
          <w:smallCaps w:val="false"/>
          <w:sz w:val="20"/>
        </w:rPr>
        <w:t>” These laws and regulations are dynamic and subject to potentially differing interpretations and 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these requirements may be interpreted and applied in a manner inconsistent from one jurisdiction to another and may conflict with other rules or our practices or the practices of our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United States or other markets in which the company does or intends to do business could also attract negative publicity and harm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included in lawsuits brought by the consumer customers of certain contractors in our networks, citing claims based on the sales practices of these contractors. While we have paid only minimal damages to date,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introducing new services and product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our brand and reputation or change or loss of use of our brand could harm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significantly on our reputation for high-quality products, excellent customer service and the brand name “Complete Solaria”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to no longer use, lose the right to continue to use or if others use the “Complete Solaria”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the continuing contributions of key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the services of our key executive officers and the loss of services of any principal member of the management team could adversely affect operations. We are investing significant resources in developing new members of management as we complete our restructuring and strategic transformation. In connection with the recent merger with The Solaria Corporation, members of Complete Solar’s management team and Solaria’s management team are being integrated into one management team for Complete Solaria.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dealers or suppliers fail to hire and retain a sufficient number of employees and service providers in key functions, our growth and ability to timely complete customer projects and successfully manage customer accounts would be constrained.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either in response to the COVID-19 pandemic or otherwise, could also increase our dealers’ labor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ability to grow may fluctuate from quarter to quarter and year to year, which could make future performance difficult to predict and could cause operating results for a particular period to fall below expectations.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and its ability to grow are difficult to predict and may fluctuate significantly in the future. We have experienced seasonal and quarterly fluctuations in the past and expect to experience such fluctuations in the future. In addition to the other risks described in this “Risk Factors” section, the following factors could cause operating results to fluctuate:</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0"/>
        <w:gridCol w:w="9826"/>
      </w:tblGrid>
      <w:tr>
        <w:trPr/>
        <w:tc>
          <w:tcPr>
            <w:tcW w:w="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w:t>
            </w:r>
          </w:p>
        </w:tc>
        <w:tc>
          <w:tcPr>
            <w:tcW w:w="98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expiration or initiation of any governmental rebates or incentives;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fluctuations in customer demand for our solar energy services, solar energy systems and energy storage systems;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8"/>
        <w:gridCol w:w="9816"/>
      </w:tblGrid>
      <w:tr>
        <w:trPr/>
        <w:tc>
          <w:tcPr>
            <w:tcW w:w="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dealers’ ability to complete installations in a timely manner;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and our dealers’ ability to gain interconnection permission for an installed solar energy system from the relevant utility;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8"/>
        <w:gridCol w:w="9743"/>
      </w:tblGrid>
      <w:tr>
        <w:trPr/>
        <w:tc>
          <w:tcPr>
            <w:tcW w:w="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w:t>
            </w:r>
          </w:p>
        </w:tc>
        <w:tc>
          <w:tcPr>
            <w:tcW w:w="97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terms and costs of suitable financing;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timing of sales and potential decreases in value of SRECs;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continue to expand its operations and the amount and timing of expenditures related to this expansion;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significant acquisitions, strategic partnerships, joint ventures or capital-raising activities or commitments;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pricing policies or terms or those of competitors, including centralized electric utilities;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1"/>
        <w:gridCol w:w="9972"/>
      </w:tblGrid>
      <w:tr>
        <w:trPr/>
        <w:tc>
          <w:tcPr>
            <w:tcW w:w="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developments in competitors’ businesses, technology or the competitive landscape;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5"/>
        <w:gridCol w:w="9808"/>
      </w:tblGrid>
      <w:tr>
        <w:trPr/>
        <w:tc>
          <w:tcPr>
            <w:tcW w:w="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w:t>
            </w:r>
          </w:p>
        </w:tc>
        <w:tc>
          <w:tcPr>
            <w:tcW w:w="98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natural disasters or other weather or meteorological conditions.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or other reasons, the results of any prior quarterly or annual periods should not be relied upon as indications of our future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insurance on the terms of any available insurance coverage could be materially adversely affected by international, national, state or local events or company-specific events, as well as the financial condition of insurers.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policies cover legal and contractual liabilities arising out of bodily injury, personal injury or property damage to third parties and are subject to policy limits.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procures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Times;Serif" w:hAnsi="Times New Roman;Times;Serif"/>
          <w:b w:val="false"/>
          <w:i/>
          <w:caps w:val="false"/>
          <w:smallCaps w:val="false"/>
          <w:sz w:val="20"/>
        </w:rPr>
        <w:t>We may be required to file claims against other parties for infringing its intellectual property that may be costly and may not be resolved in our favor</w:t>
      </w:r>
      <w:r>
        <w:rPr>
          <w:rFonts w:ascii="Times New Roman;Times;Serif" w:hAnsi="Times New Roman;Times;Serif"/>
          <w:b w:val="false"/>
          <w:i w:val="false"/>
          <w:caps w:val="false"/>
          <w:smallCaps w:val="false"/>
          <w:sz w:val="20"/>
        </w:rPr>
        <w:t>.” We rely substantially upon trade secret laws and contractual restrictions to protect our proprietary rights, and, if these rights are not sufficiently protected, our ability to compete and generate revenue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sales to residential customers have grown, we have increasingly become subject to consumer protection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often required, at the request of our end customer, to undertake certain obligations such as: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468"/>
        <w:gridCol w:w="9633"/>
      </w:tblGrid>
      <w:tr>
        <w:trPr/>
        <w:tc>
          <w:tcPr>
            <w:tcW w:w="10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w:t>
            </w:r>
          </w:p>
        </w:tc>
        <w:tc>
          <w:tcPr>
            <w:tcW w:w="96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system output performance warranties;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system maintenance.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construction, cost overruns, delays, regulatory compliance and other contingencies, any of which could have a material adverse effect on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Times;Serif" w:hAnsi="Times New Roman;Times;Serif"/>
          <w:b/>
          <w:i w:val="false"/>
          <w:caps w:val="false"/>
          <w:smallCaps w:val="false"/>
          <w:sz w:val="20"/>
        </w:rPr>
        <w:t>CSLB</w:t>
      </w:r>
      <w:r>
        <w:rPr>
          <w:rFonts w:ascii="Times New Roman;Times;Serif" w:hAnsi="Times New Roman;Times;Serif"/>
          <w:b w:val="false"/>
          <w:i w:val="false"/>
          <w:caps w:val="false"/>
          <w:smallCaps w:val="false"/>
          <w:sz w:val="20"/>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causes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any failure to comply with electrical standards and manufacturer recommendations.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or our solar partners may face construction delays or cost overruns, which may adversely affect our or our solar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installation of solar energy systems, energy-storage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us and our homeowners and, as a result, could cause a significant reduction in demand for solar service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United States or other markets in which we do business could also attract negative publicity and harm our business, brand and reputation in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has identified conditions that raise substantial doubt about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concluded that there is substantial doubt about our ability to continue as a going concern. As discussed in the condensed consolidated financial statements, in Part I of this Quarterly Report on Form 10-Q, we have incurred net losses of $51.0 million and $73.4 million during the thirteen and thirty-nine weeks ended October 1, 2023, respectively, and net losses of $4.1 million and $10.8 million during the three and nine months ended September 30, 2022, respectively, and had an accumulated deficit of $327.3 million as of October 1, 2023. These conditions raise substantial doubt about our ability to continue as a going concern. Our ability to continue as a going concern requires that we obtain sufficient funding to meet our obligations and finance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adequate additional funding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 Failure to generate sufficient cash flows from operations, raise additional capital or reduce certain discretionary spending would have a material adverse effect on our ability to achieve our intended business objectives.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that we will need to raise additional funding to finance our operations. This additional financing may not be available on acceptable terms or at all. Failure to obtain this necessary capital when needed may force us to curtail planned programs or cease operations entirely.</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significant amounts of cash since inception. We expect to incur significant operating expenses as we continue to grow our business. We believe that our operating losses and negative operating cash flows will continue into the foreseeable future.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of $1.7 million as of October 1, 2023. Our cash position raises substantial doubt regarding our ability to continue as a going concern for 12 months following the issuance of the unaudited condensed consolidated financial statements. We will require substantial additional capital to continue operations. Such additional capital might not be available when we need it and our actual cash requirements might be greater than anticipated. We cannot be certain that additional capital will be available on attractive terms, if at all, when needed, which could be dilutive to stockholders, and our financial condition, results of operations, business and prospects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a material weakness in our internal controls over financial reporting.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for the years ended December 31, 2021 and 2020, and our consolidated financial statements for the year ended December 31, 2022, our management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The material weakness is as follows:</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do not have sufficient full-time accounting personnel, (i) to enable appropriate reviews over the financial close and reporting process, (ii) to allow for an appropriate segregation of duties, and (iii) with the requisite experience and technical accounting knowledge to identify, review and resolve complex accounting issues under generally accepted accounting principles in the United States (“GAAP”). Additionally, we did not adequately design and/or implement controls related to conducting a formal risk assessment process.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was not required to perform an evaluation of internal control over financial reporting as of December 31, 2021 and 2020 in accordance with the provisions of the Sarbanes-Oxley Act, nor were we required to do so as of December 31, 2022. Had such an evaluation been performed, additional control deficiencies may have been identified by Complete Solar’s management, and those control deficiencies could have also represented one or more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its internal resources, to enhance its internal control environment and plans to take additional steps to remediate the material weaknesses. Although we plan to complete this remediation process as quickly as possible, we cannot at this time estimate how long it will take. We cannot assure you that the measures we have taken to date and may take in the future, will be sufficient to remediate the control deficiencies that led to our material weakness in internal control over financial reporting or that it will prevent or avoid potential future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secured revolving credit facility and other agreements, or other material adverse effects on our business, reputation, results of operations, financial condition or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occupational safety and health requirements and best practices can be costly, and noncompliance with such requirements may result in potentially significant penalties, operational delays and adverse publicity.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under OSHA, DOT regulations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has benefited from the declining cost of solar energy system components and business may be harmed to the extent the cost of such components stabilize or increase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the solar energy systems we own,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claims against us could result in adverse publicity and potentially significant monetary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warranty costs may exceed the warranty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warranties that cover parts performance and labor to purchasers of our solar modules.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claims, legal proceedings that arise from normal business activities. In addition, from time to time, third parties may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other information and events pertaining to a particular matter. In our opinion, resolution of all current matters is not expected to have a material adverse impact on our business, financial condition or results of operations. However, depending on the nature and timing of any such controversy, an unfavorable resolution of a matter could materially affect our future business, financial condition or results of operations, or all of the foregoing, in a particular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management’s attention and affect our ability to attract and retain qualified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carryforwards and certain other tax attributes may be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w:t>
      </w:r>
      <w:r>
        <w:rPr>
          <w:rFonts w:ascii="Times New Roman;Times;Serif" w:hAnsi="Times New Roman;Times;Serif"/>
          <w:b/>
          <w:i w:val="false"/>
          <w:caps w:val="false"/>
          <w:smallCaps w:val="false"/>
          <w:sz w:val="20"/>
        </w:rPr>
        <w:t>NOL</w:t>
      </w:r>
      <w:r>
        <w:rPr>
          <w:rFonts w:ascii="Times New Roman;Times;Serif" w:hAnsi="Times New Roman;Times;Serif"/>
          <w:b w:val="false"/>
          <w:i w:val="false"/>
          <w:caps w:val="false"/>
          <w:smallCaps w:val="false"/>
          <w:sz w:val="20"/>
        </w:rPr>
        <w:t>”) carryforwards and other tax attributes may be subject to limitation under Sections 382 and 383 of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common stock in the public market by our shareholders could cause the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Certificate of Incorporation and Bylaws and provisions of the DGCL may delay or prevent an acquisition by a third party that could otherwise be in the interests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5"/>
        <w:gridCol w:w="9894"/>
      </w:tblGrid>
      <w:tr>
        <w:trPr/>
        <w:tc>
          <w:tcPr>
            <w:tcW w:w="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 notice requirements for stockholder proposals and director nominations;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limiting stockholders’ ability to call special meetings of stockholders and to take action by written consent;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business combinations with interested stockholders;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of our Certificate of Incorporation and Proposed Bylaws could discourage potential takeover attempts and reduce the price that investors might be willing to pay for the shares of our common stock in the future, which could reduce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provision of our Certificate of Incorporation requiring exclusive venue in the Court of Chancery in the State of Delaware and the federal district courts of the United States for certain types of lawsuits may have the effect of discouraging lawsuits against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w:t>
            </w:r>
          </w:p>
        </w:tc>
        <w:tc>
          <w:tcPr>
            <w:tcW w:w="9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derivative action or proceeding brought on behalf of us;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asserting a claim of breach of a duty (including any fiduciary duty) owed by any of our current or former directors, officers, stockholders, employees or agents to us or our stockholders;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asserting a claim against us or any of our current or former directors, officers, stockholders, employees or agents relating to any provision of the DGCL or our Certificate of Incorporation or the Bylaws or as to which the DGCL confers jurisdiction on the Court of Chancery of the State of Delaware;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will further provide that, unless otherwise consented to by us in writing to the selection of an alternative forum, the federal district courts of the United States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repurchase up to 6,720,000 shares of common stock from the investors with whom we entered into Forward Purchase Agreements in connection with the closing of the Business Combination, which would reduce the amount of cash available to us to fund our growth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entered into separate Forward Purchase Agreements with certain investors (together, the “</w:t>
      </w:r>
      <w:r>
        <w:rPr>
          <w:rFonts w:ascii="Times New Roman;Times;Serif" w:hAnsi="Times New Roman;Times;Serif"/>
          <w:b/>
          <w:i w:val="false"/>
          <w:caps w:val="false"/>
          <w:smallCaps w:val="false"/>
          <w:sz w:val="20"/>
        </w:rPr>
        <w:t>FPA Investors</w:t>
      </w:r>
      <w:r>
        <w:rPr>
          <w:rFonts w:ascii="Times New Roman;Times;Serif" w:hAnsi="Times New Roman;Times;Serif"/>
          <w:b w:val="false"/>
          <w:i w:val="false"/>
          <w:caps w:val="false"/>
          <w:smallCaps w:val="false"/>
          <w:sz w:val="20"/>
        </w:rPr>
        <w:t>”), pursuant to which FACT (now Complete Solaria following the Closing) agreed to purchase in the aggregate, on the date that is 24 months after the Closing Date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up to 6,720,000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hold some or all of the 6,720,000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Warrants may not be exercised at all or may be exercised on a cashless basis and we may not receive any cash proceeds from the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the Warrants may be higher than the prevailing market price of the underlying shares of common stock. The exercise price of the Warrants is subject to market conditions and may not be advantageous if the prevailing market price of the underlying shares of common stock is lower than the exercise price. The cash proceeds associated with the exercise of Warrants to purchase our common stock are contingent upon our stock price. The value of our common stock will fluctuate and may not align with the exercise price of the warrants at any given time. If the Warrants are “out of the money,” meaning the exercise price is higher than the market price of our common stock, there is a high likelihood that warrant holders may choose not to exercise their warrants. As a result, we may not receive any proceeds from the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with regard to the Private Warrants and Working Capital Warrants,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4"/>
      <w:bookmarkEnd w:id="18"/>
      <w:r>
        <w:rPr>
          <w:rFonts w:ascii="Times New Roman;Times;Serif" w:hAnsi="Times New Roman;Times;Serif"/>
          <w:b/>
          <w:i w:val="false"/>
          <w:caps w:val="false"/>
          <w:smallCaps w:val="false"/>
          <w:sz w:val="20"/>
        </w:rPr>
        <w:t>ITEM 2. UNREGISTERED SALES OF EQUITY SECURITIES, USE OF PROCEEDS AND ISSUER PURCHASES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5"/>
      <w:bookmarkEnd w:id="1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6"/>
      <w:bookmarkEnd w:id="20"/>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17"/>
      <w:bookmarkEnd w:id="21"/>
      <w:r>
        <w:rPr>
          <w:rFonts w:ascii="Times New Roman;Times;Serif" w:hAnsi="Times New Roman;Times;Serif"/>
          <w:b/>
          <w:i w:val="false"/>
          <w:caps w:val="false"/>
          <w:smallCaps w:val="false"/>
          <w:sz w:val="20"/>
        </w:rPr>
        <w:t>ITEM 5. 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18"/>
      <w:bookmarkEnd w:id="22"/>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4"/>
        <w:gridCol w:w="60"/>
        <w:gridCol w:w="6188"/>
        <w:gridCol w:w="60"/>
        <w:gridCol w:w="500"/>
        <w:gridCol w:w="60"/>
        <w:gridCol w:w="787"/>
        <w:gridCol w:w="60"/>
        <w:gridCol w:w="650"/>
        <w:gridCol w:w="60"/>
        <w:gridCol w:w="916"/>
      </w:tblGrid>
      <w:tr>
        <w:trPr/>
        <w:tc>
          <w:tcPr>
            <w:tcW w:w="86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618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tcMar>
              <w:bottom w:w="0" w:type="dxa"/>
            </w:tcMar>
            <w:vAlign w:val="center"/>
          </w:tcPr>
          <w:p>
            <w:pPr>
              <w:pStyle w:val="TableContents"/>
              <w:bidi w:val="0"/>
              <w:spacing w:before="0" w:after="283"/>
              <w:jc w:val="left"/>
              <w:rPr/>
            </w:pPr>
            <w:r>
              <w:rPr/>
              <w:t> </w:t>
            </w:r>
          </w:p>
        </w:tc>
        <w:tc>
          <w:tcPr>
            <w:tcW w:w="78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6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1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88" w:type="dxa"/>
            <w:tcBorders/>
            <w:shd w:fill="CCEEFF" w:val="clear"/>
            <w:tcMar>
              <w:bottom w:w="0" w:type="dxa"/>
            </w:tcMar>
            <w:vAlign w:val="center"/>
          </w:tcPr>
          <w:p>
            <w:pPr>
              <w:pStyle w:val="TableContents"/>
              <w:bidi w:val="0"/>
              <w:spacing w:before="0" w:after="283"/>
              <w:jc w:val="both"/>
              <w:rPr/>
            </w:pPr>
            <w:r>
              <w:fldChar w:fldCharType="begin"/>
            </w:r>
            <w:r>
              <w:rPr>
                <w:rStyle w:val="InternetLink"/>
              </w:rPr>
              <w:instrText xml:space="preserve"> HYPERLINK "http://www.sec.gov/Archives/edgar/data/1838987/000119312523155921/d425844ds4a.htm" \l "anxacov"</w:instrText>
            </w:r>
            <w:r>
              <w:rPr>
                <w:rStyle w:val="InternetLink"/>
              </w:rPr>
              <w:fldChar w:fldCharType="separate"/>
            </w:r>
            <w:r>
              <w:rPr>
                <w:rStyle w:val="InternetLink"/>
              </w:rPr>
              <w:t>Amended and Restated Business Combination Agreement, dated as of May 26, 2023, by and among Freedom Acquisition I Corp., Jupiter Merger Sub I Corp., Jupiter Merger Sub II LLC, Complete Solar Holding Corporation, and The Solaria Corporation</w:t>
            </w:r>
            <w:r>
              <w:rPr>
                <w:rStyle w:val="InternetLink"/>
              </w:rPr>
              <w:fldChar w:fldCharType="end"/>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333-269674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31, 2023</w:t>
            </w:r>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88" w:type="dxa"/>
            <w:tcBorders/>
            <w:shd w:fill="FFFFFF" w:val="clear"/>
            <w:tcMar>
              <w:bottom w:w="0" w:type="dxa"/>
            </w:tcMar>
            <w:vAlign w:val="center"/>
          </w:tcPr>
          <w:p>
            <w:pPr>
              <w:pStyle w:val="TableContents"/>
              <w:bidi w:val="0"/>
              <w:spacing w:before="0" w:after="283"/>
              <w:jc w:val="both"/>
              <w:rPr/>
            </w:pPr>
            <w:hyperlink r:id="rId2">
              <w:r>
                <w:rPr>
                  <w:rStyle w:val="InternetLink"/>
                </w:rPr>
                <w:t>Agreement and Plan of Merger, dated as of October 3, 2022, by and between Complete Solar Holding Corporation, Complete Solar Midco, LLC, Complete Solar Merger Sub, Inc., The Solaria Corporation, and Fortis Advisors LLC</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333-269674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10, 2023</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88" w:type="dxa"/>
            <w:tcBorders/>
            <w:shd w:fill="CCEEFF" w:val="clear"/>
            <w:tcMar>
              <w:bottom w:w="0" w:type="dxa"/>
            </w:tcMar>
            <w:vAlign w:val="center"/>
          </w:tcPr>
          <w:p>
            <w:pPr>
              <w:pStyle w:val="TableContents"/>
              <w:bidi w:val="0"/>
              <w:spacing w:before="0" w:after="283"/>
              <w:jc w:val="both"/>
              <w:rPr/>
            </w:pPr>
            <w:hyperlink r:id="rId3">
              <w:r>
                <w:rPr>
                  <w:rStyle w:val="InternetLink"/>
                </w:rPr>
                <w:t>Asset Purchase Agreement dated September 19, 2023, by and among Complete Solaria, Inc., SolarCA, LLC, and Maxeon Solar Technologies, Ltd.</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2023-09-21</w:t>
            </w:r>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88" w:type="dxa"/>
            <w:tcBorders/>
            <w:shd w:fill="FFFF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Certificate of Incorporation of Complete Solaria</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2023-07-21</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88" w:type="dxa"/>
            <w:tcBorders/>
            <w:shd w:fill="CCEEFF" w:val="clear"/>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Bylaws of Complete Solaria</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2023-07-21</w:t>
            </w:r>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88" w:type="dxa"/>
            <w:tcBorders/>
            <w:shd w:fill="FFFFFF" w:val="clear"/>
            <w:tcMar>
              <w:bottom w:w="0" w:type="dxa"/>
            </w:tcMar>
            <w:vAlign w:val="center"/>
          </w:tcPr>
          <w:p>
            <w:pPr>
              <w:pStyle w:val="TableContents"/>
              <w:bidi w:val="0"/>
              <w:spacing w:before="0" w:after="283"/>
              <w:jc w:val="left"/>
              <w:rPr/>
            </w:pPr>
            <w:hyperlink r:id="rId6">
              <w:r>
                <w:rPr>
                  <w:rStyle w:val="InternetLink"/>
                </w:rPr>
                <w:t>Form of Replacement Warrant</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2023-10-12</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88" w:type="dxa"/>
            <w:tcBorders/>
            <w:shd w:fill="CCEEFF" w:val="clear"/>
            <w:tcMar>
              <w:bottom w:w="0" w:type="dxa"/>
            </w:tcMar>
            <w:vAlign w:val="center"/>
          </w:tcPr>
          <w:p>
            <w:pPr>
              <w:pStyle w:val="TableContents"/>
              <w:bidi w:val="0"/>
              <w:spacing w:before="0" w:after="283"/>
              <w:jc w:val="both"/>
              <w:rPr/>
            </w:pPr>
            <w:hyperlink r:id="rId7">
              <w:r>
                <w:rPr>
                  <w:rStyle w:val="InternetLink"/>
                </w:rPr>
                <w:t>Form of First Amendment to Replacement Warrant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2023-10-12</w:t>
            </w:r>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88" w:type="dxa"/>
            <w:tcBorders/>
            <w:shd w:fill="FFFFFF" w:val="clear"/>
            <w:tcMar>
              <w:bottom w:w="0" w:type="dxa"/>
            </w:tcMar>
            <w:vAlign w:val="center"/>
          </w:tcPr>
          <w:p>
            <w:pPr>
              <w:pStyle w:val="TableContents"/>
              <w:bidi w:val="0"/>
              <w:spacing w:before="0" w:after="283"/>
              <w:jc w:val="both"/>
              <w:rPr/>
            </w:pPr>
            <w:hyperlink r:id="rId8">
              <w:r>
                <w:rPr>
                  <w:rStyle w:val="InternetLink"/>
                </w:rPr>
                <w:t>Amended and Restated Registration Rights Agreement, dated July 18, 2023, by and among the Company and certain other stockholders party thereto</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88"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Warrant Agreement, dated February 25, 2021, by and between the Company and Continental Stock Transfer &amp; Trust Company, as warrant agent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2021-03-2</w:t>
            </w:r>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88" w:type="dxa"/>
            <w:tcBorders/>
            <w:shd w:fill="FFFFFF" w:val="clear"/>
            <w:tcMar>
              <w:bottom w:w="0" w:type="dxa"/>
            </w:tcMar>
            <w:vAlign w:val="center"/>
          </w:tcPr>
          <w:p>
            <w:pPr>
              <w:pStyle w:val="TableContents"/>
              <w:bidi w:val="0"/>
              <w:spacing w:before="0" w:after="283"/>
              <w:jc w:val="left"/>
              <w:rPr/>
            </w:pPr>
            <w:hyperlink r:id="rId10">
              <w:r>
                <w:rPr>
                  <w:rStyle w:val="InternetLink"/>
                </w:rPr>
                <w:t>Form of Indemnification Agreement</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88"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Forward Purchase Agreement, dated July 13, 2023, between Meteora Special Opportunity Fund I, LP, Meteora Capital Partners, LP and Meteora Select Trading Opportunities Master, LP; Freedom Acquisition I Corp.; and Complete Solaria, Inc.</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center"/>
              <w:rPr/>
            </w:pPr>
            <w:r>
              <w:rPr/>
              <w:t> </w:t>
            </w:r>
            <w:r>
              <w:rPr/>
              <w:t>2023-07-24</w:t>
            </w:r>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88" w:type="dxa"/>
            <w:tcBorders/>
            <w:shd w:fill="FFFF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Forward Purchase Agreement, dated July 13, 2023, between Polar Multi-Strategy Master Fund; Freedom Acquisition I Corp. and Complete Solaria, Inc.</w:t>
              </w:r>
            </w:hyperlink>
            <w:r>
              <w:rPr>
                <w:rFonts w:ascii="Times New Roman;Times;Serif" w:hAnsi="Times New Roman;Times;Serif"/>
                <w:sz w:val="20"/>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88"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Forward Purchase Agreement, dated July 13, 2023, between Diametric True Alpha Market Neutral Master Fund, LP, Diametric True Alpha Enhanced Market Neutral Master Fund, LP, and Pinebridge Partners Master Fund, LP; Freedom Acquisition I Corp. and Complete Solaria, Inc.</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88"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FPA Funding Amount Pipe Subscription Agreements dated July 13, 2023, between Meteora Special Opportunity Fund I, LP, Meteora Capital Partners, LP and Meteora Select Trading Opportunities Master, LP; Freedom Acquisition I Corp.; and Complete Solaria, Inc.</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7417"/>
        <w:gridCol w:w="60"/>
        <w:gridCol w:w="220"/>
        <w:gridCol w:w="60"/>
        <w:gridCol w:w="642"/>
        <w:gridCol w:w="60"/>
        <w:gridCol w:w="485"/>
        <w:gridCol w:w="60"/>
        <w:gridCol w:w="641"/>
      </w:tblGrid>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c>
          <w:tcPr>
            <w:tcW w:w="7417" w:type="dxa"/>
            <w:tcBorders/>
            <w:shd w:fill="CCEEFF" w:val="clear"/>
            <w:vAlign w:val="center"/>
          </w:tcPr>
          <w:p>
            <w:pPr>
              <w:pStyle w:val="TableContents"/>
              <w:bidi w:val="0"/>
              <w:spacing w:before="0" w:after="283"/>
              <w:jc w:val="both"/>
              <w:rPr/>
            </w:pPr>
            <w:hyperlink r:id="rId15">
              <w:r>
                <w:rPr>
                  <w:rStyle w:val="InternetLink"/>
                  <w:rFonts w:ascii="Times New Roman;Times;Serif" w:hAnsi="Times New Roman;Times;Serif"/>
                  <w:sz w:val="20"/>
                </w:rPr>
                <w:t>FPA Funding Amount Pipe Subscription Agreements dated July 13, 2023, between Polar Multi-Strategy Master Fund; Freedom Acquisition I Corp. and Complete Solaria, Inc.</w:t>
              </w:r>
            </w:hyperlink>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10.28</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7417" w:type="dxa"/>
            <w:tcBorders/>
            <w:shd w:fill="FFFFFF" w:val="clear"/>
            <w:vAlign w:val="center"/>
          </w:tcPr>
          <w:p>
            <w:pPr>
              <w:pStyle w:val="TableContents"/>
              <w:bidi w:val="0"/>
              <w:spacing w:before="0" w:after="283"/>
              <w:jc w:val="both"/>
              <w:rPr/>
            </w:pPr>
            <w:hyperlink r:id="rId16">
              <w:r>
                <w:rPr>
                  <w:rStyle w:val="InternetLink"/>
                  <w:rFonts w:ascii="Times New Roman;Times;Serif" w:hAnsi="Times New Roman;Times;Serif"/>
                  <w:sz w:val="20"/>
                </w:rPr>
                <w:t>FPA Funding Amount Pipe Subscription Agreements, dated July 13, 2023, between Diametric True Alpha Market Neutral Master Fund, LP, Diametric True Alpha Enhanced Market Neutral Master Fund, LP, and Pinebridge Partners Master Fund, LP; Freedom Acquisition I Corp. and Complete Solaria, Inc.</w:t>
              </w:r>
            </w:hyperlink>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10.29</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CCEEFF" w:val="clear"/>
            <w:vAlign w:val="center"/>
          </w:tcPr>
          <w:p>
            <w:pPr>
              <w:pStyle w:val="TableContents"/>
              <w:bidi w:val="0"/>
              <w:spacing w:before="0" w:after="283"/>
              <w:jc w:val="left"/>
              <w:rPr/>
            </w:pPr>
            <w:r>
              <w:rPr/>
              <w:t> </w:t>
            </w:r>
          </w:p>
        </w:tc>
        <w:tc>
          <w:tcPr>
            <w:tcW w:w="7417" w:type="dxa"/>
            <w:tcBorders/>
            <w:shd w:fill="CCEEFF" w:val="clear"/>
            <w:vAlign w:val="center"/>
          </w:tcPr>
          <w:p>
            <w:pPr>
              <w:pStyle w:val="TableContents"/>
              <w:bidi w:val="0"/>
              <w:spacing w:before="0" w:after="283"/>
              <w:jc w:val="both"/>
              <w:rPr/>
            </w:pPr>
            <w:hyperlink r:id="rId17">
              <w:r>
                <w:rPr>
                  <w:rStyle w:val="InternetLink"/>
                  <w:rFonts w:ascii="Times New Roman;Times;Serif" w:hAnsi="Times New Roman;Times;Serif"/>
                  <w:sz w:val="20"/>
                </w:rPr>
                <w:t>New Money Pipe Subscription Agreements dated July 13, 2023, between Meteora Special Opportunity Fund I, LP, Meteora Capital Partners, LP and Meteora Select Trading Opportunities Master, LP; Freedom Acquisition I Corp.; and Complete Solaria, Inc.</w:t>
              </w:r>
            </w:hyperlink>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10.30</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7417" w:type="dxa"/>
            <w:tcBorders/>
            <w:shd w:fill="FFFFFF" w:val="clear"/>
            <w:vAlign w:val="center"/>
          </w:tcPr>
          <w:p>
            <w:pPr>
              <w:pStyle w:val="TableContents"/>
              <w:bidi w:val="0"/>
              <w:spacing w:before="0" w:after="283"/>
              <w:jc w:val="both"/>
              <w:rPr/>
            </w:pPr>
            <w:hyperlink r:id="rId18">
              <w:r>
                <w:rPr>
                  <w:rStyle w:val="InternetLink"/>
                  <w:rFonts w:ascii="Times New Roman;Times;Serif" w:hAnsi="Times New Roman;Times;Serif"/>
                  <w:sz w:val="20"/>
                </w:rPr>
                <w:t>New Money Pipe Subscription Agreements, dated July 13, 2023, between Diametric True Alpha Market Neutral Master Fund, LP, Diametric True Alpha Enhanced Market Neutral Master Fund, LP, and Pinebridge Partners Master Fund, LP; Freedom Acquisition I Corp. and Complete Solaria, Inc.</w:t>
              </w:r>
            </w:hyperlink>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10.31</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0" w:type="dxa"/>
            <w:tcBorders/>
            <w:shd w:fill="CCEEFF" w:val="clear"/>
            <w:vAlign w:val="center"/>
          </w:tcPr>
          <w:p>
            <w:pPr>
              <w:pStyle w:val="TableContents"/>
              <w:bidi w:val="0"/>
              <w:spacing w:before="0" w:after="283"/>
              <w:jc w:val="left"/>
              <w:rPr/>
            </w:pPr>
            <w:r>
              <w:rPr/>
              <w:t> </w:t>
            </w:r>
          </w:p>
        </w:tc>
        <w:tc>
          <w:tcPr>
            <w:tcW w:w="7417" w:type="dxa"/>
            <w:tcBorders/>
            <w:shd w:fill="CCEEFF" w:val="clear"/>
            <w:vAlign w:val="center"/>
          </w:tcPr>
          <w:p>
            <w:pPr>
              <w:pStyle w:val="TableContents"/>
              <w:bidi w:val="0"/>
              <w:spacing w:before="0" w:after="283"/>
              <w:jc w:val="left"/>
              <w:rPr/>
            </w:pPr>
            <w:hyperlink r:id="rId19">
              <w:r>
                <w:rPr>
                  <w:rStyle w:val="InternetLink"/>
                  <w:rFonts w:ascii="Times New Roman;Times;Serif" w:hAnsi="Times New Roman;Times;Serif"/>
                  <w:sz w:val="20"/>
                </w:rPr>
                <w:t>Form of Subscription Agreement</w:t>
              </w:r>
            </w:hyperlink>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10.32</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0" w:type="dxa"/>
            <w:tcBorders/>
            <w:shd w:fill="FFFFFF" w:val="clear"/>
            <w:vAlign w:val="center"/>
          </w:tcPr>
          <w:p>
            <w:pPr>
              <w:pStyle w:val="TableContents"/>
              <w:bidi w:val="0"/>
              <w:spacing w:before="0" w:after="283"/>
              <w:jc w:val="left"/>
              <w:rPr/>
            </w:pPr>
            <w:r>
              <w:rPr/>
              <w:t> </w:t>
            </w:r>
          </w:p>
        </w:tc>
        <w:tc>
          <w:tcPr>
            <w:tcW w:w="7417" w:type="dxa"/>
            <w:tcBorders/>
            <w:shd w:fill="FFFFFF" w:val="clear"/>
            <w:vAlign w:val="center"/>
          </w:tcPr>
          <w:p>
            <w:pPr>
              <w:pStyle w:val="TableContents"/>
              <w:bidi w:val="0"/>
              <w:spacing w:before="0" w:after="283"/>
              <w:jc w:val="left"/>
              <w:rPr/>
            </w:pPr>
            <w:hyperlink r:id="rId20">
              <w:r>
                <w:rPr>
                  <w:rStyle w:val="InternetLink"/>
                  <w:rFonts w:ascii="Times New Roman;Times;Serif" w:hAnsi="Times New Roman;Times;Serif"/>
                  <w:sz w:val="20"/>
                </w:rPr>
                <w:t>Form of Subscription Agreement</w:t>
              </w:r>
            </w:hyperlink>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2023-07-14</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60" w:type="dxa"/>
            <w:tcBorders/>
            <w:shd w:fill="CCEEFF" w:val="clear"/>
            <w:vAlign w:val="center"/>
          </w:tcPr>
          <w:p>
            <w:pPr>
              <w:pStyle w:val="TableContents"/>
              <w:bidi w:val="0"/>
              <w:spacing w:before="0" w:after="283"/>
              <w:jc w:val="left"/>
              <w:rPr/>
            </w:pPr>
            <w:r>
              <w:rPr/>
              <w:t> </w:t>
            </w:r>
          </w:p>
        </w:tc>
        <w:tc>
          <w:tcPr>
            <w:tcW w:w="7417"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sz w:val="20"/>
                </w:rPr>
                <w:t>Promissory Note dated July 10, 2023, issued by Freedom Acquisition I Corp. to Freedom Acquisition I LLC</w:t>
              </w:r>
            </w:hyperlink>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2023-07-11</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60" w:type="dxa"/>
            <w:tcBorders/>
            <w:shd w:fill="FFFFFF" w:val="clear"/>
            <w:vAlign w:val="center"/>
          </w:tcPr>
          <w:p>
            <w:pPr>
              <w:pStyle w:val="TableContents"/>
              <w:bidi w:val="0"/>
              <w:spacing w:before="0" w:after="283"/>
              <w:jc w:val="left"/>
              <w:rPr/>
            </w:pPr>
            <w:r>
              <w:rPr/>
              <w:t> </w:t>
            </w:r>
          </w:p>
        </w:tc>
        <w:tc>
          <w:tcPr>
            <w:tcW w:w="7417" w:type="dxa"/>
            <w:tcBorders/>
            <w:shd w:fill="FFFFFF" w:val="clear"/>
            <w:vAlign w:val="center"/>
          </w:tcPr>
          <w:p>
            <w:pPr>
              <w:pStyle w:val="TableContents"/>
              <w:bidi w:val="0"/>
              <w:spacing w:before="0" w:after="283"/>
              <w:jc w:val="both"/>
              <w:rPr/>
            </w:pPr>
            <w:hyperlink r:id="rId22">
              <w:r>
                <w:rPr>
                  <w:rStyle w:val="InternetLink"/>
                  <w:rFonts w:ascii="Times New Roman;Times;Serif" w:hAnsi="Times New Roman;Times;Serif"/>
                  <w:sz w:val="20"/>
                </w:rPr>
                <w:t>Consent to Business Combination Agreement, dated July 9, 2023.</w:t>
              </w:r>
            </w:hyperlink>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2023-07-10</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60" w:type="dxa"/>
            <w:tcBorders/>
            <w:shd w:fill="CCEEFF" w:val="clear"/>
            <w:vAlign w:val="center"/>
          </w:tcPr>
          <w:p>
            <w:pPr>
              <w:pStyle w:val="TableContents"/>
              <w:bidi w:val="0"/>
              <w:spacing w:before="0" w:after="283"/>
              <w:jc w:val="left"/>
              <w:rPr/>
            </w:pPr>
            <w:r>
              <w:rPr/>
              <w:t> </w:t>
            </w:r>
          </w:p>
        </w:tc>
        <w:tc>
          <w:tcPr>
            <w:tcW w:w="7417" w:type="dxa"/>
            <w:tcBorders/>
            <w:shd w:fill="CCEEFF" w:val="clear"/>
            <w:vAlign w:val="center"/>
          </w:tcPr>
          <w:p>
            <w:pPr>
              <w:pStyle w:val="TableContents"/>
              <w:bidi w:val="0"/>
              <w:spacing w:before="0" w:after="283"/>
              <w:jc w:val="left"/>
              <w:rPr/>
            </w:pPr>
            <w:hyperlink r:id="rId23">
              <w:r>
                <w:rPr>
                  <w:rStyle w:val="InternetLink"/>
                </w:rPr>
                <w:t>Complete Solaria, Inc. 2023 Incentive Equity Plan</w:t>
              </w:r>
            </w:hyperlink>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60" w:type="dxa"/>
            <w:tcBorders/>
            <w:shd w:fill="FFFFFF" w:val="clear"/>
            <w:vAlign w:val="center"/>
          </w:tcPr>
          <w:p>
            <w:pPr>
              <w:pStyle w:val="TableContents"/>
              <w:bidi w:val="0"/>
              <w:spacing w:before="0" w:after="283"/>
              <w:jc w:val="left"/>
              <w:rPr/>
            </w:pPr>
            <w:r>
              <w:rPr/>
              <w:t> </w:t>
            </w:r>
          </w:p>
        </w:tc>
        <w:tc>
          <w:tcPr>
            <w:tcW w:w="7417" w:type="dxa"/>
            <w:tcBorders/>
            <w:shd w:fill="FFFFFF" w:val="clear"/>
            <w:vAlign w:val="center"/>
          </w:tcPr>
          <w:p>
            <w:pPr>
              <w:pStyle w:val="TableContents"/>
              <w:bidi w:val="0"/>
              <w:spacing w:before="0" w:after="283"/>
              <w:jc w:val="both"/>
              <w:rPr/>
            </w:pPr>
            <w:hyperlink r:id="rId24">
              <w:r>
                <w:rPr>
                  <w:rStyle w:val="InternetLink"/>
                </w:rPr>
                <w:t>Forms of Option Grant Notice and Option agreement and Global RSU Grant Notice and Agreement</w:t>
              </w:r>
            </w:hyperlink>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60" w:type="dxa"/>
            <w:tcBorders/>
            <w:shd w:fill="CCEEFF" w:val="clear"/>
            <w:vAlign w:val="center"/>
          </w:tcPr>
          <w:p>
            <w:pPr>
              <w:pStyle w:val="TableContents"/>
              <w:bidi w:val="0"/>
              <w:spacing w:before="0" w:after="283"/>
              <w:jc w:val="left"/>
              <w:rPr/>
            </w:pPr>
            <w:r>
              <w:rPr/>
              <w:t> </w:t>
            </w:r>
          </w:p>
        </w:tc>
        <w:tc>
          <w:tcPr>
            <w:tcW w:w="7417" w:type="dxa"/>
            <w:tcBorders/>
            <w:shd w:fill="CCEEFF" w:val="clear"/>
            <w:vAlign w:val="center"/>
          </w:tcPr>
          <w:p>
            <w:pPr>
              <w:pStyle w:val="TableContents"/>
              <w:bidi w:val="0"/>
              <w:spacing w:before="0" w:after="283"/>
              <w:jc w:val="both"/>
              <w:rPr/>
            </w:pPr>
            <w:hyperlink r:id="rId25">
              <w:r>
                <w:rPr>
                  <w:rStyle w:val="InternetLink"/>
                </w:rPr>
                <w:t>Complete Solaria, Inc. 2023 Employee Stock Purchase Plan</w:t>
              </w:r>
            </w:hyperlink>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FFFFFF" w:val="clear"/>
            <w:vAlign w:val="center"/>
          </w:tcPr>
          <w:p>
            <w:pPr>
              <w:pStyle w:val="TableContents"/>
              <w:bidi w:val="0"/>
              <w:spacing w:before="0" w:after="283"/>
              <w:jc w:val="left"/>
              <w:rPr/>
            </w:pPr>
            <w:r>
              <w:rPr/>
              <w:t> </w:t>
            </w:r>
          </w:p>
        </w:tc>
        <w:tc>
          <w:tcPr>
            <w:tcW w:w="7417" w:type="dxa"/>
            <w:tcBorders/>
            <w:shd w:fill="FFFFFF" w:val="clear"/>
            <w:vAlign w:val="center"/>
          </w:tcPr>
          <w:p>
            <w:pPr>
              <w:pStyle w:val="TableContents"/>
              <w:bidi w:val="0"/>
              <w:spacing w:before="0" w:after="283"/>
              <w:jc w:val="both"/>
              <w:rPr/>
            </w:pPr>
            <w:hyperlink w:anchor="f10q1023ex31-1_completesol.htm">
              <w:r>
                <w:rPr>
                  <w:rStyle w:val="InternetLink"/>
                  <w:rFonts w:ascii="Times New Roman;Times;Serif" w:hAnsi="Times New Roman;Times;Serif"/>
                  <w:sz w:val="20"/>
                </w:rPr>
                <w:t>Certification of the Principal Financial Officer pursuant to Rule 13a-14(a) and Rule 15d-14(a) under the Securities Exchange Act of 1934, as adopted pursuant to Section 302 of the Sarbanes-Oxley Act of 2002</w:t>
              </w:r>
            </w:hyperlink>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center"/>
              <w:rPr/>
            </w:pPr>
            <w:r>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CCEEFF" w:val="clear"/>
            <w:vAlign w:val="center"/>
          </w:tcPr>
          <w:p>
            <w:pPr>
              <w:pStyle w:val="TableContents"/>
              <w:bidi w:val="0"/>
              <w:spacing w:before="0" w:after="283"/>
              <w:jc w:val="left"/>
              <w:rPr/>
            </w:pPr>
            <w:r>
              <w:rPr/>
              <w:t> </w:t>
            </w:r>
          </w:p>
        </w:tc>
        <w:tc>
          <w:tcPr>
            <w:tcW w:w="7417" w:type="dxa"/>
            <w:tcBorders/>
            <w:shd w:fill="CCEEFF" w:val="clear"/>
            <w:vAlign w:val="center"/>
          </w:tcPr>
          <w:p>
            <w:pPr>
              <w:pStyle w:val="TableContents"/>
              <w:bidi w:val="0"/>
              <w:spacing w:before="0" w:after="283"/>
              <w:jc w:val="both"/>
              <w:rPr/>
            </w:pPr>
            <w:hyperlink w:anchor="f10q1023ex31-2_completesol.htm">
              <w:r>
                <w:rPr>
                  <w:rStyle w:val="InternetLink"/>
                  <w:rFonts w:ascii="Times New Roman;Times;Serif" w:hAnsi="Times New Roman;Times;Serif"/>
                  <w:sz w:val="20"/>
                </w:rPr>
                <w:t>Certification of the Principal Financial Officer pursuant to Rule 13a-14(a) and Rule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center"/>
              <w:rPr/>
            </w:pPr>
            <w:r>
              <w:rPr/>
              <w:t> </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FFFFFF" w:val="clear"/>
            <w:vAlign w:val="center"/>
          </w:tcPr>
          <w:p>
            <w:pPr>
              <w:pStyle w:val="TableContents"/>
              <w:bidi w:val="0"/>
              <w:spacing w:before="0" w:after="283"/>
              <w:jc w:val="left"/>
              <w:rPr/>
            </w:pPr>
            <w:r>
              <w:rPr/>
              <w:t> </w:t>
            </w:r>
          </w:p>
        </w:tc>
        <w:tc>
          <w:tcPr>
            <w:tcW w:w="7417" w:type="dxa"/>
            <w:tcBorders/>
            <w:shd w:fill="FFFFFF" w:val="clear"/>
            <w:vAlign w:val="center"/>
          </w:tcPr>
          <w:p>
            <w:pPr>
              <w:pStyle w:val="TableContents"/>
              <w:bidi w:val="0"/>
              <w:spacing w:before="0" w:after="283"/>
              <w:jc w:val="both"/>
              <w:rPr/>
            </w:pPr>
            <w:hyperlink w:anchor="f10q1023ex32-1_completesol.htm">
              <w:r>
                <w:rPr>
                  <w:rStyle w:val="InternetLink"/>
                  <w:rFonts w:ascii="Times New Roman;Times;Serif" w:hAnsi="Times New Roman;Times;Serif"/>
                  <w:sz w:val="20"/>
                </w:rPr>
                <w:t>Certification of the Principal Executive Officer and Principal Financial Officer pursuant to 18 U.S.C. 1350, as adopted pursuant to Section 906 of the Sarbanes-Oxley Act of 2002</w:t>
              </w:r>
            </w:hyperlink>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center"/>
              <w:rPr/>
            </w:pPr>
            <w:r>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jc w:val="left"/>
              <w:rPr/>
            </w:pPr>
            <w:r>
              <w:rPr/>
              <w:t> </w:t>
            </w:r>
          </w:p>
        </w:tc>
        <w:tc>
          <w:tcPr>
            <w:tcW w:w="7417" w:type="dxa"/>
            <w:tcBorders/>
            <w:shd w:fill="CCEEFF" w:val="clear"/>
            <w:vAlign w:val="center"/>
          </w:tcPr>
          <w:p>
            <w:pPr>
              <w:pStyle w:val="TableContents"/>
              <w:bidi w:val="0"/>
              <w:spacing w:before="0" w:after="283"/>
              <w:jc w:val="both"/>
              <w:rPr/>
            </w:pPr>
            <w:r>
              <w:rPr/>
              <w:t>Inline XBRL Document Set for the consolidated condensed financial statements and accompanying notes in Consolidated Condensed Financial Statements and Supplemental Details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center"/>
              <w:rPr/>
            </w:pPr>
            <w:r>
              <w:rPr/>
              <w:t> </w:t>
            </w:r>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7417" w:type="dxa"/>
            <w:tcBorders/>
            <w:shd w:fill="FFFFFF" w:val="clear"/>
            <w:vAlign w:val="center"/>
          </w:tcPr>
          <w:p>
            <w:pPr>
              <w:pStyle w:val="TableContents"/>
              <w:bidi w:val="0"/>
              <w:spacing w:before="0" w:after="283"/>
              <w:jc w:val="both"/>
              <w:rPr/>
            </w:pPr>
            <w:r>
              <w:rPr/>
              <w:t>Cover Page Interactive Data File - formatted in Inline XBRL and included as Exhibit 101</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55"/>
        <w:gridCol w:w="1400"/>
      </w:tblGrid>
      <w:tr>
        <w:trPr/>
        <w:tc>
          <w:tcPr>
            <w:tcW w:w="15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Kalai_008"/>
      <w:bookmarkEnd w:id="23"/>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959" w:type="dxa"/>
        <w:jc w:val="left"/>
        <w:tblInd w:w="0" w:type="dxa"/>
        <w:tblLayout w:type="fixed"/>
        <w:tblCellMar>
          <w:top w:w="0" w:type="dxa"/>
          <w:left w:w="0" w:type="dxa"/>
          <w:bottom w:w="0" w:type="dxa"/>
          <w:right w:w="0" w:type="dxa"/>
        </w:tblCellMar>
      </w:tblPr>
      <w:tblGrid>
        <w:gridCol w:w="2120"/>
        <w:gridCol w:w="337"/>
        <w:gridCol w:w="2502"/>
      </w:tblGrid>
      <w:tr>
        <w:trPr/>
        <w:tc>
          <w:tcPr>
            <w:tcW w:w="212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Complete Solaria, Inc. (Registrant)</w:t>
            </w:r>
          </w:p>
        </w:tc>
      </w:tr>
      <w:tr>
        <w:trPr/>
        <w:tc>
          <w:tcPr>
            <w:tcW w:w="212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2502"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14, 2023</w:t>
            </w:r>
          </w:p>
        </w:tc>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J. ANDERSON</w:t>
            </w:r>
          </w:p>
        </w:tc>
      </w:tr>
      <w:tr>
        <w:trPr/>
        <w:tc>
          <w:tcPr>
            <w:tcW w:w="212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2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r>
      <w:tr>
        <w:trPr/>
        <w:tc>
          <w:tcPr>
            <w:tcW w:w="212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2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12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2502"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14, 2023</w:t>
            </w:r>
          </w:p>
        </w:tc>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WUEBBELS</w:t>
            </w:r>
          </w:p>
        </w:tc>
      </w:tr>
      <w:tr>
        <w:trPr/>
        <w:tc>
          <w:tcPr>
            <w:tcW w:w="212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2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Wuebbels</w:t>
            </w:r>
          </w:p>
        </w:tc>
      </w:tr>
      <w:tr>
        <w:trPr/>
        <w:tc>
          <w:tcPr>
            <w:tcW w:w="212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2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f10q1023ex31-1_completesol.htm"/>
      <w:bookmarkStart w:id="25" w:name="ksf10q1023ex311_completesol"/>
      <w:bookmarkEnd w:id="24"/>
      <w:bookmarkEnd w:id="25"/>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70"/>
        <w:gridCol w:w="3170"/>
      </w:tblGrid>
      <w:tr>
        <w:trPr/>
        <w:tc>
          <w:tcPr>
            <w:tcW w:w="170" w:type="dxa"/>
            <w:tcBorders/>
            <w:vAlign w:val="center"/>
          </w:tcPr>
          <w:p>
            <w:pPr>
              <w:pStyle w:val="TableContents"/>
              <w:bidi w:val="0"/>
              <w:spacing w:before="0" w:after="283"/>
              <w:jc w:val="left"/>
              <w:rPr/>
            </w:pPr>
            <w:r>
              <w:rPr/>
              <w:t>I,</w:t>
            </w:r>
          </w:p>
        </w:tc>
        <w:tc>
          <w:tcPr>
            <w:tcW w:w="3170" w:type="dxa"/>
            <w:tcBorders/>
            <w:vAlign w:val="center"/>
          </w:tcPr>
          <w:p>
            <w:pPr>
              <w:pStyle w:val="TableContents"/>
              <w:bidi w:val="0"/>
              <w:spacing w:before="0" w:after="283"/>
              <w:jc w:val="both"/>
              <w:rPr/>
            </w:pPr>
            <w:r>
              <w:rPr/>
              <w:t>William J. Anderson, certify that:</w:t>
            </w:r>
          </w:p>
        </w:tc>
      </w:tr>
    </w:tbl>
    <w:p>
      <w:pPr>
        <w:pStyle w:val="TextBody"/>
        <w:bidi w:val="0"/>
        <w:spacing w:before="0" w:after="0"/>
        <w:ind w:left="324" w:right="0" w:hanging="324"/>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15"/>
        <w:gridCol w:w="7370"/>
      </w:tblGrid>
      <w:tr>
        <w:trPr/>
        <w:tc>
          <w:tcPr>
            <w:tcW w:w="215" w:type="dxa"/>
            <w:tcBorders/>
            <w:vAlign w:val="center"/>
          </w:tcPr>
          <w:p>
            <w:pPr>
              <w:pStyle w:val="TableContents"/>
              <w:bidi w:val="0"/>
              <w:spacing w:before="0" w:after="283"/>
              <w:jc w:val="left"/>
              <w:rPr/>
            </w:pPr>
            <w:r>
              <w:rPr/>
              <w:t>1.</w:t>
            </w:r>
          </w:p>
        </w:tc>
        <w:tc>
          <w:tcPr>
            <w:tcW w:w="7370" w:type="dxa"/>
            <w:tcBorders/>
            <w:vAlign w:val="center"/>
          </w:tcPr>
          <w:p>
            <w:pPr>
              <w:pStyle w:val="TableContents"/>
              <w:bidi w:val="0"/>
              <w:spacing w:before="0" w:after="283"/>
              <w:jc w:val="both"/>
              <w:rPr/>
            </w:pPr>
            <w:r>
              <w:rPr/>
              <w:t>I have reviewed this quarterly report on Form 10-Q of Complete Solaria, Inc.;</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4.</w:t>
            </w:r>
          </w:p>
        </w:tc>
        <w:tc>
          <w:tcPr>
            <w:tcW w:w="10033"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5.</w:t>
            </w:r>
          </w:p>
        </w:tc>
        <w:tc>
          <w:tcPr>
            <w:tcW w:w="10030"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1296" w:right="0" w:hanging="324"/>
        <w:jc w:val="both"/>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2120"/>
        <w:gridCol w:w="320"/>
        <w:gridCol w:w="2375"/>
      </w:tblGrid>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J. ANDERSON</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1296" w:right="0" w:hanging="324"/>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f10q1023ex31-2_completesol.htm"/>
      <w:bookmarkStart w:id="27" w:name="ksf10q1023ex312_completesol"/>
      <w:bookmarkEnd w:id="26"/>
      <w:bookmarkEnd w:id="27"/>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Brian Wuebbels, certify that:</w:t>
      </w:r>
    </w:p>
    <w:p>
      <w:pPr>
        <w:pStyle w:val="TextBody"/>
        <w:bidi w:val="0"/>
        <w:spacing w:before="0" w:after="0"/>
        <w:ind w:left="324" w:right="0" w:hanging="324"/>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15"/>
        <w:gridCol w:w="7370"/>
      </w:tblGrid>
      <w:tr>
        <w:trPr/>
        <w:tc>
          <w:tcPr>
            <w:tcW w:w="215" w:type="dxa"/>
            <w:tcBorders/>
            <w:vAlign w:val="center"/>
          </w:tcPr>
          <w:p>
            <w:pPr>
              <w:pStyle w:val="TableContents"/>
              <w:bidi w:val="0"/>
              <w:spacing w:before="0" w:after="283"/>
              <w:jc w:val="left"/>
              <w:rPr/>
            </w:pPr>
            <w:r>
              <w:rPr/>
              <w:t>1.</w:t>
            </w:r>
          </w:p>
        </w:tc>
        <w:tc>
          <w:tcPr>
            <w:tcW w:w="7370" w:type="dxa"/>
            <w:tcBorders/>
            <w:vAlign w:val="center"/>
          </w:tcPr>
          <w:p>
            <w:pPr>
              <w:pStyle w:val="TableContents"/>
              <w:bidi w:val="0"/>
              <w:spacing w:before="0" w:after="283"/>
              <w:jc w:val="both"/>
              <w:rPr/>
            </w:pPr>
            <w:r>
              <w:rPr/>
              <w:t>I have reviewed this quarterly report on Form 10-Q of Complete Solaria, Inc.;</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4.</w:t>
            </w:r>
          </w:p>
        </w:tc>
        <w:tc>
          <w:tcPr>
            <w:tcW w:w="10033"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5.</w:t>
            </w:r>
          </w:p>
        </w:tc>
        <w:tc>
          <w:tcPr>
            <w:tcW w:w="10030"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296"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1296" w:right="0" w:hanging="324"/>
        <w:jc w:val="both"/>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2120"/>
        <w:gridCol w:w="365"/>
        <w:gridCol w:w="1970"/>
      </w:tblGrid>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14, 2023</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9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WUEBBELS</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Wuebbels</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1296" w:right="0" w:hanging="324"/>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f10q1023ex32-1_completesol.htm"/>
      <w:bookmarkStart w:id="29" w:name="ksf10q1023ex321_completesol"/>
      <w:bookmarkEnd w:id="28"/>
      <w:bookmarkEnd w:id="29"/>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CERTIFICATIONS OF CHIEF EXECUTIVE OFFICER AND CHIEF FINANCIAL OFFICER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U.S.C. SECTION 1350,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PURSUANT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William J. Anderson, certify, as of the date hereof, pursuant to 18 U.S.C. Section 1350, as adopted pursuant to Section 906 of the Sarbanes-Oxley Act of 2002, that the Quarterly Report of Complete Solaria, Inc. on Form 10-Q for the period ended October 1, 2023 fully complies with the requirements of Section 13(a) or 15(d) of the Securities Exchange Act of 1934 and that information contained in such Form 10-Q fairly presents in all material respects the financial condition and results of operations of Complete Solaria, Inc. at the dates and for the periods indicated.</w:t>
      </w:r>
    </w:p>
    <w:p>
      <w:pPr>
        <w:pStyle w:val="TextBody"/>
        <w:bidi w:val="0"/>
        <w:spacing w:before="0" w:after="0"/>
        <w:ind w:left="0" w:right="0" w:hanging="0"/>
        <w:jc w:val="both"/>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2120"/>
        <w:gridCol w:w="320"/>
        <w:gridCol w:w="2375"/>
      </w:tblGrid>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J. ANDERSON</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Brian Wuebbels, certify, as of the date hereof, pursuant to 18 U.S.C. Section 1350, as adopted pursuant to Section 906 of the Sarbanes-Oxley Act of 2002, that the Quarterly Report of Complete Solaria, Inc. on Form 10-Q for the period ended October 1, 2023 fully complies with the requirements of Section 13(a) or 15(d) of the Securities Exchange Act of 1934 and that information contained in such Form 10-Q fairly presents in all material respects the financial condition and results of operations of Complete Solaria, Inc. at the dates and for the periods indicated.</w:t>
      </w:r>
    </w:p>
    <w:p>
      <w:pPr>
        <w:pStyle w:val="TextBody"/>
        <w:bidi w:val="0"/>
        <w:spacing w:before="0" w:after="0"/>
        <w:ind w:left="0" w:right="0" w:hanging="0"/>
        <w:jc w:val="both"/>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2120"/>
        <w:gridCol w:w="320"/>
        <w:gridCol w:w="1970"/>
      </w:tblGrid>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WUEBBELS</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Wuebbels</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Complete Solaria, Inc. and will be retained by Complete Solaria, Inc.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8987/000119312523030704/d425844dex24.htm" TargetMode="External"/><Relationship Id="rId3" Type="http://schemas.openxmlformats.org/officeDocument/2006/relationships/hyperlink" Target="http://www.sec.gov/Archives/edgar/data/1838987/000119312523239699/d558159dex21.htm" TargetMode="External"/><Relationship Id="rId4" Type="http://schemas.openxmlformats.org/officeDocument/2006/relationships/hyperlink" Target="http://www.sec.gov/Archives/edgar/data/1838987/000119312523191334/d862117dex31.htm" TargetMode="External"/><Relationship Id="rId5" Type="http://schemas.openxmlformats.org/officeDocument/2006/relationships/hyperlink" Target="http://www.sec.gov/Archives/edgar/data/1838987/000119312523191334/d862117dex32.htm" TargetMode="External"/><Relationship Id="rId6" Type="http://schemas.openxmlformats.org/officeDocument/2006/relationships/hyperlink" Target="http://www.sec.gov/Archives/edgar/data/1838987/000119312523255093/d569645dex41.htm" TargetMode="External"/><Relationship Id="rId7" Type="http://schemas.openxmlformats.org/officeDocument/2006/relationships/hyperlink" Target="http://www.sec.gov/Archives/edgar/data/1838987/000119312523255093/d569645dex42.htm" TargetMode="External"/><Relationship Id="rId8" Type="http://schemas.openxmlformats.org/officeDocument/2006/relationships/hyperlink" Target="http://www.sec.gov/Archives/edgar/data/1838987/000119312523192359/d530739dex41.htm" TargetMode="External"/><Relationship Id="rId9" Type="http://schemas.openxmlformats.org/officeDocument/2006/relationships/hyperlink" Target="http://www.sec.gov/Archives/edgar/data/1838987/000095010321003441/dp147251_ex0401.htm" TargetMode="External"/><Relationship Id="rId10" Type="http://schemas.openxmlformats.org/officeDocument/2006/relationships/hyperlink" Target="http://www.sec.gov/Archives/edgar/data/1838987/000119312523192359/d530739dex1023.htm" TargetMode="External"/><Relationship Id="rId11" Type="http://schemas.openxmlformats.org/officeDocument/2006/relationships/hyperlink" Target="http://www.sec.gov/Archives/edgar/data/1838987/000119312523192359/d530739dex1024.htm" TargetMode="External"/><Relationship Id="rId12" Type="http://schemas.openxmlformats.org/officeDocument/2006/relationships/hyperlink" Target="http://www.sec.gov/Archives/edgar/data/1838987/000119312523192359/d530739dex1025.htm" TargetMode="External"/><Relationship Id="rId13" Type="http://schemas.openxmlformats.org/officeDocument/2006/relationships/hyperlink" Target="http://www.sec.gov/Archives/edgar/data/1838987/000119312523192359/d530739dex1026.htm" TargetMode="External"/><Relationship Id="rId14" Type="http://schemas.openxmlformats.org/officeDocument/2006/relationships/hyperlink" Target="http://www.sec.gov/Archives/edgar/data/1838987/000119312523192359/d530739dex1027.htm" TargetMode="External"/><Relationship Id="rId15" Type="http://schemas.openxmlformats.org/officeDocument/2006/relationships/hyperlink" Target="http://www.sec.gov/Archives/edgar/data/1838987/000119312523192359/d530739dex1028.htm" TargetMode="External"/><Relationship Id="rId16" Type="http://schemas.openxmlformats.org/officeDocument/2006/relationships/hyperlink" Target="http://www.sec.gov/Archives/edgar/data/1838987/000119312523192359/d530739dex1029.htm" TargetMode="External"/><Relationship Id="rId17" Type="http://schemas.openxmlformats.org/officeDocument/2006/relationships/hyperlink" Target="http://www.sec.gov/Archives/edgar/data/1838987/000119312523192359/d530739dex1030.htm" TargetMode="External"/><Relationship Id="rId18" Type="http://schemas.openxmlformats.org/officeDocument/2006/relationships/hyperlink" Target="http://www.sec.gov/Archives/edgar/data/1838987/000119312523192359/d530739dex1031.htm" TargetMode="External"/><Relationship Id="rId19" Type="http://schemas.openxmlformats.org/officeDocument/2006/relationships/hyperlink" Target="http://www.sec.gov/Archives/edgar/data/1838987/000119312523192359/d530739dex1032.htm" TargetMode="External"/><Relationship Id="rId20" Type="http://schemas.openxmlformats.org/officeDocument/2006/relationships/hyperlink" Target="http://www.sec.gov/Archives/edgar/data/1838987/000119312523186922/d530874dex101.htm" TargetMode="External"/><Relationship Id="rId21" Type="http://schemas.openxmlformats.org/officeDocument/2006/relationships/hyperlink" Target="http://www.sec.gov/Archives/edgar/data/1838987/000119312523185048/d532459dex101.htm" TargetMode="External"/><Relationship Id="rId22" Type="http://schemas.openxmlformats.org/officeDocument/2006/relationships/hyperlink" Target="http://www.sec.gov/Archives/edgar/data/1838987/000119312523184254/d531627dex101.htm" TargetMode="External"/><Relationship Id="rId23" Type="http://schemas.openxmlformats.org/officeDocument/2006/relationships/hyperlink" Target="http://www.sec.gov/Archives/edgar/data/1838987/000119312523192359/d530739dex105.htm" TargetMode="External"/><Relationship Id="rId24" Type="http://schemas.openxmlformats.org/officeDocument/2006/relationships/hyperlink" Target="http://www.sec.gov/Archives/edgar/data/1838987/000119312523192359/d530739dex106.htm" TargetMode="External"/><Relationship Id="rId25" Type="http://schemas.openxmlformats.org/officeDocument/2006/relationships/hyperlink" Target="http://www.sec.gov/Archives/edgar/data/1838987/000119312523192359/d530739dex107.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55073</Words>
  <Characters>304523</Characters>
  <CharactersWithSpaces>361710</CharactersWithSpaces>
  <Paragraphs>9611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