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ea030582402-424b3_sunpower.htm"/>
      <w:bookmarkStart w:id="1" w:name="ksea030582402424b3_sunpower"/>
      <w:bookmarkEnd w:id="0"/>
      <w:bookmarkEnd w:id="1"/>
      <w:r>
        <w:rPr/>
        <w:t> </w:t>
      </w:r>
    </w:p>
    <w:p>
      <w:pPr>
        <w:pStyle w:val="TextBody"/>
        <w:bidi w:val="0"/>
        <w:jc w:val="right"/>
        <w:rPr>
          <w:b/>
        </w:rPr>
      </w:pPr>
      <w:r>
        <w:rPr>
          <w:b/>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7</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39,534,884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333-296206). This prospectus supplement is being filed to update and supplement the information in the prospectus with the information contained in our Current Report on Form 8-K filed with the SEC on September 17,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registration of the resale or other disposition of up to 39,534,884 shares of our common stock by YA II PN, LTD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Yorkville is also referred to in the prospectus and this prospectus supplement as the Selling Securityholder. The shares of our common stock to which the prospectus and this prospectus supplement relate have been or may be issued by us to Yorkville (i) pursuant to a standby equity purchase agreement, dated as of January 27, 2026, by and between us and Yorkville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and (ii) upon conversion of a convertible debenture issued by us on March 6, 2026 to Yorkville (the “</w:t>
      </w:r>
      <w:r>
        <w:rPr>
          <w:rFonts w:ascii="Times New Roman;Times;Serif" w:hAnsi="Times New Roman;Times;Serif"/>
          <w:b/>
          <w:i w:val="false"/>
          <w:caps w:val="false"/>
          <w:smallCaps w:val="false"/>
          <w:sz w:val="20"/>
        </w:rPr>
        <w:t>YA Debenture</w:t>
      </w:r>
      <w:r>
        <w:rPr>
          <w:rFonts w:ascii="Times New Roman;Times;Serif" w:hAnsi="Times New Roman;Times;Serif"/>
          <w:b w:val="false"/>
          <w:i w:val="false"/>
          <w:caps w:val="false"/>
          <w:smallCaps w:val="false"/>
          <w:sz w:val="20"/>
        </w:rPr>
        <w:t>”). Such shares of common stock include (i) up to 25,000,000 shares of common stock that we may, at our discretion, elect to issue and sell to Yorkville from time to time after the date of the prospectus and this prospectus supplement pursuant to the SEPA (the “</w:t>
      </w:r>
      <w:r>
        <w:rPr>
          <w:rFonts w:ascii="Times New Roman;Times;Serif" w:hAnsi="Times New Roman;Times;Serif"/>
          <w:b/>
          <w:i w:val="false"/>
          <w:caps w:val="false"/>
          <w:smallCaps w:val="false"/>
          <w:sz w:val="20"/>
        </w:rPr>
        <w:t>SEPA Shares</w:t>
      </w:r>
      <w:r>
        <w:rPr>
          <w:rFonts w:ascii="Times New Roman;Times;Serif" w:hAnsi="Times New Roman;Times;Serif"/>
          <w:b w:val="false"/>
          <w:i w:val="false"/>
          <w:caps w:val="false"/>
          <w:smallCaps w:val="false"/>
          <w:sz w:val="20"/>
        </w:rPr>
        <w:t>”) and (ii) up to 14,534,884 shares of common stock that may be issued to Yorkville upon conversion by Yorkville of the YA Debenture (the “</w:t>
      </w:r>
      <w:r>
        <w:rPr>
          <w:rFonts w:ascii="Times New Roman;Times;Serif" w:hAnsi="Times New Roman;Times;Serif"/>
          <w:b/>
          <w:i w:val="false"/>
          <w:caps w:val="false"/>
          <w:smallCaps w:val="false"/>
          <w:sz w:val="20"/>
        </w:rPr>
        <w:t>Debenture Shares</w:t>
      </w:r>
      <w:r>
        <w:rPr>
          <w:rFonts w:ascii="Times New Roman;Times;Serif" w:hAnsi="Times New Roman;Times;Serif"/>
          <w:b w:val="false"/>
          <w:i w:val="false"/>
          <w:caps w:val="false"/>
          <w:smallCaps w:val="false"/>
          <w:sz w:val="20"/>
        </w:rPr>
        <w:t>” and, collectively with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and this prospectus supplement and will not receive any of the proceeds from the sale of our common stock by the Selling Securityholder. Prior to the date of the prospectus and this prospectus supplement, we received (i) proceeds of $1,710,000 in connection with our sale and issuance to Yorkville on January 27, 2026 of a convertible promissory note in the aggregate principal amount of $1,900,000 as a pre-paid advance under the SEPA and (ii) proceeds of $9,000,000 from the issuance and sale by us to Yorkville of the YA Debenture; and we may receive proceeds from sales of common stock that we may elect to make to Yorkville pursuant to the SEPA, if any, from time to time after the date of the prospectus and this prospectus supplement. The net proceeds from sales, if any, under the SEPA, will depend on the frequency and prices at which we sell shares of common stock to Yorkville after the date of the prospectus and this prospectus supplement. See “PROSPECTUS SUMMARY - The Standby Equity Purchase Agreement” on page 4 of the prospectus for a description of the SEPA and YA Debenture and “SELLING SECURITYHOLDER” on page 109 of the prospectus for additional information regarding the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common stock described in the prospectus and this prospectus supplement in a number of different ways and at varying prices. Yorkville is an “underwriter” within the meaning of Section 2(a)(11)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only with respect to advances under the SEPA (“</w:t>
      </w:r>
      <w:r>
        <w:rPr>
          <w:rFonts w:ascii="Times New Roman;Times;Serif" w:hAnsi="Times New Roman;Times;Serif"/>
          <w:b/>
          <w:i w:val="false"/>
          <w:caps w:val="false"/>
          <w:smallCaps w:val="false"/>
          <w:sz w:val="20"/>
        </w:rPr>
        <w:t>Advances</w:t>
      </w:r>
      <w:r>
        <w:rPr>
          <w:rFonts w:ascii="Times New Roman;Times;Serif" w:hAnsi="Times New Roman;Times;Serif"/>
          <w:b w:val="false"/>
          <w:i w:val="false"/>
          <w:caps w:val="false"/>
          <w:smallCaps w:val="false"/>
          <w:sz w:val="20"/>
        </w:rPr>
        <w:t>”),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to Yorkville upon conversion by Yorkville of the YA Debenture. We will pay the expenses incurred in registering under the Securities Act the offer and sale of the shares of the common stock to which the prospectus and this prospectus supplement relate by the Selling Securityholder, including our legal and accounting fees. See “Plan of Distribution” on page 124 of the prospectus for more information. No securities may be sold without delivery of the prospectus and this prospectus supplement and any applicable prospectus supplement describing the method and terms of the offering of such securities. You should carefully read the prospectus and this prospectus supplement and any applicable prospectus supplement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Northland Capital Markets (“</w:t>
      </w:r>
      <w:r>
        <w:rPr>
          <w:rFonts w:ascii="Times New Roman;Times;Serif" w:hAnsi="Times New Roman;Times;Serif"/>
          <w:b/>
          <w:i w:val="false"/>
          <w:caps w:val="false"/>
          <w:smallCaps w:val="false"/>
          <w:sz w:val="20"/>
        </w:rPr>
        <w:t>Northland</w:t>
      </w:r>
      <w:r>
        <w:rPr>
          <w:rFonts w:ascii="Times New Roman;Times;Serif" w:hAnsi="Times New Roman;Times;Serif"/>
          <w:b w:val="false"/>
          <w:i w:val="false"/>
          <w:caps w:val="false"/>
          <w:smallCaps w:val="false"/>
          <w:sz w:val="20"/>
        </w:rPr>
        <w:t>”) as our placement agent in connection with the SEPA. We have agreed to pay Northland a cash fee of 5.0% based upon the aggregate gross proceeds received from the sales of convertible promissory notes and common stock that we elect to make to Yorkville pursuant to the SEPA. See “Plan of Distribution” on page 124 of the prospectus for additional information regarding this arrangement.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September 16, 2026, the closing price of our common stock was $0.3169.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12 of the prospectus, and under similar headings in any amendments or supplements to the prospectus and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 xml:space="preserve">1403 N. Research Way, Orem, 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Jamie Haenggi, a member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SunPower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informed the Company of her decision not to stand for reelection at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Ms. Haenggi will continue to serve as a director until the 2026 Annual Meeting. Ms. Haenggi’s decision not to stand for reelection was not the result of any disagreement with the Company or the Board on any matter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5.08 Shareholder Director Nominations.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 Item 8.01 of this Current Report on Form 8-K is incorporated by reference into this Item 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set November 2, 2026 as the date of the 2026 Annual Meeting. The 2026 Annual Meeting will be held virtually online by means of remote communication. More detailed information regarding the 2026 Annual Meeting will be set forth in the Company’s Definitive Proxy Statement on Schedule 14A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record date for the 2026 Annual Meeting is September 18, 2026. Stockholders owning the Company’s common stock at the close of business on such record date, or their legal proxy holders, are entitled to vote at the 2026 Annual Meeting. The Company reserves the right to change the record date or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2026 Annual Meeting is being delayed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hereby informing shareholders of such change. In addition, because the 2026 Annual Meeting will be held more than 30 days from the anniversary date of the 2025 Annual Meeting, the deadlines for stockholders’ nominations or proposals for consideration at the 2026 Annual Meeting set forth in the Company’s proxy statement for the 2025 Annual Meeting no longer apply. Further, because the 2026 Annual Meeting will be held more than 60 days from the anniversary date of the 2025 Annual Meeting, the deadlines set forth in the proxy statement for the 2025 Annual Meeting for shareholders to submit a notice of a proposal outside the processes of Rule 14a-8 of the Exchange Act and a notice of proposed director nominations, in each case for consideration at the 2026 Annual Meeting, no longer apply.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SunPower Inc., 1403 N. Research Way, Orem, UT 84097 no later than September 28,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 the Delaware General Corporation Law and the Company’s Second Amended and Restated Bylaws, and are delivered to, or mailed and received at, the Company’s principal executive offices on or before the close of business on September 28, 2026. Any director nominations and stockholder proposals received after this deadline will be considered untimely and will not be considered for inclusion in the proxy materials for the 2026 Annual Meeting nor will they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630"/>
        <w:gridCol w:w="365"/>
        <w:gridCol w:w="2420"/>
      </w:tblGrid>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smallCaps/>
              </w:rPr>
            </w:pPr>
            <w:r>
              <w:rPr>
                <w:b/>
                <w:smallCaps/>
              </w:rPr>
              <w:t>SunPower Inc.</w:t>
            </w:r>
          </w:p>
        </w:tc>
      </w:tr>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17, 2026</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2231</Words>
  <Characters>11816</Characters>
  <CharactersWithSpaces>14068</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