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333-296205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June 1,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18,805,310 Shares of Common Stock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36,283,183 Shares of Common Stock Issuable Upon Conversion of Convertible Notes</w:t>
      </w:r>
    </w:p>
    <w:p>
      <w:pPr>
        <w:spacing w:after="0" w:line="22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June 1, 2026 (as amended or supplemented,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which forms a part of our registration statement on Form S-1 (No. 333-296205). This prospectus supplement is being filed to update and supplement the information in the prospectus with the information contained in Item 1.01, Item 3.01 and Exhibit 10.1 of Item 9.01 (the “</w:t>
      </w:r>
      <w:r>
        <w:rPr>
          <w:rFonts w:ascii="Times New Roman" w:cs="Times New Roman" w:eastAsia="Times New Roman" w:hAnsi="Times New Roman"/>
          <w:sz w:val="18"/>
          <w:szCs w:val="18"/>
          <w:b w:val="1"/>
          <w:bCs w:val="1"/>
          <w:color w:val="auto"/>
        </w:rPr>
        <w:t>Supplemental Information</w:t>
      </w:r>
      <w:r>
        <w:rPr>
          <w:rFonts w:ascii="Times New Roman" w:cs="Times New Roman" w:eastAsia="Times New Roman" w:hAnsi="Times New Roman"/>
          <w:sz w:val="18"/>
          <w:szCs w:val="18"/>
          <w:color w:val="auto"/>
        </w:rPr>
        <w:t>”) of our Current Report on Form 8-K filed with the Securities and Exchange Commission on July 1, 2026 (the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Accordingly, we have attached the Current Report to this prospectus supplement with respect to the Supplemental Information, and the information contained in Item 7.01 of the Current Report is expressly excluded from this prospectus supplement and are not filed for any purposes under the prospectus or this prospectus supplement.</w:t>
      </w:r>
    </w:p>
    <w:p>
      <w:pPr>
        <w:spacing w:after="0" w:line="18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offer and sale from time to time by the selling securityholders named in the prospectus and this prospectus supplement or their permitted transferees, donees, pledgees and other successors-in-interest (collectively,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of up to 55,088,493 shares of our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consisting of (i) up to 36,283,183 shares of common stock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issuable upon conversion of our 10.0% convertible senior secured notes due 2029 (the “</w:t>
      </w:r>
      <w:r>
        <w:rPr>
          <w:rFonts w:ascii="Times New Roman" w:cs="Times New Roman" w:eastAsia="Times New Roman" w:hAnsi="Times New Roman"/>
          <w:sz w:val="18"/>
          <w:szCs w:val="18"/>
          <w:b w:val="1"/>
          <w:bCs w:val="1"/>
          <w:color w:val="auto"/>
        </w:rPr>
        <w:t>10.0% Notes</w:t>
      </w:r>
      <w:r>
        <w:rPr>
          <w:rFonts w:ascii="Times New Roman" w:cs="Times New Roman" w:eastAsia="Times New Roman" w:hAnsi="Times New Roman"/>
          <w:sz w:val="18"/>
          <w:szCs w:val="18"/>
          <w:color w:val="auto"/>
        </w:rPr>
        <w:t>”); and (ii) 18,805,310 shares of common stock (the “</w:t>
      </w:r>
      <w:r>
        <w:rPr>
          <w:rFonts w:ascii="Times New Roman" w:cs="Times New Roman" w:eastAsia="Times New Roman" w:hAnsi="Times New Roman"/>
          <w:sz w:val="18"/>
          <w:szCs w:val="18"/>
          <w:b w:val="1"/>
          <w:bCs w:val="1"/>
          <w:color w:val="auto"/>
        </w:rPr>
        <w:t>Exchange Shares</w:t>
      </w:r>
      <w:r>
        <w:rPr>
          <w:rFonts w:ascii="Times New Roman" w:cs="Times New Roman" w:eastAsia="Times New Roman" w:hAnsi="Times New Roman"/>
          <w:sz w:val="18"/>
          <w:szCs w:val="18"/>
          <w:color w:val="auto"/>
        </w:rPr>
        <w:t>” and, together with the Conversion Shares,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issued by us to certain Selling Securityholders pursuant to the Exchange Agreements, each dated April 21, 2026, by and between the Company and such Selling Securityholders (the “</w:t>
      </w:r>
      <w:r>
        <w:rPr>
          <w:rFonts w:ascii="Times New Roman" w:cs="Times New Roman" w:eastAsia="Times New Roman" w:hAnsi="Times New Roman"/>
          <w:sz w:val="18"/>
          <w:szCs w:val="18"/>
          <w:b w:val="1"/>
          <w:bCs w:val="1"/>
          <w:color w:val="auto"/>
        </w:rPr>
        <w:t>Exchange Agreements</w:t>
      </w:r>
      <w:r>
        <w:rPr>
          <w:rFonts w:ascii="Times New Roman" w:cs="Times New Roman" w:eastAsia="Times New Roman" w:hAnsi="Times New Roman"/>
          <w:sz w:val="18"/>
          <w:szCs w:val="18"/>
          <w:color w:val="auto"/>
        </w:rPr>
        <w:t>”).</w:t>
      </w:r>
    </w:p>
    <w:p>
      <w:pPr>
        <w:spacing w:after="0" w:line="187"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Prospectus Summary</w:t>
      </w:r>
      <w:r>
        <w:rPr>
          <w:rFonts w:ascii="Times New Roman" w:cs="Times New Roman" w:eastAsia="Times New Roman" w:hAnsi="Times New Roman"/>
          <w:sz w:val="18"/>
          <w:szCs w:val="18"/>
          <w:color w:val="auto"/>
        </w:rPr>
        <w:t>” below for a description of the 10.0% Notes and the Exchange Agreements and “SELLING SECURITYHOLDERS” on page 100 of the prospectus for additional information regarding the Selling Securityholders.</w:t>
      </w:r>
    </w:p>
    <w:p>
      <w:pPr>
        <w:spacing w:after="0" w:line="16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selling any securities under the prospectus and this prospectus supplement and will not receive any of the proceeds from the sale of our common stock by the Selling Securityholders.</w:t>
      </w:r>
    </w:p>
    <w:p>
      <w:pPr>
        <w:spacing w:after="0" w:line="16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may sell or otherwise dispose of the shares of common stock described in the prospectus and this prospectus supplement in a number of different ways and at varying prices.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 about how the Selling Securityholders may sell or otherwise dispose of the shares of common stock being registered pursuant to the prospectus and this prospectus supplement. None of the Selling Securityholders are an “underwriter” with respect to the securities registered hereunder within the meaning of Section 2(a)(11) of the Securities Act of 1933, as amended.</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Shares of our common stock are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“SPWR”. On June 22, 2026, the closing price of our common stock was $0.6873.</w:t>
      </w:r>
    </w:p>
    <w:p>
      <w:pPr>
        <w:spacing w:after="0" w:line="15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thereto.</w:t>
      </w:r>
    </w:p>
    <w:p>
      <w:pPr>
        <w:spacing w:after="0" w:line="15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“Risk Factors” beginning on page 8 of the prospectus, and under similar headings in any amendments or supplements to the prospectus and this prospectus supplement.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1403 N. Research Way, Orem, UT</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84097</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299-4943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SPWR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SPWRW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29, 2026 and June 30, 2026, SunPower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separately- and privately- negotiated agreements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with certain holders of its 12.0% Convertible Senior Notes due 2029 (the “</w:t>
      </w:r>
      <w:r>
        <w:rPr>
          <w:rFonts w:ascii="Times New Roman" w:cs="Times New Roman" w:eastAsia="Times New Roman" w:hAnsi="Times New Roman"/>
          <w:sz w:val="18"/>
          <w:szCs w:val="18"/>
          <w:b w:val="1"/>
          <w:bCs w:val="1"/>
          <w:i w:val="1"/>
          <w:iCs w:val="1"/>
          <w:color w:val="auto"/>
        </w:rPr>
        <w:t>12.0% Notes</w:t>
      </w:r>
      <w:r>
        <w:rPr>
          <w:rFonts w:ascii="Times New Roman" w:cs="Times New Roman" w:eastAsia="Times New Roman" w:hAnsi="Times New Roman"/>
          <w:sz w:val="18"/>
          <w:szCs w:val="18"/>
          <w:color w:val="auto"/>
        </w:rPr>
        <w:t>”), 10.0% Convertible Senior Secured Notes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2029 (the “</w:t>
      </w:r>
      <w:r>
        <w:rPr>
          <w:rFonts w:ascii="Times New Roman" w:cs="Times New Roman" w:eastAsia="Times New Roman" w:hAnsi="Times New Roman"/>
          <w:sz w:val="18"/>
          <w:szCs w:val="18"/>
          <w:b w:val="1"/>
          <w:bCs w:val="1"/>
          <w:i w:val="1"/>
          <w:iCs w:val="1"/>
          <w:color w:val="auto"/>
        </w:rPr>
        <w:t>10.0% Notes</w:t>
      </w:r>
      <w:r>
        <w:rPr>
          <w:rFonts w:ascii="Times New Roman" w:cs="Times New Roman" w:eastAsia="Times New Roman" w:hAnsi="Times New Roman"/>
          <w:sz w:val="18"/>
          <w:szCs w:val="18"/>
          <w:color w:val="auto"/>
        </w:rPr>
        <w:t>”) and 7.0% Convertible Senior Notes due 2029 (the “</w:t>
      </w:r>
      <w:r>
        <w:rPr>
          <w:rFonts w:ascii="Times New Roman" w:cs="Times New Roman" w:eastAsia="Times New Roman" w:hAnsi="Times New Roman"/>
          <w:sz w:val="18"/>
          <w:szCs w:val="18"/>
          <w:b w:val="1"/>
          <w:bCs w:val="1"/>
          <w:i w:val="1"/>
          <w:iCs w:val="1"/>
          <w:color w:val="auto"/>
        </w:rPr>
        <w:t>7.0% Notes</w:t>
      </w:r>
      <w:r>
        <w:rPr>
          <w:rFonts w:ascii="Times New Roman" w:cs="Times New Roman" w:eastAsia="Times New Roman" w:hAnsi="Times New Roman"/>
          <w:sz w:val="18"/>
          <w:szCs w:val="18"/>
          <w:color w:val="auto"/>
        </w:rPr>
        <w:t>” and together with the 12.0% Notes and the 10.0% Notes, collectively,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Exchange Agreements, the applicable holders of Notes agreed to exchange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approximately $10.7 million of cash interest otherwise payable on July 1, 2026, October 1, 2026 and January 1, 2027 (the “</w:t>
      </w:r>
      <w:r>
        <w:rPr>
          <w:rFonts w:ascii="Times New Roman" w:cs="Times New Roman" w:eastAsia="Times New Roman" w:hAnsi="Times New Roman"/>
          <w:sz w:val="18"/>
          <w:szCs w:val="18"/>
          <w:b w:val="1"/>
          <w:bCs w:val="1"/>
          <w:i w:val="1"/>
          <w:iCs w:val="1"/>
          <w:color w:val="auto"/>
        </w:rPr>
        <w:t>Exchanged Interest Amounts</w:t>
      </w:r>
      <w:r>
        <w:rPr>
          <w:rFonts w:ascii="Times New Roman" w:cs="Times New Roman" w:eastAsia="Times New Roman" w:hAnsi="Times New Roman"/>
          <w:sz w:val="18"/>
          <w:szCs w:val="18"/>
          <w:color w:val="auto"/>
        </w:rPr>
        <w:t>”) for 19,300,991 shares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transactions under the Exchange Agreements 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and the Exchange Shares were issued on, July 1, 2026. As a result of the Exchange, the Exchanged Interest Amounts will not be payable in cash by the Company on the applicable payment dates under the Notes. The Exchange Agreements include registration rights, representations and warranties and other covenants that are customary for such exchange transactions.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Exchange Agreements is qualified in its entirety by reference to the copy of the form of Exchange Agreement attached as Exhibit 10.1 to this Current Report on Form 8-K, and such Exhibit 10.1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Exchange Shares in reliance upon the exemption from registration provided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Exchange Shares have not been registered under the Securities Act and may not be offered or sold in the United States absent registration or an applicable exemption from registration requirements. This Current Report on Form 8-K shall not constitute an offer to sell or the solicitation of an offer to buy, nor shall such securities be offered or sold in the United States absent registration or an applicable exemption from the registration requirements and certificates evidencing such shares contain a legend stating the same.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2026, the Company issued a press release announcing the Exchange.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7.01 and the accompanying Exhibit 99.1 shall not be deemed to be “filed” for purposes of Section 18 of the Securities Exchange Act of 1934, as amended, or otherwise subject to the liabilities of that section or Sections 11 and 12(a)(2)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1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45"/>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740" w:type="dxa"/>
            <w:vAlign w:val="bottom"/>
            <w:tcBorders>
              <w:top w:val="single" w:sz="8" w:color="auto"/>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Form of Equity for Interest Exchange Agreement+*</w:t>
              </w:r>
            </w:hyperlink>
          </w:p>
        </w:tc>
        <w:tc>
          <w:tcPr>
            <w:tcW w:w="63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3"/>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Press Release, dated July 1,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9" w:lineRule="exact"/>
        <w:rPr>
          <w:sz w:val="20"/>
          <w:szCs w:val="20"/>
          <w:color w:val="auto"/>
        </w:rPr>
      </w:pPr>
    </w:p>
    <w:p>
      <w:pPr>
        <w:ind w:left="1160" w:hanging="1139"/>
        <w:spacing w:after="0"/>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Item 601(a)(5) of Regulation S-K. The registrant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ind w:left="5580" w:right="4080" w:hanging="5572"/>
        <w:spacing w:after="0" w:line="783" w:lineRule="auto"/>
        <w:tabs>
          <w:tab w:leader="none" w:pos="3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are redacted in accordance with Item 601(b)(10)(iv) of Regulation S-K.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un</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ower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1, 2026</w:t>
      </w:r>
      <w:r>
        <w:rPr>
          <w:sz w:val="20"/>
          <w:szCs w:val="20"/>
          <w:color w:val="auto"/>
        </w:rPr>
        <w:tab/>
      </w: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4" Type="http://schemas.openxmlformats.org/officeDocument/2006/relationships/hyperlink" Target="https://www.sec.gov/Archives/edgar/data/1838987/000121390026073995/ea029660301ex10-1.htm" TargetMode="External"/><Relationship Id="rId15" Type="http://schemas.openxmlformats.org/officeDocument/2006/relationships/hyperlink" Target="https://www.sec.gov/Archives/edgar/data/1838987/000121390026073995/ea029660301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2026-07-01T07:27:16Z</dcterms:created>
  <dcterms:modified xsi:type="dcterms:W3CDTF">2026-07-01T07:27:16Z</dcterms:modified>
</cp:coreProperties>
</file>