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160020</wp:posOffset>
            </wp:positionV>
            <wp:extent cx="18345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55753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040" w:space="720"/>
            <w:col w:w="2480"/>
          </w:cols>
          <w:pgMar w:left="320" w:top="46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Up to 33,894,518 Shares of Common Stock Up to 21,874,907 Shares of Common Stock Issuable Upon Exercise of Warrants Up to 13,249,907 Warrants to Purchase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122555</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relates to the issuance by us of an aggregate of up to 21,874,907 shares of our common stock, $0.0001 par value per share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which consists of (i) up to 6,266,667 shares of common stock that are issuable upon the exercise of warrants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originally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in a private placement to Freedom Acquisition I,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connection with the initial public offering of Freedom Acquisition I Corp. (“</w:t>
      </w:r>
      <w:r>
        <w:rPr>
          <w:rFonts w:ascii="Times New Roman" w:cs="Times New Roman" w:eastAsia="Times New Roman" w:hAnsi="Times New Roman"/>
          <w:sz w:val="18"/>
          <w:szCs w:val="18"/>
          <w:b w:val="1"/>
          <w:bCs w:val="1"/>
          <w:color w:val="auto"/>
        </w:rPr>
        <w:t>FACT</w:t>
      </w:r>
      <w:r>
        <w:rPr>
          <w:rFonts w:ascii="Times New Roman" w:cs="Times New Roman" w:eastAsia="Times New Roman" w:hAnsi="Times New Roman"/>
          <w:sz w:val="18"/>
          <w:szCs w:val="18"/>
          <w:color w:val="auto"/>
        </w:rPr>
        <w:t>”), (ii) up to 8,625,000 shares of common stock that are issuable upon the exercise of warrants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originally issued in the initial public offering of FACT, (iii) up to 716,668 shares of common stock that are issuable upon the exercise of warrants issued to certain selling securityholders in connection with conversion of working capital loans (the “</w:t>
      </w:r>
      <w:r>
        <w:rPr>
          <w:rFonts w:ascii="Times New Roman" w:cs="Times New Roman" w:eastAsia="Times New Roman" w:hAnsi="Times New Roman"/>
          <w:sz w:val="18"/>
          <w:szCs w:val="18"/>
          <w:b w:val="1"/>
          <w:bCs w:val="1"/>
          <w:color w:val="auto"/>
        </w:rPr>
        <w:t>Working Capital Warrants</w:t>
      </w:r>
      <w:r>
        <w:rPr>
          <w:rFonts w:ascii="Times New Roman" w:cs="Times New Roman" w:eastAsia="Times New Roman" w:hAnsi="Times New Roman"/>
          <w:sz w:val="18"/>
          <w:szCs w:val="18"/>
          <w:color w:val="auto"/>
        </w:rPr>
        <w:t>”) and (iv) up to 6,266,572 shares of common stock that are issuable upon the exercise of warrants issued to certain equityholders of Legacy Complete Solaria (as defined herein) received as consideration in connection with the exchange of their capital stock held in Legacy Complete Solaria (the “</w:t>
      </w:r>
      <w:r>
        <w:rPr>
          <w:rFonts w:ascii="Times New Roman" w:cs="Times New Roman" w:eastAsia="Times New Roman" w:hAnsi="Times New Roman"/>
          <w:sz w:val="18"/>
          <w:szCs w:val="18"/>
          <w:b w:val="1"/>
          <w:bCs w:val="1"/>
          <w:color w:val="auto"/>
        </w:rPr>
        <w:t>Merger Warrants</w:t>
      </w:r>
      <w:r>
        <w:rPr>
          <w:rFonts w:ascii="Times New Roman" w:cs="Times New Roman" w:eastAsia="Times New Roman" w:hAnsi="Times New Roman"/>
          <w:sz w:val="18"/>
          <w:szCs w:val="18"/>
          <w:color w:val="auto"/>
        </w:rPr>
        <w:t>” and together with the Private Warrants, Public Warrants and the Working Capital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We will receive the proceeds from any exercise of any Warrants for cash.</w:t>
      </w:r>
    </w:p>
    <w:p>
      <w:pPr>
        <w:spacing w:after="0" w:line="189"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securityholders named in this prospectus or their permitted transferees (the “</w:t>
      </w:r>
      <w:r>
        <w:rPr>
          <w:rFonts w:ascii="Times New Roman" w:cs="Times New Roman" w:eastAsia="Times New Roman" w:hAnsi="Times New Roman"/>
          <w:sz w:val="18"/>
          <w:szCs w:val="18"/>
          <w:b w:val="1"/>
          <w:bCs w:val="1"/>
          <w:color w:val="auto"/>
        </w:rPr>
        <w:t>selling securityholders</w:t>
      </w:r>
      <w:r>
        <w:rPr>
          <w:rFonts w:ascii="Times New Roman" w:cs="Times New Roman" w:eastAsia="Times New Roman" w:hAnsi="Times New Roman"/>
          <w:sz w:val="18"/>
          <w:szCs w:val="18"/>
          <w:color w:val="auto"/>
        </w:rPr>
        <w:t>”) of (i) up to 33,894,518 shares of common stock consisting of (a) up to 7,518,488 shares of common stock issued in connection with private placements pursuant to subscription agreements entered into on or around July 13, 2023, consisting of (1) 1,630,000 shares of common stock issued pursuant to private investment in public equity subscription agreements, issued at $10.00 per share, (2) 270,000 shares of common stock transferred to the selling securityholders by the Sponsor for no consideration and (3) 5,618,488 shares of common stock issued pursuant to forward purchase agreements issued at approximately $10.00 per share (collectively, the “</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(b) up to 8,625,000 shares of common stock originally issued in a private placement to the Sponsor in connection with the initial public offering of FACT at a price of $0.003 per share, (c) up to 6,266,667 shares of common stock issuable upon exercise of the Private Warrants at an exercise price of $11.50 per share of common stock, (d) up to 4,501,123 shares of common stock pursuant to that certain Amended and Restated Registration Rights Agreement, July 18, 2023, between us and the selling securityholders granting such holders registration rights with respect to such shares originally issued at a price of $0.48 per share, (e) up to 716,668 shares of common stock that are issuable upon the exercise of the Working Capital Warrants at a price of $11.50 per share, and (f) up to 6,266,572 shares of common stock issuable upon exercise of the Merger Warrants at a price of $11.50 per share, and (ii) up to 13,249,907 Warrants consisting of (a) up to 6,266,667 Private Warrants, (b) up to 716,668 Working Capital Warrants and (c) up to 6,266,572 Merger Warrants. We will not receive any proceeds from the sale of shares of common stock or Warrants by the selling securityholders pursuant to this prospectus.</w:t>
      </w:r>
    </w:p>
    <w:p>
      <w:pPr>
        <w:spacing w:after="0" w:line="197"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securityholders may offer, sell or distribute all or a portion of the securities hereby registered publicly or through private transactions at prevailing market prices or at negotiated prices. We will not receive any of the proceeds from such sales of the shares of common stock or Warrants, except with respect to amounts received by us upon exercise of the Warrants. We believe the likelihood that warrant holders will exercise their Warrants and therefore the amount of cash proceeds that we would receive is dependent upon the trading price of our common stock. If the trading price for our common stock is less than $11.50 per share, we believe holders of Warrants will be unlikely to exercise these warrants. In addition, to the extent the Warrants are exercised on a “cashless basis,” the amount of cash we would receive from the exercise of the Warrants will decrease. The Private Warrants and Working Capital Warrants may be exercised for cash or on a “cashless basis.” The Public Warrants and the Merger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common stock or Warrants.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under the symbols “CSLR” and “CSLRW,” respectively. On August 8, 2024, the last reported sales price of our common stock was $1.53 per share and the last reported sales price of our Public Warrants was $0.09 per warrant.</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number of shares of common stock being offered for resale in this prospectus (the “</w:t>
      </w:r>
      <w:r>
        <w:rPr>
          <w:rFonts w:ascii="Times New Roman" w:cs="Times New Roman" w:eastAsia="Times New Roman" w:hAnsi="Times New Roman"/>
          <w:sz w:val="18"/>
          <w:szCs w:val="18"/>
          <w:b w:val="1"/>
          <w:bCs w:val="1"/>
          <w:color w:val="auto"/>
        </w:rPr>
        <w:t>Resale Securities</w:t>
      </w:r>
      <w:r>
        <w:rPr>
          <w:rFonts w:ascii="Times New Roman" w:cs="Times New Roman" w:eastAsia="Times New Roman" w:hAnsi="Times New Roman"/>
          <w:sz w:val="18"/>
          <w:szCs w:val="18"/>
          <w:color w:val="auto"/>
        </w:rPr>
        <w:t>”) exceeds the number of shares of common stock constituting our public float. The Resale Securities represent approximately 408.7% of our public float and approximately 46.6% of our outstanding shares of common stock as of July 16, 2024 (after giving effect to the issuance of shares of common stock upon exercise of the Warrants). The sale of the Resale Securities, or the perception that these sales could occur, could depress the market price of our common stock. Despite a decline in price, our selling securityholders may still experience a positive rate of return on the shares purchased by them due to the lower price per share at which such shares were purchased as referenced above. While these selling securityholders may, on average, experience a positive rate of return based on the current market price, public securityholders may not experience a similar rate of return on the common stock they purchased if there is such a decline in price and due to differences in the purchase prices and the current market price. For example, based on the closing price of $1.48 per share on July 1, 2024, the Sponsor and other selling securityholders may receive potential profits ranging from $1.00 per share up to $1.48 per share.</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in the section titled “Risk Factors” beginning on page 6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dated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any Warrants. We will not receive any proceeds from the sale of shares of common stock underlying the Warrants pursuant to this prospectus, except with respect to amounts received by us upon the exercise of the Warrants for cash.</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17, 2023, FACT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FACT was domesticated and continues as a Delaware corporation, changing its name to “Complete Solaria, Inc.”</w:t>
      </w:r>
    </w:p>
    <w:p>
      <w:pPr>
        <w:spacing w:after="0" w:line="1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Complete Solaria, Inc. (f/k/a Complete Solar Holding Corporation), a Delaware corporation (“</w:t>
      </w:r>
      <w:r>
        <w:rPr>
          <w:rFonts w:ascii="Times New Roman" w:cs="Times New Roman" w:eastAsia="Times New Roman" w:hAnsi="Times New Roman"/>
          <w:sz w:val="18"/>
          <w:szCs w:val="18"/>
          <w:b w:val="1"/>
          <w:bCs w:val="1"/>
          <w:color w:val="auto"/>
        </w:rPr>
        <w:t>Legacy Complete Solaria</w:t>
      </w:r>
      <w:r>
        <w:rPr>
          <w:rFonts w:ascii="Times New Roman" w:cs="Times New Roman" w:eastAsia="Times New Roman" w:hAnsi="Times New Roman"/>
          <w:sz w:val="18"/>
          <w:szCs w:val="18"/>
          <w:color w:val="auto"/>
        </w:rPr>
        <w:t>”), FACT, Jupiter Merger Sub I Corp., a Delaware corporation and wholly-owned subsidiary of FACT (“</w:t>
      </w:r>
      <w:r>
        <w:rPr>
          <w:rFonts w:ascii="Times New Roman" w:cs="Times New Roman" w:eastAsia="Times New Roman" w:hAnsi="Times New Roman"/>
          <w:sz w:val="18"/>
          <w:szCs w:val="18"/>
          <w:b w:val="1"/>
          <w:bCs w:val="1"/>
          <w:color w:val="auto"/>
        </w:rPr>
        <w:t>First Merger Sub</w:t>
      </w:r>
      <w:r>
        <w:rPr>
          <w:rFonts w:ascii="Times New Roman" w:cs="Times New Roman" w:eastAsia="Times New Roman" w:hAnsi="Times New Roman"/>
          <w:sz w:val="18"/>
          <w:szCs w:val="18"/>
          <w:color w:val="auto"/>
        </w:rPr>
        <w:t>”), Jupiter Merger Sub II LLC, a Delaware limited liability company and a wholly-owned subsidiary of FACT (“</w:t>
      </w:r>
      <w:r>
        <w:rPr>
          <w:rFonts w:ascii="Times New Roman" w:cs="Times New Roman" w:eastAsia="Times New Roman" w:hAnsi="Times New Roman"/>
          <w:sz w:val="18"/>
          <w:szCs w:val="18"/>
          <w:b w:val="1"/>
          <w:bCs w:val="1"/>
          <w:color w:val="auto"/>
        </w:rPr>
        <w:t>Second Merger Sub</w:t>
      </w:r>
      <w:r>
        <w:rPr>
          <w:rFonts w:ascii="Times New Roman" w:cs="Times New Roman" w:eastAsia="Times New Roman" w:hAnsi="Times New Roman"/>
          <w:sz w:val="18"/>
          <w:szCs w:val="18"/>
          <w:color w:val="auto"/>
        </w:rPr>
        <w:t>”) and The Solaria Corporation, a Delaware corporation and a wholly-owned indirect subsidiary of Legacy Complete Solaria (“</w:t>
      </w:r>
      <w:r>
        <w:rPr>
          <w:rFonts w:ascii="Times New Roman" w:cs="Times New Roman" w:eastAsia="Times New Roman" w:hAnsi="Times New Roman"/>
          <w:sz w:val="18"/>
          <w:szCs w:val="18"/>
          <w:b w:val="1"/>
          <w:bCs w:val="1"/>
          <w:color w:val="auto"/>
        </w:rPr>
        <w:t>Solaria</w:t>
      </w:r>
      <w:r>
        <w:rPr>
          <w:rFonts w:ascii="Times New Roman" w:cs="Times New Roman" w:eastAsia="Times New Roman" w:hAnsi="Times New Roman"/>
          <w:sz w:val="18"/>
          <w:szCs w:val="18"/>
          <w:color w:val="auto"/>
        </w:rPr>
        <w:t>”), entered into that certain Amended and Restated Business Combination Agreement, dated as of May 26, 2023 (as may be further amended, supplemented or otherwise modified from time to time,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Pursuant to the terms and subject to the conditions of the Business Combination, on July 18, 2023, (i) First Merger Sub merged with and into Legacy Complete Solaria with Legacy Complete Solaria surviving as a wholly-owned subsidiary of FACT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(ii) immediately thereafter and as part of the same overall transaction, Legacy Complete Solaria merged with and into Second Merger Sub, with Second Merger Sub surviving as a wholly-owned subsidiary of FACT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FACT changed its name to “Complete Solaria, Inc.” and Second Merger Sub changed its name to “CS, LLC” and</w:t>
      </w:r>
    </w:p>
    <w:p>
      <w:pPr>
        <w:spacing w:after="0" w:line="3" w:lineRule="exact"/>
        <w:rPr>
          <w:sz w:val="20"/>
          <w:szCs w:val="20"/>
          <w:color w:val="auto"/>
        </w:rPr>
      </w:pPr>
    </w:p>
    <w:p>
      <w:pPr>
        <w:jc w:val="both"/>
        <w:ind w:firstLine="8"/>
        <w:spacing w:after="0" w:line="253" w:lineRule="auto"/>
        <w:tabs>
          <w:tab w:leader="none" w:pos="3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consummation of the Second Merger and as part of the same overall transaction, Solaria merged with and into a newly-formed Delaware limited liability company and wholly-owned subsidiary of FACT and changed its name to “SolarCA LLC” (“</w:t>
      </w:r>
      <w:r>
        <w:rPr>
          <w:rFonts w:ascii="Times New Roman" w:cs="Times New Roman" w:eastAsia="Times New Roman" w:hAnsi="Times New Roman"/>
          <w:sz w:val="18"/>
          <w:szCs w:val="18"/>
          <w:b w:val="1"/>
          <w:bCs w:val="1"/>
          <w:color w:val="auto"/>
        </w:rPr>
        <w:t>Third Merger Sub</w:t>
      </w:r>
      <w:r>
        <w:rPr>
          <w:rFonts w:ascii="Times New Roman" w:cs="Times New Roman" w:eastAsia="Times New Roman" w:hAnsi="Times New Roman"/>
          <w:sz w:val="18"/>
          <w:szCs w:val="18"/>
          <w:color w:val="auto"/>
        </w:rPr>
        <w:t>”), with Third Merger Sub surviving as a wholly-owned subsidiary of FACT (the “</w:t>
      </w:r>
      <w:r>
        <w:rPr>
          <w:rFonts w:ascii="Times New Roman" w:cs="Times New Roman" w:eastAsia="Times New Roman" w:hAnsi="Times New Roman"/>
          <w:sz w:val="18"/>
          <w:szCs w:val="18"/>
          <w:b w:val="1"/>
          <w:bCs w:val="1"/>
          <w:color w:val="auto"/>
        </w:rPr>
        <w:t>Additional Merger</w:t>
      </w:r>
      <w:r>
        <w:rPr>
          <w:rFonts w:ascii="Times New Roman" w:cs="Times New Roman" w:eastAsia="Times New Roman" w:hAnsi="Times New Roman"/>
          <w:sz w:val="18"/>
          <w:szCs w:val="18"/>
          <w:color w:val="auto"/>
        </w:rPr>
        <w:t>,” and together with the First Merger and the Second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“Complete Solaria,” “we,” “us,” “our,” the “Company” and similar terms refer to Complete Solaria, Inc. (f/k/a Freedom Acquisition I Corp.) and its consolidated subsidiaries. References to “FACT” refer to the predecessor company prior to the consummation of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statements in this prospectus may constitute “forward-looking statements” for purposes of the federal securities laws.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include, without limitation, statements about:</w:t>
      </w:r>
    </w:p>
    <w:p>
      <w:pPr>
        <w:spacing w:after="0" w:line="189"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Business Combination, which may be affected by, among other things, competition and our ability to grow and manage growth profitably following the Closing;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following the Business Combination, including financial projections and business metrics;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expectations of new and current customers, and our ability to achieve market acceptance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forecasts with respect to market opportunity and market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meet customers’ compliance and regulatory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its brand and reputation;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industry;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financial conditions, inflationary pressures and the resulting impact demand, and our ability to plan for and respond to the impact of those changes;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its operations and future growth;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expansion plans and opportunities.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such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5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8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18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826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780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5"/>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Securities and Dividend Policy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6"/>
        </w:trPr>
        <w:tc>
          <w:tcPr>
            <w:tcW w:w="646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366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175"/>
        </w:trPr>
        <w:tc>
          <w:tcPr>
            <w:tcW w:w="38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Principal Stockholders</w:t>
            </w:r>
          </w:p>
        </w:tc>
        <w:tc>
          <w:tcPr>
            <w:tcW w:w="6280" w:type="dxa"/>
            <w:vAlign w:val="bottom"/>
            <w:tcBorders>
              <w:top w:val="single" w:sz="8" w:color="CCEEFF"/>
            </w:tcBorders>
            <w:gridSpan w:val="5"/>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7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842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175"/>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U.S. Federal Income Tax Consequences</w:t>
            </w:r>
          </w:p>
        </w:tc>
        <w:tc>
          <w:tcPr>
            <w:tcW w:w="6580" w:type="dxa"/>
            <w:vAlign w:val="bottom"/>
            <w:tcBorders>
              <w:bottom w:val="single" w:sz="8" w:color="CCEEFF"/>
            </w:tcBorders>
            <w:gridSpan w:val="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r>
      <w:tr>
        <w:trPr>
          <w:trHeight w:val="175"/>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113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9100" w:type="dxa"/>
            <w:vAlign w:val="bottom"/>
            <w:tcBorders>
              <w:bottom w:val="single" w:sz="8" w:color="CCEEFF"/>
            </w:tcBorders>
            <w:gridSpan w:val="1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115</w:t>
            </w:r>
          </w:p>
        </w:tc>
      </w:tr>
      <w:tr>
        <w:trPr>
          <w:trHeight w:val="176"/>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24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115</w:t>
            </w:r>
          </w:p>
        </w:tc>
      </w:tr>
      <w:tr>
        <w:trPr>
          <w:trHeight w:val="176"/>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43"/>
        </w:trPr>
        <w:tc>
          <w:tcPr>
            <w:tcW w:w="5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10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supplement to this prospectus or in any free writing prospectus, filed with the Securities and Exchange Commission. Neither we nor the selling securityholders have authorized anyone to provide you with additional information or information different from that contained in this prospectus filed with the Securities and Exchange Commission. We take no responsibility for, and can provide no assurance as to the reliability of, any other information that others may give you. The selling securityholders are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2022 Convertible Notes</w:t>
      </w:r>
      <w:r>
        <w:rPr>
          <w:rFonts w:ascii="Times New Roman" w:cs="Times New Roman" w:eastAsia="Times New Roman" w:hAnsi="Times New Roman"/>
          <w:sz w:val="18"/>
          <w:szCs w:val="18"/>
          <w:color w:val="auto"/>
        </w:rPr>
        <w:t>” means the Pre-Signing Convertible Notes and the Post-Signing Convertible Notes issued by Legacy Complete Solaria.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April 2022 FACT Note</w:t>
      </w:r>
      <w:r>
        <w:rPr>
          <w:rFonts w:ascii="Times New Roman" w:cs="Times New Roman" w:eastAsia="Times New Roman" w:hAnsi="Times New Roman"/>
          <w:sz w:val="18"/>
          <w:szCs w:val="18"/>
          <w:color w:val="auto"/>
        </w:rPr>
        <w:t>” means the unsecured promissory note in the amount of up to $500,000 issued on April 1, 2022, by FACT to the Sponsor.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means the amended and restated memorandum and articles of association of FACT, dated February 25, 2021.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w:t>
      </w:r>
    </w:p>
    <w:p>
      <w:pPr>
        <w:spacing w:after="0" w:line="225"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the amended and restated business combination agreement, dated as of May 26, 2023, by and among FACT, First Merger Sub, Second Merger Sub, Legacy Complete Solaria and Solaria.</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Islands Companies Act</w:t>
      </w:r>
      <w:r>
        <w:rPr>
          <w:rFonts w:ascii="Times New Roman" w:cs="Times New Roman" w:eastAsia="Times New Roman" w:hAnsi="Times New Roman"/>
          <w:sz w:val="18"/>
          <w:szCs w:val="18"/>
          <w:color w:val="auto"/>
        </w:rPr>
        <w:t>” means the Companies Act (As Revised) of the Cayman Islands as the same may be amended from time to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of the Closing.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Complete Solar</w:t>
      </w:r>
      <w:r>
        <w:rPr>
          <w:rFonts w:ascii="Times New Roman" w:cs="Times New Roman" w:eastAsia="Times New Roman" w:hAnsi="Times New Roman"/>
          <w:sz w:val="18"/>
          <w:szCs w:val="18"/>
          <w:color w:val="auto"/>
        </w:rPr>
        <w:t>” means Complete Solar Holding Corporation, a Delaware corporation, prior to the consummation of the Required Transaction.</w:t>
      </w:r>
    </w:p>
    <w:p>
      <w:pPr>
        <w:spacing w:after="0" w:line="225"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Complete Solaria</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Complete Solaria, Inc. (f/k/a Freedom Acquisition I Corp.), a Delaware corporation and its subsidiaries.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Complete Solaria Board</w:t>
      </w:r>
      <w:r>
        <w:rPr>
          <w:rFonts w:ascii="Times New Roman" w:cs="Times New Roman" w:eastAsia="Times New Roman" w:hAnsi="Times New Roman"/>
          <w:sz w:val="18"/>
          <w:szCs w:val="18"/>
          <w:color w:val="auto"/>
        </w:rPr>
        <w:t>” means the board of directors of Complete Solaria.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Complete Solaria Capital Stock</w:t>
      </w:r>
      <w:r>
        <w:rPr>
          <w:rFonts w:ascii="Times New Roman" w:cs="Times New Roman" w:eastAsia="Times New Roman" w:hAnsi="Times New Roman"/>
          <w:sz w:val="18"/>
          <w:szCs w:val="18"/>
          <w:color w:val="auto"/>
        </w:rPr>
        <w:t>” means Complete Solaria Common Stock and Complete Solaria Preferred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Complete Solaria Common Stock</w:t>
      </w:r>
      <w:r>
        <w:rPr>
          <w:rFonts w:ascii="Times New Roman" w:cs="Times New Roman" w:eastAsia="Times New Roman" w:hAnsi="Times New Roman"/>
          <w:sz w:val="18"/>
          <w:szCs w:val="18"/>
          <w:color w:val="auto"/>
        </w:rPr>
        <w:t>” means the common stock, par value $0.0001 per share, of Complete Solaria.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Complete Solaria Preferred Stock</w:t>
      </w:r>
      <w:r>
        <w:rPr>
          <w:rFonts w:ascii="Times New Roman" w:cs="Times New Roman" w:eastAsia="Times New Roman" w:hAnsi="Times New Roman"/>
          <w:sz w:val="18"/>
          <w:szCs w:val="18"/>
          <w:color w:val="auto"/>
        </w:rPr>
        <w:t>” means the preferred stock, par value $0.0001 per share, of Complete Solaria.</w:t>
      </w:r>
    </w:p>
    <w:p>
      <w:pPr>
        <w:spacing w:after="0" w:line="22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Complete Solaria Subscription Agreements</w:t>
      </w:r>
      <w:r>
        <w:rPr>
          <w:rFonts w:ascii="Times New Roman" w:cs="Times New Roman" w:eastAsia="Times New Roman" w:hAnsi="Times New Roman"/>
          <w:sz w:val="18"/>
          <w:szCs w:val="18"/>
          <w:color w:val="auto"/>
        </w:rPr>
        <w:t>” means the Pre-Signing Complete Solaria Subscription Agreements together with the Post-Signing Complete Solaria Subscription Agreements.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Continental</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December 2022 FACT Note</w:t>
      </w:r>
      <w:r>
        <w:rPr>
          <w:rFonts w:ascii="Times New Roman" w:cs="Times New Roman" w:eastAsia="Times New Roman" w:hAnsi="Times New Roman"/>
          <w:sz w:val="18"/>
          <w:szCs w:val="18"/>
          <w:color w:val="auto"/>
        </w:rPr>
        <w:t>” means the unsecured promissory note in the amount of up to $325,000 issued on December 14, 2022, by FACT to Tidjane Thiam, Adam Gishen, Abhishek Bhatia and Edward Zeng.</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DLLCA</w:t>
      </w:r>
      <w:r>
        <w:rPr>
          <w:rFonts w:ascii="Times New Roman" w:cs="Times New Roman" w:eastAsia="Times New Roman" w:hAnsi="Times New Roman"/>
          <w:sz w:val="18"/>
          <w:szCs w:val="18"/>
          <w:color w:val="auto"/>
        </w:rPr>
        <w:t>” means the Delaware Limited Liability Company Act,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means the domestication of FACT as a corporation incorporated in the State of Delaware.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means the Complete Solaria, Inc. 2023 Employee Stock Purchase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 Proposal</w:t>
      </w:r>
      <w:r>
        <w:rPr>
          <w:rFonts w:ascii="Times New Roman" w:cs="Times New Roman" w:eastAsia="Times New Roman" w:hAnsi="Times New Roman"/>
          <w:sz w:val="18"/>
          <w:szCs w:val="18"/>
          <w:color w:val="auto"/>
        </w:rPr>
        <w:t>” means the proposal presented at the Extension Meeting to amend the amended and restated memorandum and articles of association of FACT to extend the date by which FACT must complete its initial business combination from March 2, 2023 to June 2, 2023, and thereafter to up to three (3) times by an additional one month each time (or up to September 2, 2023) (such period, as may be extended, the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means any extension of the date by which FACT must complete its initial business combination as contemplated by the Extension Amendment Proposal.</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Articles Amendment</w:t>
      </w:r>
      <w:r>
        <w:rPr>
          <w:rFonts w:ascii="Times New Roman" w:cs="Times New Roman" w:eastAsia="Times New Roman" w:hAnsi="Times New Roman"/>
          <w:sz w:val="18"/>
          <w:szCs w:val="18"/>
          <w:color w:val="auto"/>
        </w:rPr>
        <w:t>” means the amendment to the amended and restated memorandum and articles of association of FACT, as proposed in the Extension Amendment Proposal, which was approved as a special resolution at the Extension Meeting.</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 Redemptions</w:t>
      </w:r>
      <w:r>
        <w:rPr>
          <w:rFonts w:ascii="Times New Roman" w:cs="Times New Roman" w:eastAsia="Times New Roman" w:hAnsi="Times New Roman"/>
          <w:sz w:val="18"/>
          <w:szCs w:val="18"/>
          <w:color w:val="auto"/>
        </w:rPr>
        <w:t>” means the redemption on March 1, 2023 by FACT shareholders of an aggregate of 23,256,504 Class A Ordinary Shares at a redemption price of $10.21 per share, for an aggregate redemption amount of approximately $237,372,952, in connection with the approval of the Extension Amendment Proposal and implementation of the Extension Articles Amendment.</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Meeting</w:t>
      </w:r>
      <w:r>
        <w:rPr>
          <w:rFonts w:ascii="Times New Roman" w:cs="Times New Roman" w:eastAsia="Times New Roman" w:hAnsi="Times New Roman"/>
          <w:sz w:val="18"/>
          <w:szCs w:val="18"/>
          <w:color w:val="auto"/>
        </w:rPr>
        <w:t>” means the extraordinary general meeting of FACT shareholders held on February 28, 2023 to consider the Extension Amendment Proposal and Trust Amendment Proposal.</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w:t>
      </w:r>
      <w:r>
        <w:rPr>
          <w:rFonts w:ascii="Times New Roman" w:cs="Times New Roman" w:eastAsia="Times New Roman" w:hAnsi="Times New Roman"/>
          <w:sz w:val="18"/>
          <w:szCs w:val="18"/>
          <w:color w:val="auto"/>
        </w:rPr>
        <w:t>” means Freedom Acquisition I Corp., a Cayman Islands exempted company, prior to the consummation of the Domestication.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 Board</w:t>
      </w:r>
      <w:r>
        <w:rPr>
          <w:rFonts w:ascii="Times New Roman" w:cs="Times New Roman" w:eastAsia="Times New Roman" w:hAnsi="Times New Roman"/>
          <w:sz w:val="18"/>
          <w:szCs w:val="18"/>
          <w:color w:val="auto"/>
        </w:rPr>
        <w:t>” means the board of directors of FACT.</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 Class A Ordinary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means the 34,500,000 Class A ordinary shares, par value $0.0001 per share, of FACT prior to the consummation of the Domestication.</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 Class B Ordinary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means the 8,625,000 Class B ordinary shares, par value $0.0001 per share, of FACT prior to the consummation of the Domestication.</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“FACT Initial Shareholders</w:t>
      </w:r>
      <w:r>
        <w:rPr>
          <w:rFonts w:ascii="Times New Roman" w:cs="Times New Roman" w:eastAsia="Times New Roman" w:hAnsi="Times New Roman"/>
          <w:sz w:val="18"/>
          <w:szCs w:val="18"/>
          <w:color w:val="auto"/>
        </w:rPr>
        <w:t>” means the Sponsor, members of the Sponsor, and FACT’s officers and directors.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 Ordinary Shares</w:t>
      </w:r>
      <w:r>
        <w:rPr>
          <w:rFonts w:ascii="Times New Roman" w:cs="Times New Roman" w:eastAsia="Times New Roman" w:hAnsi="Times New Roman"/>
          <w:sz w:val="18"/>
          <w:szCs w:val="18"/>
          <w:color w:val="auto"/>
        </w:rPr>
        <w:t>” means the FACT Class A Ordinary Shares and the FACT Class B Ordinary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 PIPE Investment</w:t>
      </w:r>
      <w:r>
        <w:rPr>
          <w:rFonts w:ascii="Times New Roman" w:cs="Times New Roman" w:eastAsia="Times New Roman" w:hAnsi="Times New Roman"/>
          <w:sz w:val="18"/>
          <w:szCs w:val="18"/>
          <w:color w:val="auto"/>
        </w:rPr>
        <w:t>” means investments in FACT or any subsidiary of FACT (including Complete Solaria following the Closing).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 PIPE Investors</w:t>
      </w:r>
      <w:r>
        <w:rPr>
          <w:rFonts w:ascii="Times New Roman" w:cs="Times New Roman" w:eastAsia="Times New Roman" w:hAnsi="Times New Roman"/>
          <w:sz w:val="18"/>
          <w:szCs w:val="18"/>
          <w:color w:val="auto"/>
        </w:rPr>
        <w:t>” means the investors in any FACT PIPE Investment.</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 Private Placement Warrants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means the 6,266,667 warrants held by the Sponsor that were issued in a private placement at the time of FACT’s IPO, each of which is exercisable for one Class A Ordinary Share at an exercise price of $11.50 per share.</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 Public Warrants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the 8,625,000 warrants to acquire FACT Class A Ordinary Shares, issued as part of the FACT Public Units, at an initial exercise price of $11.50 per share.</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 Special Committee</w:t>
      </w:r>
      <w:r>
        <w:rPr>
          <w:rFonts w:ascii="Times New Roman" w:cs="Times New Roman" w:eastAsia="Times New Roman" w:hAnsi="Times New Roman"/>
          <w:sz w:val="18"/>
          <w:szCs w:val="18"/>
          <w:color w:val="auto"/>
        </w:rPr>
        <w:t>” means the special committee of the FACT Board.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 Warrants</w:t>
      </w:r>
      <w:r>
        <w:rPr>
          <w:rFonts w:ascii="Times New Roman" w:cs="Times New Roman" w:eastAsia="Times New Roman" w:hAnsi="Times New Roman"/>
          <w:sz w:val="18"/>
          <w:szCs w:val="18"/>
          <w:color w:val="auto"/>
        </w:rPr>
        <w:t>” means the FACT Private Placement Warrants and the FACT Public Warrants.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February 2023 FACT Note</w:t>
      </w:r>
      <w:r>
        <w:rPr>
          <w:rFonts w:ascii="Times New Roman" w:cs="Times New Roman" w:eastAsia="Times New Roman" w:hAnsi="Times New Roman"/>
          <w:sz w:val="18"/>
          <w:szCs w:val="18"/>
          <w:color w:val="auto"/>
        </w:rPr>
        <w:t>” means the unsecured promissory note in the amount of up to $2,100,000 issued on February 28, 2023, by FACT to the Sponsor.</w:t>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FACT Class B Ordinary Shares purchased by the Sponsor in a private placement prior to the initial public offering, and the FACT Class A Ordinary Shares that issued upon the conversion thereof.</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FACT’s initial public offering of its units, ordinary shares and warrants pursuant to its registration statement on Form S-1 declared effective by the SEC on February 25, 2021 (SEC File No. 333-252940).</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June 2022 FACT Note</w:t>
      </w:r>
      <w:r>
        <w:rPr>
          <w:rFonts w:ascii="Times New Roman" w:cs="Times New Roman" w:eastAsia="Times New Roman" w:hAnsi="Times New Roman"/>
          <w:sz w:val="18"/>
          <w:szCs w:val="18"/>
          <w:color w:val="auto"/>
        </w:rPr>
        <w:t>” means the unsecured promissory note in the amount of up to $500,000 issued on June 6, 2022, by FACT to the Sponsor.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May 2023 FACT Note</w:t>
      </w:r>
      <w:r>
        <w:rPr>
          <w:rFonts w:ascii="Times New Roman" w:cs="Times New Roman" w:eastAsia="Times New Roman" w:hAnsi="Times New Roman"/>
          <w:sz w:val="18"/>
          <w:szCs w:val="18"/>
          <w:color w:val="auto"/>
        </w:rPr>
        <w:t>” means the unsecured promissory note in the amount of up to $300,000 issued on May 31, 2023, by FACT to the Sponsor.</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Complete Solaria</w:t>
      </w:r>
      <w:r>
        <w:rPr>
          <w:rFonts w:ascii="Times New Roman" w:cs="Times New Roman" w:eastAsia="Times New Roman" w:hAnsi="Times New Roman"/>
          <w:sz w:val="18"/>
          <w:szCs w:val="18"/>
          <w:color w:val="auto"/>
        </w:rPr>
        <w:t>” means, prior to the Business Combination, Complete Solaria, Inc. (f/k/a Complete Solar Holding Corporation), a Delaware corporation which, pursuant to the Business Combination, became a direct, wholly owned subsidiary of Complete Solaria, Inc. and was renamed CS, LLC.</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Business Combination Agreement</w:t>
      </w:r>
      <w:r>
        <w:rPr>
          <w:rFonts w:ascii="Times New Roman" w:cs="Times New Roman" w:eastAsia="Times New Roman" w:hAnsi="Times New Roman"/>
          <w:sz w:val="18"/>
          <w:szCs w:val="18"/>
          <w:color w:val="auto"/>
        </w:rPr>
        <w:t>” means the business combination agreement, dated as of October 3, 2022, by and among FACT, First Merger Sub, Second Merger Sub, Complete Solaria and Solaria, as amended by that certain First Amendment to Business Combination Agreement, dated as of December 26, 2022, as further amended by that certain Second Amendment to Business Combination Agreement, dated as of January 17, 2023.</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Post-Signing Convertible Notes</w:t>
      </w:r>
      <w:r>
        <w:rPr>
          <w:rFonts w:ascii="Times New Roman" w:cs="Times New Roman" w:eastAsia="Times New Roman" w:hAnsi="Times New Roman"/>
          <w:sz w:val="18"/>
          <w:szCs w:val="18"/>
          <w:color w:val="auto"/>
        </w:rPr>
        <w:t>” means the convertible promissory notes issued by Complete Solaria pursuant to the Post-Signing Complete Solaria Subscription Agreements.</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Post-Signing Complete Solaria Subscription Agreements</w:t>
      </w:r>
      <w:r>
        <w:rPr>
          <w:rFonts w:ascii="Times New Roman" w:cs="Times New Roman" w:eastAsia="Times New Roman" w:hAnsi="Times New Roman"/>
          <w:sz w:val="18"/>
          <w:szCs w:val="18"/>
          <w:color w:val="auto"/>
        </w:rPr>
        <w:t>” means the additional subscription agreements entered into by Complete Solaria and certain investors pursuant to which such investors purchased Post-Signing Convertible Notes from Complete Solaria following the date of the Original Business Combination Agreement, on terms substantially similar to, or no less favorable in all material respects to Complete Solaria than the Pre-Signing Complete Solaria Subscription Agreements.</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Pre-Signing Complete Solaria Subscription Agreements</w:t>
      </w:r>
      <w:r>
        <w:rPr>
          <w:rFonts w:ascii="Times New Roman" w:cs="Times New Roman" w:eastAsia="Times New Roman" w:hAnsi="Times New Roman"/>
          <w:sz w:val="18"/>
          <w:szCs w:val="18"/>
          <w:color w:val="auto"/>
        </w:rPr>
        <w:t>” means the note subscription agreements entered into by Legacy Complete Solaria and certain investors pursuant to which such investors purchased Pre-Signing Convertible Notes from Legacy Complete Solaria prior to date of the Original Business Combination Agreement.</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Pre-Signing Convertible Notes</w:t>
      </w:r>
      <w:r>
        <w:rPr>
          <w:rFonts w:ascii="Times New Roman" w:cs="Times New Roman" w:eastAsia="Times New Roman" w:hAnsi="Times New Roman"/>
          <w:sz w:val="18"/>
          <w:szCs w:val="18"/>
          <w:color w:val="auto"/>
        </w:rPr>
        <w:t>” means the convertible promissory notes issued by Legacy Complete Solaria pursuant to the Pre-Signing Complete Solaria Subscription Agreements.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Shareholders</w:t>
      </w:r>
      <w:r>
        <w:rPr>
          <w:rFonts w:ascii="Times New Roman" w:cs="Times New Roman" w:eastAsia="Times New Roman" w:hAnsi="Times New Roman"/>
          <w:sz w:val="18"/>
          <w:szCs w:val="18"/>
          <w:color w:val="auto"/>
        </w:rPr>
        <w:t>” means the holders of the Public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means the FACT Class A Ordinary Shares.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Transaction</w:t>
      </w:r>
      <w:r>
        <w:rPr>
          <w:rFonts w:ascii="Times New Roman" w:cs="Times New Roman" w:eastAsia="Times New Roman" w:hAnsi="Times New Roman"/>
          <w:sz w:val="18"/>
          <w:szCs w:val="18"/>
          <w:color w:val="auto"/>
        </w:rPr>
        <w:t>” means the transactions contemplated by the Required Transaction Merger Agreement, including the merger of Solaria with and into a wholly-owned subsidiary of Legacy Complete Solaria, which were consummated on November 4, 2022.</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Transaction Merger Agreement</w:t>
      </w:r>
      <w:r>
        <w:rPr>
          <w:rFonts w:ascii="Times New Roman" w:cs="Times New Roman" w:eastAsia="Times New Roman" w:hAnsi="Times New Roman"/>
          <w:sz w:val="18"/>
          <w:szCs w:val="18"/>
          <w:color w:val="auto"/>
        </w:rPr>
        <w:t>” means that certain merger agreement by and among Complete Solaria, Complete Solaria Midco, LLC, a Delaware limited liability company and a wholly-owned subsidiary of Solaria, Complete Solaria Merger Sub, Inc., a Delaware corporation and a wholly-owned subsidiary of Midco, Solaria, and Fortis Advisors LLC, a Delaware limited liability company, solely in its capacity as the representative of Solaria’s stockholders.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Solaria</w:t>
      </w:r>
      <w:r>
        <w:rPr>
          <w:rFonts w:ascii="Times New Roman" w:cs="Times New Roman" w:eastAsia="Times New Roman" w:hAnsi="Times New Roman"/>
          <w:sz w:val="18"/>
          <w:szCs w:val="18"/>
          <w:color w:val="auto"/>
        </w:rPr>
        <w:t>” means The Solaria Corporation, a Delaware corporation and a wholly-owned subsidiary of Complete Solaria.</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Sponsor Share Amount</w:t>
      </w:r>
      <w:r>
        <w:rPr>
          <w:rFonts w:ascii="Times New Roman" w:cs="Times New Roman" w:eastAsia="Times New Roman" w:hAnsi="Times New Roman"/>
          <w:sz w:val="18"/>
          <w:szCs w:val="18"/>
          <w:color w:val="auto"/>
        </w:rPr>
        <w:t xml:space="preserve">” means the difference of (i) 3,300,000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number of shares, if any, of FACT Class A Ordinary Shares transferred by Sponsor to holders of 2022 Convertible Notes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(iii) the number of shares, if any, of FACT Class A Ordinary Shares transferred by Sponsor to certain counterparties in consideration for loans and other amounts paid to finance the working capital loans due to the Sponsor and extension fees.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Freedom Acquisition I LLC, a Cayman Islands limited liability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established at the consummation of FACT’s IPO that holds the proceeds of the IPO and is maintained by Continental, acting as trustee.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6476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SUMMARY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our consolidated financial statements and the related notes thereto and the information set forth in the sections titled “Risk Factors” and “Management’s Discussion and Analysis of Financial Condition and Results of Operations.” Unless the context otherwise requires, we use the terms “Complete Solaria,” “company,” “we,” “us” and “our” in this prospectus to refer to Complete Solaria, Inc. and our wholly owned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mission is to deliver energy-efficient solutions to homeowners and small to medium-sized businesses that allow them to lower their energy bills while reducing their carbon footprint. With a strong technology platform, we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its sales partners, making them competitive with national providers. This turnkey solution makes it easy for anyone to sell solar.</w:t>
      </w:r>
    </w:p>
    <w:p>
      <w:pPr>
        <w:spacing w:after="0" w:line="183"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We fulfill our customer contracts by engaging with local construction specialists. We manage the customer experience and complete all pre-construction activities prior to delivering build-ready projects including hardware, engineering plans, and building permits to its builder partners. We manage and coordinate this process through our proprietary HelioTrack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system.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were originally known as Freedom Acquisition I Corp. We are engaged in solar system sales and associated commerce. On July 18, 2023, Legacy Complete Solaria, FACT, First Merger Sub, Second Merger Sub and Third Merger Sub consummated the transactions contemplated under the Business Combination Agreement, following the approval at the special meeting of the stockholders of FACT held July 11, 2023. In connection with the closing of the Business Combination, we changed our name from Freedom Acquisition I Corp. to Complete Solaria, Inc.</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45700 Northport Loop E, Fremont, CA 94538, and our telephone number is (510) 270-2507. Our corporate website address is https://www.completesolaria.com/. Information contained on or accessible through our website is not a part of this prospectus, and the inclusion of our website address in this prospectus is an inactive textual reference only.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“Complete Solaria” and our other registered and common law trade names, trademarks and service marks are property of Complete Solaria, Inc. This prospectus contains additional trade names, trademarks and service marks of others, which are the property of their respective owners. Solely for convenience, trademarks and trade names referred to in this prospectus may appear without the ® or ™ symbols.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 and Emerging Growth Company</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w:t>
      </w:r>
    </w:p>
    <w:p>
      <w:pPr>
        <w:spacing w:after="0" w:line="1" w:lineRule="exact"/>
        <w:rPr>
          <w:sz w:val="20"/>
          <w:szCs w:val="20"/>
          <w:color w:val="auto"/>
        </w:rPr>
      </w:pPr>
    </w:p>
    <w:p>
      <w:pPr>
        <w:jc w:val="both"/>
        <w:ind w:firstLine="5"/>
        <w:spacing w:after="0" w:line="253" w:lineRule="auto"/>
        <w:tabs>
          <w:tab w:leader="none" w:pos="2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the comparison of our financial statements with other public companies difficult or impossible.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238" w:right="459" w:bottom="1440" w:gutter="0" w:footer="0" w:header="0"/>
        </w:sectPr>
      </w:pPr>
    </w:p>
    <w:bookmarkStart w:id="10" w:name="page11"/>
    <w:bookmarkEnd w:id="10"/>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627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5627370"/>
                    </a:xfrm>
                    <a:prstGeom prst="rect">
                      <a:avLst/>
                    </a:prstGeom>
                    <a:noFill/>
                  </pic:spPr>
                </pic:pic>
              </a:graphicData>
            </a:graphic>
          </wp:anchor>
        </w:drawing>
        <w:t>We are an “emerging growth company,” as defined in the Jumpstart Our Business Startups Act of 2012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Complete Solaria’s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Closing of FACT’s IPO,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are to its meaning under the Securities Act, as modified by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identified conditions that raise substantial doubt about our ability to continue as a going concern.</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currently depends in part on the availability of rebates, tax credits and other financial incentives. The expiration, elimination or reduction of these rebates, credits or incentives or the ability to monetize them could adversely impact the business.</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policies and changes to these regulations and policies may present technical, regulatory, and economic barriers to the purchase and use of solar power products, which may significantly reduce demand for our products and services.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net metering and related policies to offer competitive pricing to customers in many of our current markets and changes to net metering policies may significantly reduce demand for electricity from residential solar energy systems.</w:t>
      </w:r>
    </w:p>
    <w:p>
      <w:pPr>
        <w:spacing w:after="0" w:line="161"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limited number of suppliers of solar panels and other system components to adequately meet anticipated demand for its solar service offerings. Any shortage, delay or component price change from these suppliers or delays and price increases associated with the product transport logistics could result in sales and installation delays, cancellations and loss of market share.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238" w:right="459" w:bottom="1440" w:gutter="0" w:footer="0" w:header="0"/>
        </w:sectPr>
      </w:pPr>
    </w:p>
    <w:bookmarkStart w:id="11" w:name="page12"/>
    <w:bookmarkEnd w:id="11"/>
    <w:p>
      <w:pPr>
        <w:ind w:left="340" w:right="2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384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3844290"/>
                    </a:xfrm>
                    <a:prstGeom prst="rect">
                      <a:avLst/>
                    </a:prstGeom>
                    <a:noFill/>
                  </pic:spPr>
                </pic:pic>
              </a:graphicData>
            </a:graphic>
          </wp:anchor>
        </w:drawing>
        <w:t>We utilize third-party sales and installation partners whose performance could result in sales and installation delays, cancellations, and loss of market share.</w:t>
      </w:r>
    </w:p>
    <w:p>
      <w:pPr>
        <w:spacing w:after="0" w:line="161"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generate sufficient cash flows or obtain access to external financing necessary to fund operations and make adequate capital investments as planned due to the general economic environment and any market pressure that would drive down the average selling prices of solar power products, among other factors.</w:t>
      </w:r>
    </w:p>
    <w:p>
      <w:pPr>
        <w:spacing w:after="0" w:line="175"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substantially focuses on solar service agreements and transactions with residential customers.</w:t>
      </w:r>
    </w:p>
    <w:p>
      <w:pPr>
        <w:spacing w:after="0" w:line="225"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and may be unable to achieve or sustain profitability in the future.</w:t>
      </w:r>
    </w:p>
    <w:p>
      <w:pPr>
        <w:spacing w:after="0" w:line="225"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certain markets including California, putting us at risk of region-specific disruptions.</w:t>
      </w:r>
    </w:p>
    <w:p>
      <w:pPr>
        <w:spacing w:after="0" w:line="225" w:lineRule="exact"/>
        <w:rPr>
          <w:rFonts w:ascii="Times New Roman" w:cs="Times New Roman" w:eastAsia="Times New Roman" w:hAnsi="Times New Roman"/>
          <w:sz w:val="18"/>
          <w:szCs w:val="18"/>
          <w:color w:val="auto"/>
        </w:rPr>
      </w:pPr>
    </w:p>
    <w:p>
      <w:pPr>
        <w:ind w:left="340" w:right="2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sales contracts for a significant portion of revenues, and the loss of any customer or cancellation of any contract may cause significant fluctuations or declines in revenues.</w:t>
      </w:r>
    </w:p>
    <w:p>
      <w:pPr>
        <w:spacing w:after="0" w:line="161"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controls over financial reporting. If we are unable to maintain effective internal controls over financial reporting and disclosure controls and procedures, the accuracy and timeliness of its financial and operating reporting may be adversely affected, and confidence in its operations and disclosures may be lost.</w:t>
      </w:r>
    </w:p>
    <w:p>
      <w:pPr>
        <w:spacing w:after="0" w:line="175" w:lineRule="exact"/>
        <w:rPr>
          <w:rFonts w:ascii="Times New Roman" w:cs="Times New Roman" w:eastAsia="Times New Roman" w:hAnsi="Times New Roman"/>
          <w:sz w:val="18"/>
          <w:szCs w:val="18"/>
          <w:color w:val="auto"/>
        </w:rPr>
      </w:pPr>
    </w:p>
    <w:p>
      <w:pPr>
        <w:ind w:left="340" w:right="2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being offered in this prospectus represent a substantial percentage of our outstanding common stock, and the sales of such shares, or the perception that these sales could occur, could cause the market price of our common stock to decline significantly.</w:t>
      </w:r>
    </w:p>
    <w:p>
      <w:pPr>
        <w:spacing w:after="0" w:line="161" w:lineRule="exact"/>
        <w:rPr>
          <w:rFonts w:ascii="Times New Roman" w:cs="Times New Roman" w:eastAsia="Times New Roman" w:hAnsi="Times New Roman"/>
          <w:sz w:val="18"/>
          <w:szCs w:val="18"/>
          <w:color w:val="auto"/>
        </w:rPr>
      </w:pPr>
    </w:p>
    <w:p>
      <w:pPr>
        <w:ind w:left="34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all applicable requirements of Nasdaq and Nasdaq determines to delist our common stock, the delisting could adversely affect the market liquidity of our common stock and the market price of our common stock could decrease.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760" w:top="1242" w:right="459" w:bottom="1440" w:gutter="0" w:footer="0" w:header="0"/>
        </w:sectPr>
      </w:pPr>
    </w:p>
    <w:bookmarkStart w:id="12" w:name="page13"/>
    <w:bookmarkEnd w:id="12"/>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prior to the exercise of all Warrants</w:t>
      </w:r>
    </w:p>
    <w:p>
      <w:pPr>
        <w:spacing w:after="0" w:line="162" w:lineRule="exact"/>
        <w:rPr>
          <w:sz w:val="20"/>
          <w:szCs w:val="20"/>
          <w:color w:val="auto"/>
        </w:rPr>
      </w:pPr>
    </w:p>
    <w:p>
      <w:pPr>
        <w:ind w:left="160" w:right="12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assuming exercise of all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common stock and Warrants</w:t>
      </w:r>
    </w:p>
    <w:p>
      <w:pPr>
        <w:spacing w:after="0" w:line="229" w:lineRule="exact"/>
        <w:rPr>
          <w:sz w:val="20"/>
          <w:szCs w:val="20"/>
          <w:color w:val="auto"/>
        </w:rPr>
      </w:pPr>
    </w:p>
    <w:p>
      <w:pPr>
        <w:ind w:left="160" w:right="14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offered by the selling securityholders</w:t>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-328930</wp:posOffset>
            </wp:positionV>
            <wp:extent cx="7127875" cy="7016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701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 to 21,874,907 shares of common stock, consisting of (i) up to 6,266,667 shares of common stock that are issuable upon exercise of the Private Warrants, (ii) up to 8,625,000 shares of common stock that are issuable upon exercise upon the exercise of the Public Warrants, (iii) up to 716,668 shares of common stock that are issuable upon the exercise of the Working Capital Warrants and (iv) up to 6,266,572 shares of common stock issuable upon exercise of the Merger Warrants.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50,881,169 (as of July 16,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72,756,076 (based on the total shares outstanding as of July 16,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share, subject to adjustment as described herein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will receive up to an aggregate of approximately $251.6 million from the exercise of the Warrants. We expect to use the net proceeds from the exercise of the Warrants for general 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named in this prospectus, or their permitted transferees, and aggregate of 33,894,518 shares of common stock, consisting of:</w:t>
      </w:r>
    </w:p>
    <w:p>
      <w:pPr>
        <w:spacing w:after="0" w:line="162" w:lineRule="exact"/>
        <w:rPr>
          <w:sz w:val="20"/>
          <w:szCs w:val="20"/>
          <w:color w:val="auto"/>
        </w:rPr>
      </w:pPr>
    </w:p>
    <w:p>
      <w:pPr>
        <w:ind w:left="480" w:hanging="341"/>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7,518,488 PIPE Shares;</w:t>
      </w:r>
    </w:p>
    <w:p>
      <w:pPr>
        <w:spacing w:after="0" w:line="225" w:lineRule="exact"/>
        <w:rPr>
          <w:rFonts w:ascii="Times New Roman" w:cs="Times New Roman" w:eastAsia="Times New Roman" w:hAnsi="Times New Roman"/>
          <w:sz w:val="18"/>
          <w:szCs w:val="18"/>
          <w:color w:val="auto"/>
        </w:rPr>
      </w:pPr>
    </w:p>
    <w:p>
      <w:pPr>
        <w:ind w:left="480" w:hanging="341"/>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8,625,000 Founder Shares;</w:t>
      </w:r>
    </w:p>
    <w:p>
      <w:pPr>
        <w:spacing w:after="0" w:line="225" w:lineRule="exact"/>
        <w:rPr>
          <w:rFonts w:ascii="Times New Roman" w:cs="Times New Roman" w:eastAsia="Times New Roman" w:hAnsi="Times New Roman"/>
          <w:sz w:val="18"/>
          <w:szCs w:val="18"/>
          <w:color w:val="auto"/>
        </w:rPr>
      </w:pPr>
    </w:p>
    <w:p>
      <w:pPr>
        <w:ind w:left="460" w:right="20" w:hanging="321"/>
        <w:spacing w:after="0" w:line="282"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6,266,667 shares of common stock issuable upon the exercise of the Private Warrants;</w:t>
      </w:r>
    </w:p>
    <w:p>
      <w:pPr>
        <w:spacing w:after="0" w:line="161" w:lineRule="exact"/>
        <w:rPr>
          <w:rFonts w:ascii="Times New Roman" w:cs="Times New Roman" w:eastAsia="Times New Roman" w:hAnsi="Times New Roman"/>
          <w:sz w:val="18"/>
          <w:szCs w:val="18"/>
          <w:color w:val="auto"/>
        </w:rPr>
      </w:pPr>
    </w:p>
    <w:p>
      <w:pPr>
        <w:ind w:left="460" w:hanging="321"/>
        <w:spacing w:after="0" w:line="282" w:lineRule="auto"/>
        <w:tabs>
          <w:tab w:leader="none" w:pos="5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4,501,123 shares of common stock pursuant to the Registration Rights Agreement (including shares issuable upon exercise of convertible securities);</w:t>
      </w:r>
    </w:p>
    <w:p>
      <w:pPr>
        <w:spacing w:after="0" w:line="161" w:lineRule="exact"/>
        <w:rPr>
          <w:rFonts w:ascii="Times New Roman" w:cs="Times New Roman" w:eastAsia="Times New Roman" w:hAnsi="Times New Roman"/>
          <w:sz w:val="18"/>
          <w:szCs w:val="18"/>
          <w:color w:val="auto"/>
        </w:rPr>
      </w:pPr>
    </w:p>
    <w:p>
      <w:pPr>
        <w:ind w:left="460" w:right="20" w:hanging="321"/>
        <w:spacing w:after="0" w:line="282" w:lineRule="auto"/>
        <w:tabs>
          <w:tab w:leader="none" w:pos="5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716,668 shares of common stock issuable upon exercise of the Working Capital Warrants; and</w:t>
      </w:r>
    </w:p>
    <w:p>
      <w:pPr>
        <w:spacing w:after="0" w:line="161" w:lineRule="exact"/>
        <w:rPr>
          <w:rFonts w:ascii="Times New Roman" w:cs="Times New Roman" w:eastAsia="Times New Roman" w:hAnsi="Times New Roman"/>
          <w:sz w:val="18"/>
          <w:szCs w:val="18"/>
          <w:color w:val="auto"/>
        </w:rPr>
      </w:pPr>
    </w:p>
    <w:p>
      <w:pPr>
        <w:ind w:left="420" w:hanging="28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6,266,572 shares of common stock issuable upon exercise of the Merger Warrants.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are registering 8,625,000 shares of common stock issuable upon exercise of the Public Warrants that were previously registered.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Up to 13,249,907 Warrants, consisting of (i) up to 6,266,667 Private Warrants, (ii) up to 716,668 Working Capital Warrants and (iii) up to 6,266,572 Merger Warrants.</w:t>
      </w:r>
    </w:p>
    <w:p>
      <w:pPr>
        <w:spacing w:after="0" w:line="200" w:lineRule="exact"/>
        <w:rPr>
          <w:sz w:val="20"/>
          <w:szCs w:val="20"/>
          <w:color w:val="auto"/>
        </w:rPr>
      </w:pPr>
    </w:p>
    <w:p>
      <w:pPr>
        <w:sectPr>
          <w:pgSz w:w="11900" w:h="16838" w:orient="portrait"/>
          <w:cols w:equalWidth="0" w:num="2">
            <w:col w:w="3500" w:space="580"/>
            <w:col w:w="6920"/>
          </w:cols>
          <w:pgMar w:left="440" w:top="1238" w:right="45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31750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238" w:right="459" w:bottom="1440" w:gutter="0" w:footer="0" w:header="0"/>
          <w:type w:val="continuous"/>
        </w:sectPr>
      </w:pPr>
    </w:p>
    <w:bookmarkStart w:id="13" w:name="page14"/>
    <w:bookmarkEnd w:id="13"/>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Redemption</w:t>
      </w:r>
    </w:p>
    <w:p>
      <w:pPr>
        <w:spacing w:after="0" w:line="20" w:lineRule="exact"/>
        <w:rPr>
          <w:sz w:val="20"/>
          <w:szCs w:val="20"/>
          <w:color w:val="auto"/>
        </w:rPr>
      </w:pPr>
      <w:r>
        <w:rPr>
          <w:sz w:val="20"/>
          <w:szCs w:val="20"/>
          <w:color w:val="auto"/>
        </w:rPr>
        <w:br w:type="column"/>
      </w:r>
    </w:p>
    <w:p>
      <w:pPr>
        <w:ind w:right="20"/>
        <w:spacing w:after="0" w:line="284" w:lineRule="auto"/>
        <w:rPr>
          <w:sz w:val="20"/>
          <w:szCs w:val="20"/>
          <w:color w:val="auto"/>
        </w:rPr>
      </w:pPr>
      <w:r>
        <w:rPr>
          <w:rFonts w:ascii="Times New Roman" w:cs="Times New Roman" w:eastAsia="Times New Roman" w:hAnsi="Times New Roman"/>
          <w:sz w:val="18"/>
          <w:szCs w:val="18"/>
          <w:color w:val="auto"/>
        </w:rPr>
        <w:t>The Public Warrants are redeemable in certain circumstances. See “</w:t>
      </w:r>
      <w:r>
        <w:rPr>
          <w:rFonts w:ascii="Times New Roman" w:cs="Times New Roman" w:eastAsia="Times New Roman" w:hAnsi="Times New Roman"/>
          <w:sz w:val="18"/>
          <w:szCs w:val="18"/>
          <w:i w:val="1"/>
          <w:iCs w:val="1"/>
          <w:color w:val="auto"/>
        </w:rPr>
        <w:t>Description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 Warrants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-527050</wp:posOffset>
            </wp:positionV>
            <wp:extent cx="7127875" cy="4684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468439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3360" w:space="720"/>
            <w:col w:w="6920"/>
          </w:cols>
          <w:pgMar w:left="440" w:top="1051"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Terms of the offering</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The selling securityholders will determine when and how they will dispose of the shares of common stock registered for resale under this prospectus.</w:t>
      </w:r>
    </w:p>
    <w:p>
      <w:pPr>
        <w:spacing w:after="0" w:line="162" w:lineRule="exact"/>
        <w:rPr>
          <w:sz w:val="20"/>
          <w:szCs w:val="20"/>
          <w:color w:val="auto"/>
        </w:rPr>
      </w:pPr>
    </w:p>
    <w:p>
      <w:pPr>
        <w:sectPr>
          <w:pgSz w:w="11900" w:h="16838" w:orient="portrait"/>
          <w:cols w:equalWidth="0" w:num="2">
            <w:col w:w="3360" w:space="720"/>
            <w:col w:w="6920"/>
          </w:cols>
          <w:pgMar w:left="440" w:top="105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Lock-Up Agreements</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of our securityholders are subject to certain restrictions on transfer until the termination of applicable lock-up periods. See the section titled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 Lock-Up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ectPr>
          <w:pgSz w:w="11900" w:h="16838" w:orient="portrait"/>
          <w:cols w:equalWidth="0" w:num="2">
            <w:col w:w="3360" w:space="720"/>
            <w:col w:w="6920"/>
          </w:cols>
          <w:pgMar w:left="440" w:top="105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of common stock or Warrants by the selling securityholders except with respect to amounts received by us due to the exercise of the Warrants. We believe the likelihood that warrant holders will exercise their Warrants, and therefore the amount of cash proceeds that we would receive, is dependent upon the trading price of our common stock. If the trading price for our common stock is less than $11.50 per share, we believe holders of our Warrants will be unlikely to exercise these Warrants. In addition, to the extent the Warrants are exercised on a “cashless basis,” the amount of cash we would receive from the exercise of the Warrants will decrease. The Private Warrants and Working Capital Warrants may be exercised for cash or on a “cashless basis.” The Public Warrants and the Merger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w:t>
      </w:r>
    </w:p>
    <w:p>
      <w:pPr>
        <w:spacing w:after="0" w:line="197" w:lineRule="exact"/>
        <w:rPr>
          <w:sz w:val="20"/>
          <w:szCs w:val="20"/>
          <w:color w:val="auto"/>
        </w:rPr>
      </w:pPr>
    </w:p>
    <w:p>
      <w:pPr>
        <w:sectPr>
          <w:pgSz w:w="11900" w:h="16838" w:orient="portrait"/>
          <w:cols w:equalWidth="0" w:num="2">
            <w:col w:w="3360" w:space="720"/>
            <w:col w:w="6920"/>
          </w:cols>
          <w:pgMar w:left="440" w:top="105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Before investing in our securities, you should carefully read and consider the information set forth in “Risk Factors” beginning on page 6.</w:t>
      </w:r>
    </w:p>
    <w:p>
      <w:pPr>
        <w:spacing w:after="0" w:line="162" w:lineRule="exact"/>
        <w:rPr>
          <w:sz w:val="20"/>
          <w:szCs w:val="20"/>
          <w:color w:val="auto"/>
        </w:rPr>
      </w:pPr>
    </w:p>
    <w:p>
      <w:pPr>
        <w:sectPr>
          <w:pgSz w:w="11900" w:h="16838" w:orient="portrait"/>
          <w:cols w:equalWidth="0" w:num="2">
            <w:col w:w="3360" w:space="720"/>
            <w:col w:w="6920"/>
          </w:cols>
          <w:pgMar w:left="440" w:top="105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ticker symbols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“CSLR” and “CSLRW”</w:t>
      </w:r>
    </w:p>
    <w:p>
      <w:pPr>
        <w:spacing w:after="0" w:line="200" w:lineRule="exact"/>
        <w:rPr>
          <w:sz w:val="20"/>
          <w:szCs w:val="20"/>
          <w:color w:val="auto"/>
        </w:rPr>
      </w:pPr>
    </w:p>
    <w:p>
      <w:pPr>
        <w:sectPr>
          <w:pgSz w:w="11900" w:h="16838" w:orient="portrait"/>
          <w:cols w:equalWidth="0" w:num="2">
            <w:col w:w="3360" w:space="720"/>
            <w:col w:w="6920"/>
          </w:cols>
          <w:pgMar w:left="440" w:top="1051" w:right="4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additional information concerning the offering,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beginning on page 113.</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51" w:right="45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contained in this prospectus, including our financial statements and related notes appearing at the end of this prospectus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Businesses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currently depends in part on the availability of rebates, tax credits and other financial incentives. The expiration, elimination or reduction of these rebates, credits or incentives or the ability to monetize them could adversely impact our business.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Inflation Reduction Act (the “</w:t>
      </w:r>
      <w:r>
        <w:rPr>
          <w:rFonts w:ascii="Times New Roman" w:cs="Times New Roman" w:eastAsia="Times New Roman" w:hAnsi="Times New Roman"/>
          <w:sz w:val="18"/>
          <w:szCs w:val="18"/>
          <w:b w:val="1"/>
          <w:bCs w:val="1"/>
          <w:color w:val="auto"/>
        </w:rPr>
        <w:t>IRA</w:t>
      </w:r>
      <w:r>
        <w:rPr>
          <w:rFonts w:ascii="Times New Roman" w:cs="Times New Roman" w:eastAsia="Times New Roman" w:hAnsi="Times New Roman"/>
          <w:sz w:val="18"/>
          <w:szCs w:val="18"/>
          <w:color w:val="auto"/>
        </w:rPr>
        <w:t>”) extended and modified prior law applicable to tax credits that are available with respect to solar energy systems. Under the IRA, the following credits are available: (i) a production tax credit under Code Section 44 (for facilities that begin construction before January 1, 2025) and Code Section 45Y (for facilities that begin construction between January 1, 2025 and the year that is four calendar years after the year in which certain U.S. greenhouse gas emissions percentages are met) (the “</w:t>
      </w:r>
      <w:r>
        <w:rPr>
          <w:rFonts w:ascii="Times New Roman" w:cs="Times New Roman" w:eastAsia="Times New Roman" w:hAnsi="Times New Roman"/>
          <w:sz w:val="18"/>
          <w:szCs w:val="18"/>
          <w:b w:val="1"/>
          <w:bCs w:val="1"/>
          <w:color w:val="auto"/>
        </w:rPr>
        <w:t>PTC</w:t>
      </w:r>
      <w:r>
        <w:rPr>
          <w:rFonts w:ascii="Times New Roman" w:cs="Times New Roman" w:eastAsia="Times New Roman" w:hAnsi="Times New Roman"/>
          <w:sz w:val="18"/>
          <w:szCs w:val="18"/>
          <w:color w:val="auto"/>
        </w:rPr>
        <w:t>”) in connection with the installation of certain solar facilities and energy storage technology, (ii) an investment tax credit under Code Section 48 (for facilities that begin construction before January 1, 2025) and Code Section 48E (for facilities that begin construction between January 1, 2025 and the year that is four calendar years after the year in which certain U.S. greenhouse gas emissions percentages are met) (the “</w:t>
      </w:r>
      <w:r>
        <w:rPr>
          <w:rFonts w:ascii="Times New Roman" w:cs="Times New Roman" w:eastAsia="Times New Roman" w:hAnsi="Times New Roman"/>
          <w:sz w:val="18"/>
          <w:szCs w:val="18"/>
          <w:b w:val="1"/>
          <w:bCs w:val="1"/>
          <w:color w:val="auto"/>
        </w:rPr>
        <w:t>ITC</w:t>
      </w:r>
      <w:r>
        <w:rPr>
          <w:rFonts w:ascii="Times New Roman" w:cs="Times New Roman" w:eastAsia="Times New Roman" w:hAnsi="Times New Roman"/>
          <w:sz w:val="18"/>
          <w:szCs w:val="18"/>
          <w:color w:val="auto"/>
        </w:rPr>
        <w:t>”) in connection with the installation of certain solar facilities and energy storage technology, and (iii) a residential clean energy credit (the “</w:t>
      </w:r>
      <w:r>
        <w:rPr>
          <w:rFonts w:ascii="Times New Roman" w:cs="Times New Roman" w:eastAsia="Times New Roman" w:hAnsi="Times New Roman"/>
          <w:sz w:val="18"/>
          <w:szCs w:val="18"/>
          <w:b w:val="1"/>
          <w:bCs w:val="1"/>
          <w:color w:val="auto"/>
        </w:rPr>
        <w:t>Section 25D Credit</w:t>
      </w:r>
      <w:r>
        <w:rPr>
          <w:rFonts w:ascii="Times New Roman" w:cs="Times New Roman" w:eastAsia="Times New Roman" w:hAnsi="Times New Roman"/>
          <w:sz w:val="18"/>
          <w:szCs w:val="18"/>
          <w:color w:val="auto"/>
        </w:rPr>
        <w:t>”) in connection with the installation of property that uses solar energy to generate electricity for residential use.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IRA, the PTC for solar facilities had phased out and was no longer available. The IRA reinstated the PTC for solar facilities. The PTC available to a taxpayer in a taxable year is equal to a certain rate multiplied by the kilowatt hours of electricity produced by the taxpayer from solar energy at a facility owned by it and sold to an unrelated party during that taxable year. The base rate for the PTC is 0.3 cents. This rate is increased to 1.5 cents for projects that (i) have a maximum net output of less than one MW AC, (ii) begin construction before January 29, 2023, or (iii) meet certain prevailing wage and apprenticeship requirements. It also may be increased for projects that include a certain percentage of components that were produced in the United States, projects that are located in certain energy communities, and projects that are located in low-income communities.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ITC available to a taxpayer in a taxable year is equal to the “energy percentage” of the basis of “energy property” placed in service by the taxpayer during that taxable year. “Energy property” includes equipment that uses solar energy to generate electricity (including structural components that are necessary to the functioning of a solar facility as a whole) and certain energy storage systems (including batteries included as part of or adjacent to a solar facility). The base “energy percentage” for the ITC is 6%. This energy percentage is increased to 30% for projects that (i) have a maximum net output of less than one MW AC, (ii) begin construction before January 29, 2023, or (iii) meet certain prevailing wage and apprenticeship requirements. It also may be increased for projects that include a certain percentage of components that were produced in the United States, projects that are located in certain energy communities, and projects that are located in low-income communities. ITCs are subject to recapture if, during the five-year period after a facility is placed in service, the facility is sold, exchanged, involuntarily converted, or ceases its business usage. If the event that causes such recapture occurs within the first year after a project is placed in service, 100% of the ITCs will be recaptured. The recapture percentage is reduced 20% for each subsequent year. Historically, we have utilized the ITC when available for both residential and commercial leases and power purchase agreements, based on ownership of the solar energy system.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Section 25D Credit available to a taxpayer is equal to the “applicable percentage” of expenditures for property that uses solar energy to generate electricity for use in a dwelling unit used as a residence by the taxpayer. The applicable percentage is 26% for such systems that are placed in service before January 1, 2022, 30% for such systems that are placed in service after December 31, 2021 and before January 1, 2033, 26% for such systems that are placed in service in 2033, and 22% for such systems that are placed in service in 2034. The Section 25D Credit is scheduled to expire effective January 1, 2035. Although it is unlikely that Complete Solaria would qualify for the Section 25D Credit, the availability of the Section 25D Credit may impact the prices of its solar energy systems.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Reductions in, eliminations of, or expirations of, governmental incentives could adversely impact results of operations and ability to compete in this industry by increasing the cost of capital, causing us to increase the prices of our energy and solar energy systems and reduce the size of our addressable market.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these companies will make our common stock less attractive to investors.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intend to take advantage of exemptions from various reporting requirements that apply to other public companies that are not emerging growth companies, including:</w:t>
      </w:r>
    </w:p>
    <w:p>
      <w:pPr>
        <w:spacing w:after="0" w:line="162"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regarding mandatory audit firm rotation or a supplement to the auditor’s report providing additional information about the audit and the financial statements;</w:t>
      </w:r>
    </w:p>
    <w:p>
      <w:pPr>
        <w:spacing w:after="0" w:line="17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as defined in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our periodic reports and proxy statements.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regulations and policies and changes to these regulations and policies may present technical, regulatory, and economic barriers to the purchase and use of solar power products, which may significantly reduce demand for our products and services.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market for electric generation products is heavily influenced by federal, state and local government laws, regulations and policies concerning the electric utility industry in the United States and abroad, as well as policies promulgated by electric utilities. These regulations and policies often relate to electricity pricing and technical interconnection of customer-owned electricity generation, and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trade and local content laws,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United States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Any new regulations or policies pertaining our solar power products may result in significant additional expenses for our customers, which could cause a significant reduction in demand for our solar power products.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net metering and related policies to offer competitive pricing to customers in many of our current markets and changes to net metering policies may significantly reduce demand for electricity from residential solar energy systems.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metering is one of several key policies that have enabled the growth of distributed generation solar energy systems in the United States,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California, the California Public Utilities Commission (“</w:t>
      </w:r>
      <w:r>
        <w:rPr>
          <w:rFonts w:ascii="Times New Roman" w:cs="Times New Roman" w:eastAsia="Times New Roman" w:hAnsi="Times New Roman"/>
          <w:sz w:val="18"/>
          <w:szCs w:val="18"/>
          <w:b w:val="1"/>
          <w:bCs w:val="1"/>
          <w:color w:val="auto"/>
        </w:rPr>
        <w:t>CPUC</w:t>
      </w:r>
      <w:r>
        <w:rPr>
          <w:rFonts w:ascii="Times New Roman" w:cs="Times New Roman" w:eastAsia="Times New Roman" w:hAnsi="Times New Roman"/>
          <w:sz w:val="18"/>
          <w:szCs w:val="18"/>
          <w:color w:val="auto"/>
        </w:rPr>
        <w:t>”) issued an order in 2016 retaining retail-based net metering credits for residential customers of California’s major utilities as part of Net Energy Metering 2.0 (“</w:t>
      </w:r>
      <w:r>
        <w:rPr>
          <w:rFonts w:ascii="Times New Roman" w:cs="Times New Roman" w:eastAsia="Times New Roman" w:hAnsi="Times New Roman"/>
          <w:sz w:val="18"/>
          <w:szCs w:val="18"/>
          <w:b w:val="1"/>
          <w:bCs w:val="1"/>
          <w:color w:val="auto"/>
        </w:rPr>
        <w:t>NEM 2.0</w:t>
      </w:r>
      <w:r>
        <w:rPr>
          <w:rFonts w:ascii="Times New Roman" w:cs="Times New Roman" w:eastAsia="Times New Roman" w:hAnsi="Times New Roman"/>
          <w:sz w:val="18"/>
          <w:szCs w:val="18"/>
          <w:color w:val="auto"/>
        </w:rPr>
        <w:t>”). Under NEM 2.0, new distributed generation customers receive the retail rate for electricity exported to the grid, less certain non-bypassable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 w:cs="Times New Roman" w:eastAsia="Times New Roman" w:hAnsi="Times New Roman"/>
          <w:sz w:val="18"/>
          <w:szCs w:val="18"/>
          <w:b w:val="1"/>
          <w:bCs w:val="1"/>
          <w:color w:val="auto"/>
        </w:rPr>
        <w:t>NEM 3.0</w:t>
      </w:r>
      <w:r>
        <w:rPr>
          <w:rFonts w:ascii="Times New Roman" w:cs="Times New Roman" w:eastAsia="Times New Roman" w:hAnsi="Times New Roman"/>
          <w:sz w:val="18"/>
          <w:szCs w:val="18"/>
          <w:color w:val="auto"/>
        </w:rPr>
        <w:t>”), also referred to by the CPUC as the NEM 2.0 successor tariff. NEM 3.0 was finalized on December 15, 2022 and will include several changes from previous net metering plans. There will be changes that impact the amount that homeowners with solar power will be able to recuperate when selling excess energy back to the utility grid. With NEM 3.0, the value of the credits for net exports will be tied to the state’s 2022 Distributed Energy Resources Avoided Cost Calculator Documentation (“</w:t>
      </w:r>
      <w:r>
        <w:rPr>
          <w:rFonts w:ascii="Times New Roman" w:cs="Times New Roman" w:eastAsia="Times New Roman" w:hAnsi="Times New Roman"/>
          <w:sz w:val="18"/>
          <w:szCs w:val="18"/>
          <w:b w:val="1"/>
          <w:bCs w:val="1"/>
          <w:color w:val="auto"/>
        </w:rPr>
        <w:t>ACC</w:t>
      </w:r>
      <w:r>
        <w:rPr>
          <w:rFonts w:ascii="Times New Roman" w:cs="Times New Roman" w:eastAsia="Times New Roman" w:hAnsi="Times New Roman"/>
          <w:sz w:val="18"/>
          <w:szCs w:val="18"/>
          <w:color w:val="auto"/>
        </w:rPr>
        <w:t>”). Another significant change with NEM 3.0 will be applied to the netting period: the time period over which the utilities measure the clean energy being imported or exported. In general, longer netting periods have typically been advantageous for solar power customers because any consumption can be offset with production. NEM 3.0 will instead measure energy using instantaneous netting, which means interval netting approximately every 15 minutes. This will lead to more NEM customers’ electricity registering as exports, now valued at the new, lower ACC value.</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utilize a limited number of suppliers of solar panels and other system components to adequately meet anticipated demand for our solar service offerings. Any shortage, delay or component price change from these suppliers or delays and price increases associated with the product transport logistics could result in sales and installation delays, cancellations and loss of market share.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purchase solar panels, inverters and other system components from a limited number of suppliers, which makes us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particular, there are a limited number of inverter suppliers. Once we design a system for use with a particular inverter, if that type of inverter is not readily available at an anticipated price, we may incur additional delay and expense to redesign the system.</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Despite efforts to obtain components from multiple sources whenever possible, many suppliers may be single-source suppliers of certain components. If we are not able to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its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effectively compete in the markets in which the company operates.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substantially focuses on solar service agreements and transactions with residential customers.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substantially focuses on solar service agreements and transactions with residential customers. Our energy system sales to homeowners utilize power purchase agreements (“</w:t>
      </w:r>
      <w:r>
        <w:rPr>
          <w:rFonts w:ascii="Times New Roman" w:cs="Times New Roman" w:eastAsia="Times New Roman" w:hAnsi="Times New Roman"/>
          <w:sz w:val="18"/>
          <w:szCs w:val="18"/>
          <w:b w:val="1"/>
          <w:bCs w:val="1"/>
          <w:color w:val="auto"/>
        </w:rPr>
        <w:t>PPAs</w:t>
      </w:r>
      <w:r>
        <w:rPr>
          <w:rFonts w:ascii="Times New Roman" w:cs="Times New Roman" w:eastAsia="Times New Roman" w:hAnsi="Times New Roman"/>
          <w:sz w:val="18"/>
          <w:szCs w:val="18"/>
          <w:color w:val="auto"/>
        </w:rPr>
        <w:t>”), leases, loans and other products and services. We currently offer PPAs and leases through Sunrun, Inc., EverBright, LLC, Sunnova Energy International, and OakStar Bank. If we were to be unable to arrange new or alternative methods of financing for PPAs and leases on favorable terms, our business, financial condition, results of operations and prospects could be materially and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tariffs, or trade disputes could significantly and adversely affect our business, revenues, margins, results of operations, and cash flows.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7, 2018, safeguard tariffs on imported solar cells and modules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 w:cs="Times New Roman" w:eastAsia="Times New Roman" w:hAnsi="Times New Roman"/>
          <w:sz w:val="18"/>
          <w:szCs w:val="18"/>
          <w:b w:val="1"/>
          <w:bCs w:val="1"/>
          <w:color w:val="auto"/>
        </w:rPr>
        <w:t>International Trade Commission</w:t>
      </w:r>
      <w:r>
        <w:rPr>
          <w:rFonts w:ascii="Times New Roman" w:cs="Times New Roman" w:eastAsia="Times New Roman" w:hAnsi="Times New Roman"/>
          <w:sz w:val="18"/>
          <w:szCs w:val="18"/>
          <w:color w:val="auto"/>
        </w:rPr>
        <w:t>”). Since 2021, modules are subject to a tariff rate of 15%. Cells are subjected to a tariff-rate quota, under which the first 2.5 GW of cell imports each year will be exempt from tariffs; and cells imported after the 2.5 GW quota has been reached will be subject to the same 30% tariff as modules in the first year, with the same 5% decline in each of the three subsequent years. The tariff-free cell quota applies globally, without any allocation by country or region.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tariffs could materially and adversely affect our business and results of operations. While solar cells and modules based on interdigitated back contact technology were granted exclusion from these safeguard tariffs on September 19, 2018, our solar products based on other technologies continue to be subject to the safeguard tariffs. Although we are actively engaged in efforts to mitigate the effect of these tariffs, there is no guarantee that these efforts will be successful.</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Uncertainty surrounding the implications of existing tariffs affecting the U.S. solar market and potential trade tensions between the United States and other countries is likely to cause market volatility, price fluctuations, supply shortages, and project delays, any of which could harm our business, and the pursuit of mitigating actions may divert substantial resources from other projects. 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the company’s solar power products and greatly reduce our competitive advantage.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operations and growth effectively, we may be unable to execute our business plan, maintain high levels of customer service or adequately address competitive challenges.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experienced significant growth in recent periods as measured by our number of customers; we intend to continue efforts to expand our business within existing and new markets. This growth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current and planned operations, personnel, information technology and other systems and procedures might be inadequate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international activities and customers in the European Union, and plans to continue these efforts, which subjects us to additional business risks, including logistical and compliance related complexity.</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portion of our sales are made to customers outside of the United States, and a substantial portion of our supply agreements are with supply and equipment vendors located outside of the United States. We have solar cell and module production lines located at our outsourced manufacturing facilities in Thailand, Vietnam and India. We are also considering other manufacturing locations.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Risks we face in conducting business internationally include:</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export and import restrictions, employment laws, data protection laws, environmental protection, regulatory requirements, international trade agreements, and other government approvals, permits and licenses;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in staffing and managing foreign operations as well as cultural differences;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associated with current, future or deemed permanent establishment of operations in multiple countries;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uncertain legal systems, including potentially limited protection for intellectual property rights, and laws, changes in the governmental incentives that we rely on, regulations and policies which impose additional restrictions on the ability of foreign companies to conduct business in certain countries or otherwise place them at a competitive disadvantage in relation to domestic companies;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local infrastructure and developing telecommunications infrastructures;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sales and payment cycles and greater difficulty collecting accounts receivable;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government-fixed foreign exchange rates, the effects of currency hedging activity, and the potential inability to hedge currency fluctuations;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wars, acts of terrorism, political unrest, boycotts, curtailments of trade and other business restrictions;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barriers such as export requirements, tariffs, taxes and other restrictions and expenses, which could increase the prices of our products and make the company less competitive in some countries;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associated with compliance with laws (for example, the Foreign Corrupt Practices Act in the United States and similar laws outside of the United States).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an organizational structure involving entities globally. This increases the potential impact of adverse changes in laws, rules and regulations affecting the free flow of goods and personnel, and therefore heightens some of the risks noted above. Further, this structure requires us to effectively manage our international inventory and warehouses. If we fail to do so, our shipping movements may not correspond with product demand and flow. Unsettled intercompany balances between entities could result, if changes in law, regulations or related interpretations occur in adverse tax or other consequences that affect capital structure, intercompany interest rates and legal structure. If we are unable to successfully manage any such risks, any one or more could materially and negatively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and may be unable to achieve or sustain profitability in the future.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incurred net losses in the past and had an accumulated deficit of $354.9 million and $85.4 million as of December 31, 2023 and 2022, respectively.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spacing w:after="0" w:line="18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the customer base;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further lowering the cost of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cost of components for our solar service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and maintaining our channel partner network;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direct-to-consumer business to scale; and</w:t>
      </w:r>
    </w:p>
    <w:p>
      <w:pPr>
        <w:spacing w:after="0" w:line="225" w:lineRule="exact"/>
        <w:rPr>
          <w:rFonts w:ascii="Times New Roman" w:cs="Times New Roman" w:eastAsia="Times New Roman" w:hAnsi="Times New Roman"/>
          <w:sz w:val="18"/>
          <w:szCs w:val="18"/>
          <w:color w:val="auto"/>
        </w:rPr>
      </w:pPr>
    </w:p>
    <w:p>
      <w:pPr>
        <w:ind w:left="340" w:right="140" w:hanging="8"/>
        <w:spacing w:after="0" w:line="498" w:lineRule="auto"/>
        <w:tabs>
          <w:tab w:leader="none" w:pos="6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operating costs by lowering customer acquisition costs and optimizing our design and installation processes and supply chain logistics. Even if we do achieve profitability, we may be unable to sustain or increase profitability in the future.</w:t>
      </w:r>
    </w:p>
    <w:p>
      <w:pPr>
        <w:spacing w:after="0" w:line="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material drop in the retail price of utility-generated electricity or electricity from other sources could adversely impact our ability to attract customers which would harm our business, financial condition and results of operations.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a significant number of new power generation plants, including nuclear, coal, natural gas or renewable energy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additional electric transmission and distribution lines;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price of natural gas or other natural resources as a result of new drilling techniques or other technological developments, a relaxation of associated regulatory standards, or broader economic or policy developments;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conservation technologies and public initiatives to reduce electricity consumption;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subsidies impacting electricity prices, including in connection with electricity generation and transmission;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energy technologies that provide less expensive energy.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both traditional energy companies and renewable energy companies.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solar energy and renewable energy industries are both highly competitive and continually evolving as participants strive to distinguish themselves within their markets and compete with large utilities. We believe that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value-added products and services that could help them compete with us even if the cost of electricity they offer is higher than ours. In addition, a majority of utilities’ sources of electricity is non-solar, which may allow utilities to sell electricity more cheaply than electricity generated by our solar energy systems.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certain markets including California, putting us at risk of region-specific disruptions.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a substantial portion of our installations were in California and we expect much of its near-term future growth to occur in California, further concentrating our customer base and operational infrastructure. Accordingly, our business and results of operations are particularly susceptible to adverse economic, regulatory, political, weather and other conditions in this market and in other markets that may become similarly concentrated. We may not have adequate insurance, including business interruption insurance, to compensate for losses that may occur from any such significant events. A significant natural disaster could have a material adverse impact on our business, results of operations and financial condition. In addition, acts of terrorism or malicious computer viruses could cause disruptions in our business, our partners’ businesses or the economy as a whole. To the extent that these disruptions result in delays or cancellations of installations or the deployment of solar service offerings, our business, results of operations and financial condition would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depends on the widespread adoption of solar power technology.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distributed residential solar energy market is at a relatively early stage of development in comparison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be unsuccessful in broadening our customer base through origination of solar service agreements and related solar energy systems and energy storage systems within its current markets or in new markets we may enter.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color w:val="auto"/>
        </w:rPr>
        <w:t>Many factors may affect the demand for solar energy systems, including, but not limited to,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substance and magnitude of solar support programs including government targets, subsidies, incentives, renewable portfolio standards and residential net metering rules;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pricing of other conventional and non-renewable energy sources, such as natural gas, coal, oil and other fossil fuels, wind, utility-scale solar, nuclear, geothermal and biomass;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reliability and availability of energy generated by solar energy systems compared to conventional and other non-solar renewable energy sources;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level of interest rates.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seasonal trends, poor weather, labor shortages, and construction cycles.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significant industry-specific seasonal fluctuations. In the United States, many customers make purchasing decisions towards the end of the year in order to take advantage of tax credits. In addition, sales in the new home development market are often tied to construction market demands, which tend to follow national trends in construction, including declining sales during cold weather months.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terrorist activities, political unrest, economic volatility, and other outbreaks could disrupt our delivery and operations, which could materially and adversely affect our business, financial condition, and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United States and other countries across the globe with significant disruption to financial markets. We have outsourced product development and software engineering in Ukraine and we may potentially indirectly be adversely impacted any significant disruption it has caused and may continue to escalate. The recent Israel-Palestine Israel has created volatility in the global capital markets and may have further global economic consequences, including disruptions of the global supply chain and energy markets.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sales contracts for a significant portion of revenues, and the loss of any customer or cancellation of any contract may cause significant fluctuations or declines in revenues.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2021, 2022 and 2023, our top customer, Sunrun Inc., accounted for 63%, 47% and 55% of our total revenues from continuing operations, respectively. We anticipate that our dependence on a limited number of customers will continue for the foreseeable future. As a result of customer concentration, our financial performance may fluctuate significantly from period to period based, among others, on exogenous circumstances related to its clients. In addition, any one of the following events may materially adversely affect cash flows, revenues and results of operations:</w:t>
      </w:r>
    </w:p>
    <w:p>
      <w:pPr>
        <w:spacing w:after="0" w:line="18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delay or cancellation of orders from one or more significant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significant customers and failure to identify additional or replacement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significant customers to make timely payment for our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becoming insolvent or having difficulties meeting their financial obligations for any reason.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customers and payment delinquencies on its accounts receivables.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customer defaults have been immaterial to date, we expect that the risk of customer defaults may increase as we grow our business. If we experience increased customer credit defaults, our revenue and our ability to raise new investment funds could be adversely affected. If economic conditions worsen, certain of our customers may face liquidity concerns and may be unable to satisfy their payment obligations to us on a timely basis or at all, which could have a material adverse effect on our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Rising interest rates may adversely impact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to recent increases in inflation, the U.S. Federal Reserve has raised its benchmark interest rates. Increases in the federal benchmark rate could result in an increase in market interest rates, which may increase our interest expense and the costs of refinancing existing indebtedness or obtaining new debt. Consequently, rising interest rates will increase cost of capital. As a result, rising interest rates may have an adverse impact on our ability to offer attractive pricing on solar service agreements to customers. If in the future we have a need for significant borrowings and interest rates increase, that would increase the cost of the solar systems purchased us, which either would make those systems more expensive for customers, which is likely to reduce demand, or would lower operating margins, or both.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past or future acquisitions, and integration of these acquisitions may disrupt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2022, we acquired The Solaria Corporation, after which Complete Solar was renamed “Complete Solaria, Inc.” In October 2023, we subsequently sold solar panel assets of The Solaria Corporation, including intellectual property and customer contracts, to Maxeon Solar Technologies, Ltd, which resulted in an impairment loss of $147.5 million and loss on disposal of $1.8 million.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acquisition has numerous risks, including, but not limited to, the following:</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assimilating the operations and personnel of the acquired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effectively integrating the acquired technologies or products with current products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controls, procedures and policies during the transition and integration;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ongoing business and distraction of management and employees from other opportunities and challenges due to integration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acquired company’s accounting, management information and other administrative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technical and managerial personnel of the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customers, vendors, and other business partners of the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financial and strategic goals for the acquired and combined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acquisition-related costs or amortization costs for acquired intangible assets that could impact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due diligence processes to identify significant issues with product quality, legal and financial liabilities, among other things;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assert that internal controls over financial reporting are effective;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obtain in a timely manner, approvals from governmental authorities, which could delay or prevent such acquisitions.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intellectual property and may face intellectual property infringement claims that could be time-consuming and costly to defend and could result in the loss of significant rights.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and our customers, or the third parties with whom we work may receive letters, including letters from other third parties, and may become subject to lawsuits with such third parties alleging infringement of their patents. Additionally, we are required by contract to indemnify some customers and third-party intellectual property providers for certain costs and damages of patent infringement in circumstances where our products are a factor creating the customer’s or these third-party providers’ infringement liability. This practice may subject us to significant indemnification claims by customers and third-party providers. We cannot assure investors that indemnification claims will not be made or that these claims will not harm our business, operating results or financial condition. Intellectual property litigation is very expensive and time-consuming and could divert management’s attention from our business and could have a material adverse effect on our business, operating results or financial condition. If there is a successful claim of infringement against us, our customers or our third-party intellectual property providers, we may be required to pay substantial damages to the party claiming infringement, stop selling products or using technology that contains the allegedly infringing intellectual property, or enter into royalty or license agreements that may not be available on acceptable terms, if at all. Parties making infringement claims may also be able to bring an action before the International Trade Commission that could result in an order stopping the importation into the United States of our solar products. Any of these judgments could materially damage our business. We may have to develop non-infringing technology, and our failure in doing so or in obtaining licenses to the proprietary rights on a timely basis could have a material adverse effect on the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file claims against other parties for infringing its intellectual property that may be costly and may not be resolved in its favor.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technology or improvements in distributed solar energy generation and related technologies or components may materially adversely affect demand for our offerings.</w:t>
      </w:r>
    </w:p>
    <w:p>
      <w:pPr>
        <w:spacing w:after="0" w:line="15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spacing w:after="0" w:line="1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data protection laws. Many of these laws and regulations are subject to change and uncertain interpretation and could result in claims, increased cost of operations or otherwise harm its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Consumer personal privacy and data security have become significant issues and the subject of rapidly evolving regulation in the United States. Furthermore, federal, state and local government bodies or agencies have in the past adopted, and may in the future adopt, more laws and regulations affecting data privacy. For example, the state of California enacted the California Consumer Privacy Act of 2018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and California voters recently approved the California Privacy Rights Act (“</w:t>
      </w:r>
      <w:r>
        <w:rPr>
          <w:rFonts w:ascii="Times New Roman" w:cs="Times New Roman" w:eastAsia="Times New Roman" w:hAnsi="Times New Roman"/>
          <w:sz w:val="18"/>
          <w:szCs w:val="18"/>
          <w:b w:val="1"/>
          <w:bCs w:val="1"/>
          <w:color w:val="auto"/>
        </w:rPr>
        <w:t>CPRA</w:t>
      </w:r>
      <w:r>
        <w:rPr>
          <w:rFonts w:ascii="Times New Roman" w:cs="Times New Roman" w:eastAsia="Times New Roman" w:hAnsi="Times New Roman"/>
          <w:sz w:val="18"/>
          <w:szCs w:val="18"/>
          <w:color w:val="auto"/>
        </w:rPr>
        <w:t>”).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Complete Solaria’s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w:t>
      </w:r>
      <w:r>
        <w:rPr>
          <w:rFonts w:ascii="Times New Roman" w:cs="Times New Roman" w:eastAsia="Times New Roman" w:hAnsi="Times New Roman"/>
          <w:sz w:val="18"/>
          <w:szCs w:val="18"/>
          <w:b w:val="1"/>
          <w:bCs w:val="1"/>
          <w:color w:val="auto"/>
        </w:rPr>
        <w:t>EU GDPR</w:t>
      </w:r>
      <w:r>
        <w:rPr>
          <w:rFonts w:ascii="Times New Roman" w:cs="Times New Roman" w:eastAsia="Times New Roman" w:hAnsi="Times New Roman"/>
          <w:sz w:val="18"/>
          <w:szCs w:val="18"/>
          <w:color w:val="auto"/>
        </w:rPr>
        <w:t>”) and the United Kingdom’s GDPR (“</w:t>
      </w:r>
      <w:r>
        <w:rPr>
          <w:rFonts w:ascii="Times New Roman" w:cs="Times New Roman" w:eastAsia="Times New Roman" w:hAnsi="Times New Roman"/>
          <w:sz w:val="18"/>
          <w:szCs w:val="18"/>
          <w:b w:val="1"/>
          <w:bCs w:val="1"/>
          <w:color w:val="auto"/>
        </w:rPr>
        <w:t>UK GDPR</w:t>
      </w:r>
      <w:r>
        <w:rPr>
          <w:rFonts w:ascii="Times New Roman" w:cs="Times New Roman" w:eastAsia="Times New Roman" w:hAnsi="Times New Roman"/>
          <w:sz w:val="18"/>
          <w:szCs w:val="18"/>
          <w:color w:val="auto"/>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and the United Kingdom have significantly restricted the transfer of personal data to the United States and other countries whose privacy laws it believes are not 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Complete Solaria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Complete Solaria takes precautions to provide for disaster recovery, the company’s ability to recover systems or data may be expensive and may interfere with normal operations. Also, although we obtain assurances from such third parties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we our suppliers or vendors and our dealers may be unable to anticipate these techniques or to implement adequate preventative or mitigation measures.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laws and regulations relating to interactions by the company or its dealers with current or prospective residential customers could result in negative publicity, claims, investigations and litigation and adversely affect financial performance.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substantially focuses on solar service agreements and transactions with residential customers. We offer leases, loans and other products and services to consumers by contractors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 w:cs="Times New Roman" w:eastAsia="Times New Roman" w:hAnsi="Times New Roman"/>
          <w:sz w:val="18"/>
          <w:szCs w:val="18"/>
          <w:i w:val="1"/>
          <w:iCs w:val="1"/>
          <w:color w:val="auto"/>
        </w:rPr>
        <w:t>As sales to residential customers have grown, we have increasingly become subject to substantial financing and consumer protection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laws and regulations.</w:t>
      </w:r>
      <w:r>
        <w:rPr>
          <w:rFonts w:ascii="Times New Roman" w:cs="Times New Roman" w:eastAsia="Times New Roman" w:hAnsi="Times New Roman"/>
          <w:sz w:val="18"/>
          <w:szCs w:val="18"/>
          <w:color w:val="auto"/>
        </w:rPr>
        <w:t>” These laws and regulations are dynamic and subject to potentially differing interpretations and various federal, state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these requirements may be interpreted and applied in a manner inconsistent from one jurisdiction to another and may conflict with other rules or our practices or the practices of our dealers.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United States or other markets in which the company does or intends to do business could also attract negative publicity and harm the business.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have been included in lawsuits brought by the consumer customers of certain contractors in our networks, citing claims based on the sales practices of these contractors. While we have paid only minimal damages to date,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introducing new service and product offerings.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 and reputation or change or loss of use of our brand could harm our business and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depend significantly on our reputation for high-quality products, excellent customer service and the brand name “Complete Solaria”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we were to no longer use, lose the right to continue to use or if others use the “Complete Solaria”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contributions of key personnel.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rely heavily on the services of our key executive officers and the loss of services of any principal member of the management team could adversely affect operations. There have been, and from time to time there may continue to changes in our management team resulting from the hiring and departure of executives and key employees, or the transition of executives within the Company, which could disrupt our business.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investing significant resources in developing new members of management as we complete our restructuring and strategic transformation.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of employees, including key executive officers, serve at-will and may terminate their employment at any time for any reason.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dealers or suppliers fail to hire and retain a sufficient number of employees and service providers in key functions, our growth and ability to timely complete customer projects and successfully manage customer accounts would be constrained.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 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ability to grow may fluctuate from quarter to quarter and year to year, which could make future performance difficult to predict and could cause operating results for a particular period to fall below expectations.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and its ability to grow are difficult to predict and may fluctuate significantly in the future. We have experienced seasonal and quarterly fluctuations in the past and expect to experience such fluctuations in the future. In addition to the other risks described in this “Risk Factors” section, the following factors could cause operating results to fluctuate:</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initiation of any governmental rebates or incentives;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customer demand for our solar energy services, solar energy systems and energy storage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dealers’ ability to complete installations in a timely manner;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our’s and our dealers’ ability to gain interconnection permission for an installed solar energy system from the relevant utility;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terms and costs of suitable financing;</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of sales and potential decreases in value of Solar Renewable Energy Certificates (“</w:t>
      </w:r>
      <w:r>
        <w:rPr>
          <w:rFonts w:ascii="Times New Roman" w:cs="Times New Roman" w:eastAsia="Times New Roman" w:hAnsi="Times New Roman"/>
          <w:sz w:val="18"/>
          <w:szCs w:val="18"/>
          <w:b w:val="1"/>
          <w:bCs w:val="1"/>
          <w:color w:val="auto"/>
        </w:rPr>
        <w:t>SRECs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its operations and the amount and timing of expenditures related to this expansion;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capital-raising activities or commitments;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terms or those of competitors, including centralized electric utilities;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competitors’ businesses, technology or the competitive landscape;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weather or meteorological conditions.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these or other reasons, the results of any prior quarterly or annual periods should not be relied upon as indications of our future performance.</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insurance on the terms of any available insurance coverage could be materially adversely affected by international, national, state or local events or company-specific events, as well as the financial condition of insurers.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insurance policies cover legal and contractual liabilities arising out of bodily injury, personal injury or property damage to third parties and are subject to policy limits.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procures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 w:cs="Times New Roman" w:eastAsia="Times New Roman" w:hAnsi="Times New Roman"/>
          <w:sz w:val="18"/>
          <w:szCs w:val="18"/>
          <w:i w:val="1"/>
          <w:iCs w:val="1"/>
          <w:color w:val="auto"/>
        </w:rPr>
        <w:t>We may be required to file claims against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for infringing its intellectual property that may be costly and may not be resolved in our favor</w:t>
      </w:r>
      <w:r>
        <w:rPr>
          <w:rFonts w:ascii="Times New Roman" w:cs="Times New Roman" w:eastAsia="Times New Roman" w:hAnsi="Times New Roman"/>
          <w:sz w:val="18"/>
          <w:szCs w:val="18"/>
          <w:color w:val="auto"/>
        </w:rPr>
        <w:t>.” We rely substantially upon trade secret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restrictions to protect our proprietary rights, and, if these rights are not sufficiently protected, our ability to compete and generate revenue could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sales to residential customers have grown, we have increasingly become subject to consumer protection laws and regulations.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often required, at the request of our end customer, to undertake certain obligations such as:</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output performance warranties;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maintenance.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construction, cost overruns, delays, regulatory compliance and other contingencies, any of which could have a material adverse effect on its business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 w:cs="Times New Roman" w:eastAsia="Times New Roman" w:hAnsi="Times New Roman"/>
          <w:sz w:val="18"/>
          <w:szCs w:val="18"/>
          <w:b w:val="1"/>
          <w:bCs w:val="1"/>
          <w:color w:val="auto"/>
        </w:rPr>
        <w:t>CSLB</w:t>
      </w:r>
      <w:r>
        <w:rPr>
          <w:rFonts w:ascii="Times New Roman" w:cs="Times New Roman" w:eastAsia="Times New Roman" w:hAnsi="Times New Roman"/>
          <w:sz w:val="18"/>
          <w:szCs w:val="18"/>
          <w:color w:val="auto"/>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causes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any failure to comply with electrical standards and manufacturer recommendations.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we or our solar partners may face construction delays or cost overruns, which may adversely affect our or our solar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installation of solar energy systems, energy-storage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us and our homeowners and, as a result, could cause a significant reduction in demand for solar service offerings.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United States or other markets in which we do business could also attract negative publicity and harm our business, brand and reputation in the market.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identified conditions that raise substantial doubt about our ability to continue as a going concern.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losses and negative cash flows from operations. We incurred net losses of $269.6 million and $29.5 million, during the fiscal years ended December 31, 2023 and 2022, respectively, and had an accumulated deficit of $354.9 million and current debt of $61.9 million as of December 31, 2023. We had cash and cash equivalents of $2.6 million as of December 31, 2023, which were held for working capital expenditures. These conditions raise substantial doubt about our ability to continue as a going concern. Our ability to continue as a going concern requires that we obtain sufficient funding to meet our obligations and finance our operations.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has concluded that there is substantial doubt about our ability to continue as a going concern. If we are not able to secure adequate additional funding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 Failure to generate sufficient cash flows from operations, raise additional capital or reduce certain discretionary spending would have a material adverse effect on our ability to achieve our intended business objectives.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additional funding to finance our operations. This additional financing may not be available on acceptable terms or at all. Failure to obtain this necessary capital when needed may force us to curtail planned programs or cease operations entirely.</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operations have consumed significant amounts of cash since inception. We expect to incur significant operating expenses as we continue to grow our business. We believe that our operating losses and negative operating cash flows will continue into the foreseeable future.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of $1.8 million as of March 31, 2024. Our cash position raises substantial doubt regarding our ability to continue as a going concern for 12 months following the issuance of the unaudited condensed consolidated financial statements. We will require substantial additional capital to continue operations. Such additional capital might not be available when we need it and our actual cash requirements might be greater than anticipated. We cannot be certain that additional capital will be available on attractive terms, if at all, when needed, which could be dilutive to stockholders, and our financial condition, results of operations, business and prospects could be materially and adversely affected.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controls over financial reporting.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and audit of our financial statements for the years ended December 31, 2022 and 2021, and our consolidated financial statements for the year ended December 31, 2023, our management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The material weakness is as follows:</w:t>
      </w:r>
    </w:p>
    <w:p>
      <w:pPr>
        <w:spacing w:after="0" w:line="183" w:lineRule="exact"/>
        <w:rPr>
          <w:sz w:val="20"/>
          <w:szCs w:val="20"/>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full-time accounting personnel, (i) to enable appropriate reviews over the financial close and reporting process, (ii) to allow for an appropriate segregation of duties, and (iii) with the requisite experience and technical accounting knowledge to identify, review and resolve complex accounting issues under generally accepted accounting principles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Additionally, we did not adequately design and/or implement controls related to conducting a formal risk assessment process.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and audit of our consolidated financial statements for the year ended December 31, 2023, our management identified a material weakness in our internal control over financial reporting. The material weakness is as follows:</w:t>
      </w:r>
    </w:p>
    <w:p>
      <w:pPr>
        <w:spacing w:after="0" w:line="162"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controls related to the completeness, existence, and cut-off of inventories held at third parties, and controls related to the calculation of adjustments to inventory for items considered excessive and obsolete.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such an evaluation been performed, additional control deficiencies may have been identified by the Company’s management, and those control deficiencies could have also represented one or more material weaknesses.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Complete Solaria was not required to perform an evaluation of internal control over financial reporting as of December 31, 2021 and 2020 in accordance with the provisions of the Sarbanes-Oxley Act, nor were we required to do so as of December 31, 2022. Had such an evaluation been performed, additional control deficiencies may have been identified by Complete Solar’s management, and those control deficiencies could have also represented one or more material weaknesses.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taken certain steps, such as recruiting additional personnel, in addition to utilizing third-party consultants and specialists, to supplement its internal resources, to enhance its internal control environment and plans to take additional steps to remediate the material weaknesses. Although we plan to complete this remediation process as quickly as possible, we cannot at this time estimate how long it will take. We cannot assure you that the measures we have taken to date and may take in the future, will be sufficient to remediate the control deficiencies that led to our material weakness in internal control over financial reporting or that it will prevent or avoid potential future material weaknesses.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secured revolving credit facility and other agreements, or other material adverse effects on our business, reputation, results of operations, financial condition or liquidity.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occupational safety and health requirements and best practices can be costly, and noncompliance with such requirements may result in potentially significant penalties, operational delays and adverse publicity.</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under Occupational Safety and Health Administration (“</w:t>
      </w:r>
      <w:r>
        <w:rPr>
          <w:rFonts w:ascii="Times New Roman" w:cs="Times New Roman" w:eastAsia="Times New Roman" w:hAnsi="Times New Roman"/>
          <w:sz w:val="18"/>
          <w:szCs w:val="18"/>
          <w:b w:val="1"/>
          <w:bCs w:val="1"/>
          <w:color w:val="auto"/>
        </w:rPr>
        <w:t>OSHA</w:t>
      </w:r>
      <w:r>
        <w:rPr>
          <w:rFonts w:ascii="Times New Roman" w:cs="Times New Roman" w:eastAsia="Times New Roman" w:hAnsi="Times New Roman"/>
          <w:sz w:val="18"/>
          <w:szCs w:val="18"/>
          <w:color w:val="auto"/>
        </w:rPr>
        <w:t>”) and the Department of Transporation (“</w:t>
      </w:r>
      <w:r>
        <w:rPr>
          <w:rFonts w:ascii="Times New Roman" w:cs="Times New Roman" w:eastAsia="Times New Roman" w:hAnsi="Times New Roman"/>
          <w:sz w:val="18"/>
          <w:szCs w:val="18"/>
          <w:b w:val="1"/>
          <w:bCs w:val="1"/>
          <w:color w:val="auto"/>
        </w:rPr>
        <w:t>DOT</w:t>
      </w:r>
      <w:r>
        <w:rPr>
          <w:rFonts w:ascii="Times New Roman" w:cs="Times New Roman" w:eastAsia="Times New Roman" w:hAnsi="Times New Roman"/>
          <w:sz w:val="18"/>
          <w:szCs w:val="18"/>
          <w:color w:val="auto"/>
        </w:rPr>
        <w:t>”) regulations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benefited from the declining cost of solar energy system components and business may be harmed to the extent the cost of such components stabilize or increase in the future.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the solar energy systems we own,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 against us could result in adverse publicity and potentially significant monetary damages.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warranty costs may exceed the warranty reserve.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warranties that cover parts performance and labor to purchasers of our solar modules.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involved in claims, legal proceedings that arise from normal business activities. In addition, from time to time, third parties may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In our opinion, resolution of all current matters is not expected to have a material adverse impact on our business, financial condition or results of operations. However, depending on the nature and timing of any such controversy, an unfavorable resolution of a matter could materially affect our future business, financial condition or results of operations, or all of the foregoing, in a particular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directors and officers.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will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time-consuming. A number of those requirements will require us to carry out activities we had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certain other tax attributes may be limited.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both current and future unused net operating loss (“</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carryforwards and other tax attributes may be subject to limitation under Sections 382 and 383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Fluctuations in the price of our securities could contribute to the loss of all or part of your investment. Prior to the Business Combination, there was no public market for Solaria’s stock and trading in the shares of our common stock (prior to consummation of the Business Combination, “FACT Common Stock”) was not active. Accordingly, the valuation ascribed to Solaria and FACT Common Stock in the Business Combination may not have been indicative of the price that will prevail in the trading market following the Business Combination. If an active market for our securities develops and continues,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affecting the trading price of our securities: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securities available for public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over-the-counter (“</w:t>
      </w:r>
      <w:r>
        <w:rPr>
          <w:rFonts w:ascii="Times New Roman" w:cs="Times New Roman" w:eastAsia="Times New Roman" w:hAnsi="Times New Roman"/>
          <w:sz w:val="18"/>
          <w:szCs w:val="18"/>
          <w:b w:val="1"/>
          <w:bCs w:val="1"/>
          <w:color w:val="auto"/>
        </w:rPr>
        <w:t>OTC</w:t>
      </w:r>
      <w:r>
        <w:rPr>
          <w:rFonts w:ascii="Times New Roman" w:cs="Times New Roman" w:eastAsia="Times New Roman" w:hAnsi="Times New Roman"/>
          <w:sz w:val="18"/>
          <w:szCs w:val="18"/>
          <w:color w:val="auto"/>
        </w:rPr>
        <w:t>”)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all applicable requirements of Nasdaq and Nasdaq determines to delist our common stock, the delisting could adversely affect the market liquidity of our common stock and the market price of our common stock could decrease.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16, 2024, we received two written notices from Nasdaq, notifying us that (i) because the closing bid price for our common stock was below $1.00 per share for at least 30 consecutive business days, we did not meet the $1.00 per share Minimum Bid Price Requirement (“</w:t>
      </w:r>
      <w:r>
        <w:rPr>
          <w:rFonts w:ascii="Times New Roman" w:cs="Times New Roman" w:eastAsia="Times New Roman" w:hAnsi="Times New Roman"/>
          <w:sz w:val="18"/>
          <w:szCs w:val="18"/>
          <w:b w:val="1"/>
          <w:bCs w:val="1"/>
          <w:color w:val="auto"/>
        </w:rPr>
        <w:t>Minimum Bid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Requirement</w:t>
      </w:r>
      <w:r>
        <w:rPr>
          <w:rFonts w:ascii="Times New Roman" w:cs="Times New Roman" w:eastAsia="Times New Roman" w:hAnsi="Times New Roman"/>
          <w:sz w:val="18"/>
          <w:szCs w:val="18"/>
          <w:color w:val="auto"/>
        </w:rPr>
        <w:t>”) and (ii) we are not in compliance with the requirement to maintain a minimum “Market Value of Listed Securities” (“</w:t>
      </w:r>
      <w:r>
        <w:rPr>
          <w:rFonts w:ascii="Times New Roman" w:cs="Times New Roman" w:eastAsia="Times New Roman" w:hAnsi="Times New Roman"/>
          <w:sz w:val="18"/>
          <w:szCs w:val="18"/>
          <w:b w:val="1"/>
          <w:bCs w:val="1"/>
          <w:color w:val="auto"/>
        </w:rPr>
        <w:t>MVLS</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$50,000,000 for continued listing on The Nasdaq Global Market, as set forth in Nasdaq Listing Rule 5450(b)(2)(A).</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notices have no immediate impact on the continued listing or trading of our common stock on The Nasdaq Global Market, which will continue to be listed and traded on The Nasdaq Global Market, subject to our compliance with the other continued listing requirements.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3, 2024, we were notified that we regained compliance with the Minimum Bid Price Requirement. To regain compliance with the MVLS Requirement, our MVLS must close at $50,000,000 or more for a minimum of ten consecutive business days prior to the end of the compliance period.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maintain compliance with the requirements for listing our common stock on Nasdaq. If we are unable to satisfy the Nasdaq criteria for continued listing, our common stock would be subject to delisting.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common stock in the public market by our shareholders could cause the price of our common stock to decline.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the our common stock in the public market, the market price of our common stock could decline.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provisions of the Delaware General Corporate Law (“DGCL”) may delay or prevent an acquisition by a third party that could otherwise be in the interests of shareholders.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several provisions that may make it more difficult or expensive for a third party to acquire control of us without the approval of the board. These provisions, which may delay, prevent or deter a merger, acquisition, tender offer, proxy contest, or other transaction that stockholders may consider favorable, include the following:</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director nominations;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stockholders’ ability to call special meetings of stockholders and to take action by written consent;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business combinations with interested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provisions of our Certificate of Incorporation and Proposed Bylaws could discourage potential takeover attempts and reduce the price that investors might be willing to pay for the shares of our common stock in the future, which could reduce the market price of our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Certificate of Incorporation requiring exclusive venue in the Court of Chancery in the State of Delaware and the federal district courts of the United States for certain types of lawsuits may have the effect of discouraging lawsuits against directors and officers.</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us;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(including any fiduciary duty) owed by any of our current or former directors, officers, stockholders, employees or agents to us or our stockholders;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relating to any provision of the DGCL or our Certificate of Incorporation or the Bylaws or as to which the DGCL confers jurisdiction on the Court of Chancery of the State of Delaware;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will further provide that, unless otherwise consented to by us in writing to the selection of an alternative forum, the federal district courts of the United States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common stock being offered in this prospectus represent a substantial percentage of our outstanding common stock, and the sales of such shares, or the perception that these sales could occur, could cause the market price of our common stock to decline significantly.</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or their permitted transferees of</w:t>
      </w:r>
    </w:p>
    <w:p>
      <w:pPr>
        <w:spacing w:after="0" w:line="27" w:lineRule="exact"/>
        <w:rPr>
          <w:sz w:val="20"/>
          <w:szCs w:val="20"/>
          <w:color w:val="auto"/>
        </w:rPr>
      </w:pPr>
    </w:p>
    <w:p>
      <w:pPr>
        <w:jc w:val="both"/>
        <w:ind w:firstLine="8"/>
        <w:spacing w:after="0" w:line="250" w:lineRule="auto"/>
        <w:tabs>
          <w:tab w:leader="none" w:pos="2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33,894,518 shares of common stock consisting of (a) up to 7,518,488 shares of common stock issued in connection with private placements pursuant to subscription agreements entered into on or around July 13, 2023 consisting of (1) 1,630,000 PIPE Shares originally issued at $10.00 per share,</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270,000 shares of common stock transferred to selling securityholders by the Sponsor for no consideration and (3) 5,618,488 shares issued pursuant to forward purchase agreements, (b) up to 8,625,000 shares of common stock originally issued in a private placement to the Sponsor in connection with the initial public offering of FACT at a price of $0.003 per share, (c) up to 6,266,667 shares of common stock issuable upon exercise of the Private Warrants at an exercise price of $11.50 per share, (d) up to 4,501,123 shares of common stock pursuant to that certain Amended and Restated Registration Rights Agreement, July 18, 2023, between us and the selling securityholders granting such holders registration rights with respect to such shares originally issued at a price of $0.48 per share, (e) up to 716,668 shares of common stock that are issuable upon the exercise of the Working Capital Warrants at an exercise price of $11.50 per share, and (f) up to 6,266,572 shares of common stock issuable upon exercise of the Merger Warrants, and (ii) up to 13,249,907 Warrants consisting of (a) up to 6,266,667 Private Warrants, (b) up to 716,668 Working Capital Warrants and (c) up to 6,266,572 Merger Warrants. We will not receive any proceeds from the sale of shares of common stock or Warrants by the selling securityholders pursuant to this prospectus.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number of Resale Securities exceeds the number of shares of common stock constituting our public float, and represents approximately 408.7% of our public float and approximately 46.6% of our outstanding shares of common stock (after giving effect to the issuance of shares of common stock upon exercise of the Warrants) as of July 16, 2024. The sale of all Resale Securities by the selling securityholders, or the perception that these sales could occur, could depress the market price of our common stock. Even if our trading price were to trade significantly below $10.00 per share, the offering price for the units sold in the FACT IPO, certain of the selling securityholders may still have an incentive to sell our common stock because they may still experience a positive rate of return on the securities they purchased due to the differences in the purchase prices described in the preceding paragraph and the public trading price of our common stock. While these selling securityholders may, on average, experience a positive rate of return based on the current market price of the common stock they purchased, public securityholders may not experience a similar rate of return on the common stock they purchased due to differences in the purchase prices and the current market price. Despite the closing price being $1.48 per share as of July 1, 2024, our Sponsor and the selling securityholders may still experience a positive rate of return on the shares purchased by them due to the lower price per share at which their shares were purchased as referenced above. While these selling securityholders may, on average, experience a positive rate of return based on the current market price, public stockholders may not experience a similar rate of return on the common stock they purchased if there is such a decline in price and due to differences in the purchase prices and the current market price. For example, based on the closing price of $1.48 per share on July 1, 2024, the Sponsor and other selling securityholders may receive potential profits ranging from $1.00 per share up to $1.48 per share. The PIPE Investors will not experience any profit per share unless our common stock trades above $10.00 per share. The sale of the Resale Securities being offered pursuant to this prospectus, or the perception that these sales could occur, could result in a significant decline in the public trading price of our common stock.</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and around July 13, 2023, FACT entered into separate Forward Purchase Agreements (the “</w:t>
      </w:r>
      <w:r>
        <w:rPr>
          <w:rFonts w:ascii="Times New Roman" w:cs="Times New Roman" w:eastAsia="Times New Roman" w:hAnsi="Times New Roman"/>
          <w:sz w:val="18"/>
          <w:szCs w:val="18"/>
          <w:b w:val="1"/>
          <w:bCs w:val="1"/>
          <w:color w:val="auto"/>
        </w:rPr>
        <w:t>Forward Purchase Agreements</w:t>
      </w:r>
      <w:r>
        <w:rPr>
          <w:rFonts w:ascii="Times New Roman" w:cs="Times New Roman" w:eastAsia="Times New Roman" w:hAnsi="Times New Roman"/>
          <w:sz w:val="18"/>
          <w:szCs w:val="18"/>
          <w:color w:val="auto"/>
        </w:rPr>
        <w:t>”) with each of</w:t>
      </w:r>
    </w:p>
    <w:p>
      <w:pPr>
        <w:spacing w:after="0" w:line="31" w:lineRule="exact"/>
        <w:rPr>
          <w:sz w:val="20"/>
          <w:szCs w:val="20"/>
          <w:color w:val="auto"/>
        </w:rPr>
      </w:pPr>
    </w:p>
    <w:p>
      <w:pPr>
        <w:jc w:val="both"/>
        <w:ind w:firstLine="8"/>
        <w:spacing w:after="0" w:line="250" w:lineRule="auto"/>
        <w:tabs>
          <w:tab w:leader="none" w:pos="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Meteora Special Opportunity Fund I, LP (“</w:t>
      </w:r>
      <w:r>
        <w:rPr>
          <w:rFonts w:ascii="Times New Roman" w:cs="Times New Roman" w:eastAsia="Times New Roman" w:hAnsi="Times New Roman"/>
          <w:sz w:val="18"/>
          <w:szCs w:val="18"/>
          <w:b w:val="1"/>
          <w:bCs w:val="1"/>
          <w:color w:val="auto"/>
        </w:rPr>
        <w:t>MSOF</w:t>
      </w:r>
      <w:r>
        <w:rPr>
          <w:rFonts w:ascii="Times New Roman" w:cs="Times New Roman" w:eastAsia="Times New Roman" w:hAnsi="Times New Roman"/>
          <w:sz w:val="18"/>
          <w:szCs w:val="18"/>
          <w:color w:val="auto"/>
        </w:rPr>
        <w:t>”), Meteora Capital Partners, LP (“</w:t>
      </w:r>
      <w:r>
        <w:rPr>
          <w:rFonts w:ascii="Times New Roman" w:cs="Times New Roman" w:eastAsia="Times New Roman" w:hAnsi="Times New Roman"/>
          <w:sz w:val="18"/>
          <w:szCs w:val="18"/>
          <w:b w:val="1"/>
          <w:bCs w:val="1"/>
          <w:color w:val="auto"/>
        </w:rPr>
        <w:t>MCP</w:t>
      </w:r>
      <w:r>
        <w:rPr>
          <w:rFonts w:ascii="Times New Roman" w:cs="Times New Roman" w:eastAsia="Times New Roman" w:hAnsi="Times New Roman"/>
          <w:sz w:val="18"/>
          <w:szCs w:val="18"/>
          <w:color w:val="auto"/>
        </w:rPr>
        <w:t>”) and Meteora Select Trading Opportunities Master, LP (“</w:t>
      </w:r>
      <w:r>
        <w:rPr>
          <w:rFonts w:ascii="Times New Roman" w:cs="Times New Roman" w:eastAsia="Times New Roman" w:hAnsi="Times New Roman"/>
          <w:sz w:val="18"/>
          <w:szCs w:val="18"/>
          <w:b w:val="1"/>
          <w:bCs w:val="1"/>
          <w:color w:val="auto"/>
        </w:rPr>
        <w:t>MSTO</w:t>
      </w:r>
      <w:r>
        <w:rPr>
          <w:rFonts w:ascii="Times New Roman" w:cs="Times New Roman" w:eastAsia="Times New Roman" w:hAnsi="Times New Roman"/>
          <w:sz w:val="18"/>
          <w:szCs w:val="18"/>
          <w:color w:val="auto"/>
        </w:rPr>
        <w:t>”) (with MSOF, MCP, and MSTO collectively as “</w:t>
      </w:r>
      <w:r>
        <w:rPr>
          <w:rFonts w:ascii="Times New Roman" w:cs="Times New Roman" w:eastAsia="Times New Roman" w:hAnsi="Times New Roman"/>
          <w:sz w:val="18"/>
          <w:szCs w:val="18"/>
          <w:b w:val="1"/>
          <w:bCs w:val="1"/>
          <w:color w:val="auto"/>
        </w:rPr>
        <w:t>Meteora</w:t>
      </w:r>
      <w:r>
        <w:rPr>
          <w:rFonts w:ascii="Times New Roman" w:cs="Times New Roman" w:eastAsia="Times New Roman" w:hAnsi="Times New Roman"/>
          <w:sz w:val="18"/>
          <w:szCs w:val="18"/>
          <w:color w:val="auto"/>
        </w:rPr>
        <w:t>”); (ii) Polar Multi-Strategy Master Fund (“</w:t>
      </w:r>
      <w:r>
        <w:rPr>
          <w:rFonts w:ascii="Times New Roman" w:cs="Times New Roman" w:eastAsia="Times New Roman" w:hAnsi="Times New Roman"/>
          <w:sz w:val="18"/>
          <w:szCs w:val="18"/>
          <w:b w:val="1"/>
          <w:bCs w:val="1"/>
          <w:color w:val="auto"/>
        </w:rPr>
        <w:t>Polar</w:t>
      </w:r>
      <w:r>
        <w:rPr>
          <w:rFonts w:ascii="Times New Roman" w:cs="Times New Roman" w:eastAsia="Times New Roman" w:hAnsi="Times New Roman"/>
          <w:sz w:val="18"/>
          <w:szCs w:val="18"/>
          <w:color w:val="auto"/>
        </w:rPr>
        <w:t>”), and (iii) Diametric True Alpha Market Neutral Master Fund, LP, Diametric True Alpha Enhanced Market Neutral Master Fund, LP, and Pinebridge Partners Master Fund, LP (collectively, “</w:t>
      </w:r>
      <w:r>
        <w:rPr>
          <w:rFonts w:ascii="Times New Roman" w:cs="Times New Roman" w:eastAsia="Times New Roman" w:hAnsi="Times New Roman"/>
          <w:sz w:val="18"/>
          <w:szCs w:val="18"/>
          <w:b w:val="1"/>
          <w:bCs w:val="1"/>
          <w:color w:val="auto"/>
        </w:rPr>
        <w:t>Sandia</w:t>
      </w:r>
      <w:r>
        <w:rPr>
          <w:rFonts w:ascii="Times New Roman" w:cs="Times New Roman" w:eastAsia="Times New Roman" w:hAnsi="Times New Roman"/>
          <w:sz w:val="18"/>
          <w:szCs w:val="18"/>
          <w:color w:val="auto"/>
        </w:rPr>
        <w:t>”, and each of Meteora, Polar, and Sandia, individually, an “</w:t>
      </w:r>
      <w:r>
        <w:rPr>
          <w:rFonts w:ascii="Times New Roman" w:cs="Times New Roman" w:eastAsia="Times New Roman" w:hAnsi="Times New Roman"/>
          <w:sz w:val="18"/>
          <w:szCs w:val="18"/>
          <w:b w:val="1"/>
          <w:bCs w:val="1"/>
          <w:color w:val="auto"/>
        </w:rPr>
        <w:t>FPA Investors</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FPA Investors</w:t>
      </w:r>
      <w:r>
        <w:rPr>
          <w:rFonts w:ascii="Times New Roman" w:cs="Times New Roman" w:eastAsia="Times New Roman" w:hAnsi="Times New Roman"/>
          <w:sz w:val="18"/>
          <w:szCs w:val="18"/>
          <w:color w:val="auto"/>
        </w:rPr>
        <w:t>”), pursuant to which FACT (now Complete Solaria following the Closing) agreed to purchase in the aggregate, on the date that is 24 months after the Closing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up to 5,618,488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 On December 18, 2023, the Company and each FPA Investor entered into separate amendments to the Forward Purchase Agreements (the “</w:t>
      </w:r>
      <w:r>
        <w:rPr>
          <w:rFonts w:ascii="Times New Roman" w:cs="Times New Roman" w:eastAsia="Times New Roman" w:hAnsi="Times New Roman"/>
          <w:sz w:val="18"/>
          <w:szCs w:val="18"/>
          <w:b w:val="1"/>
          <w:bCs w:val="1"/>
          <w:color w:val="auto"/>
        </w:rPr>
        <w:t>First Amendments</w:t>
      </w:r>
      <w:r>
        <w:rPr>
          <w:rFonts w:ascii="Times New Roman" w:cs="Times New Roman" w:eastAsia="Times New Roman" w:hAnsi="Times New Roman"/>
          <w:sz w:val="18"/>
          <w:szCs w:val="18"/>
          <w:color w:val="auto"/>
        </w:rPr>
        <w:t>”). The First Amendments lower the reset floor price of each Forward Purchase Agreement from $5.00 to $3.00 and allow the Company to raise up to $10,000,000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 On May 7 and 8, 2024, respectively, the Company entered into separate amendments to the Forward Purchase Agreements (the collectively the “</w:t>
      </w:r>
      <w:r>
        <w:rPr>
          <w:rFonts w:ascii="Times New Roman" w:cs="Times New Roman" w:eastAsia="Times New Roman" w:hAnsi="Times New Roman"/>
          <w:sz w:val="18"/>
          <w:szCs w:val="18"/>
          <w:b w:val="1"/>
          <w:bCs w:val="1"/>
          <w:color w:val="auto"/>
        </w:rPr>
        <w:t>Second Amendments</w:t>
      </w:r>
      <w:r>
        <w:rPr>
          <w:rFonts w:ascii="Times New Roman" w:cs="Times New Roman" w:eastAsia="Times New Roman" w:hAnsi="Times New Roman"/>
          <w:sz w:val="18"/>
          <w:szCs w:val="18"/>
          <w:color w:val="auto"/>
        </w:rPr>
        <w:t>”) with Sandia (the “</w:t>
      </w:r>
      <w:r>
        <w:rPr>
          <w:rFonts w:ascii="Times New Roman" w:cs="Times New Roman" w:eastAsia="Times New Roman" w:hAnsi="Times New Roman"/>
          <w:sz w:val="18"/>
          <w:szCs w:val="18"/>
          <w:b w:val="1"/>
          <w:bCs w:val="1"/>
          <w:color w:val="auto"/>
        </w:rPr>
        <w:t>Sandia Second Amendment</w:t>
      </w:r>
      <w:r>
        <w:rPr>
          <w:rFonts w:ascii="Times New Roman" w:cs="Times New Roman" w:eastAsia="Times New Roman" w:hAnsi="Times New Roman"/>
          <w:sz w:val="18"/>
          <w:szCs w:val="18"/>
          <w:color w:val="auto"/>
        </w:rPr>
        <w:t>”) and Polar (the “</w:t>
      </w:r>
      <w:r>
        <w:rPr>
          <w:rFonts w:ascii="Times New Roman" w:cs="Times New Roman" w:eastAsia="Times New Roman" w:hAnsi="Times New Roman"/>
          <w:sz w:val="18"/>
          <w:szCs w:val="18"/>
          <w:b w:val="1"/>
          <w:bCs w:val="1"/>
          <w:color w:val="auto"/>
        </w:rPr>
        <w:t>Polar Second Amendment</w:t>
      </w:r>
      <w:r>
        <w:rPr>
          <w:rFonts w:ascii="Times New Roman" w:cs="Times New Roman" w:eastAsia="Times New Roman" w:hAnsi="Times New Roman"/>
          <w:sz w:val="18"/>
          <w:szCs w:val="18"/>
          <w:color w:val="auto"/>
        </w:rPr>
        <w:t>”). The Second Amendments lower the reset price of each Forward Purchase Agreement from $3.00 to $1.00 per share and amend the VWAP Trigger Event provision to read as “After December 31, 2024, an event that occurs if the VWAP Price, for any 20 trading days during a 30 consecutive trading day-period, is below $1.00 per Share.” The Sandia Second Amendment is not effective until the Company executes similar amendments with both Polar and Meteora. Subsequently, on June 14, 2024, the Company entered into an amendment to the Forward Purchase Agreement with Sandia (the “</w:t>
      </w:r>
      <w:r>
        <w:rPr>
          <w:rFonts w:ascii="Times New Roman" w:cs="Times New Roman" w:eastAsia="Times New Roman" w:hAnsi="Times New Roman"/>
          <w:sz w:val="18"/>
          <w:szCs w:val="18"/>
          <w:b w:val="1"/>
          <w:bCs w:val="1"/>
          <w:color w:val="auto"/>
        </w:rPr>
        <w:t>Sandia Third Amendment</w:t>
      </w:r>
      <w:r>
        <w:rPr>
          <w:rFonts w:ascii="Times New Roman" w:cs="Times New Roman" w:eastAsia="Times New Roman" w:hAnsi="Times New Roman"/>
          <w:sz w:val="18"/>
          <w:szCs w:val="18"/>
          <w:color w:val="auto"/>
        </w:rPr>
        <w:t>”). The Sandia Third Amendment sets the reset price of each Forward Purchase Agreement to $1.00 per share and amends the VWAP Trigger Event provision to read as “After December 31, 2024, an event that occurs if the VWAP Price, for any 20 trading days during a 30 consecutive trading day-period, is below $1.00 per Share.” In the event either Polar or Meteora amend their Forward Purchase Agreements to include different terms from the $1.00 reset price and VWAP trigger adjustment, or file a notice of a VWAP trigger event, as reference herein, the Sandia Forward Purchase Agreement will be retroactively amended to reflect those improved terms and liquidity on the Sandia Forward Purchase Agreement, including any of the 1,050,000 shares that were sold upon execution of this document. On July 17, 2024, the Company entered into the third amendment to the Forward Purchase Agreement with Polar (the “</w:t>
      </w:r>
      <w:r>
        <w:rPr>
          <w:rFonts w:ascii="Times New Roman" w:cs="Times New Roman" w:eastAsia="Times New Roman" w:hAnsi="Times New Roman"/>
          <w:sz w:val="18"/>
          <w:szCs w:val="18"/>
          <w:b w:val="1"/>
          <w:bCs w:val="1"/>
          <w:color w:val="auto"/>
        </w:rPr>
        <w:t>Polar Third Amendment</w:t>
      </w:r>
      <w:r>
        <w:rPr>
          <w:rFonts w:ascii="Times New Roman" w:cs="Times New Roman" w:eastAsia="Times New Roman" w:hAnsi="Times New Roman"/>
          <w:sz w:val="18"/>
          <w:szCs w:val="18"/>
          <w:color w:val="auto"/>
        </w:rPr>
        <w:t>”), pursuant to which the Company and Polar agreed that Section 2 (Most Favored Nation) of the Forward Purchase Agreement is applicable to all 2,450,000 shares subject to the Forward Purchase Agreement.</w:t>
      </w:r>
    </w:p>
    <w:p>
      <w:pPr>
        <w:spacing w:after="0" w:line="20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FPA Investors hold some or all of the 5,618,488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may not be exercised at all or may be exercised on a cashless basis and we may not receive any cash proceeds from the exercise of the Warrants.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exercise price of the Warrants may be higher than the prevailing market price of the underlying shares of common stock. The exercise price of the Warrants is subject to market conditions and may not be advantageous if the prevailing market price of the underlying shares of common stock is lower than the exercise price. The cash proceeds associated with the exercise of Warrants to purchase our common stock are contingent upon our stock price. The value of our common stock will fluctuate and may not align with the exercise price of the warrants at any given time. If the Warrants are “out of the money,” meaning the exercise price is higher than the market price of our common stock, there is a high likelihood that warrant holders may choose not to exercise their warrants. As a result, we may not receive any proceeds from the exercise of the Warrants.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with regard to the Private Warrants and Working Capital Warrants,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Public Warrants and the Merger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July 2024 Notes will dilute ownership interest of existing shareholders, including holders who had previously converted their notes, or may otherwise depress the market price of our common stock.</w:t>
      </w:r>
    </w:p>
    <w:p>
      <w:pPr>
        <w:spacing w:after="0" w:line="1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1, 2024, we entered into Note Purchase Agreements and an Exchange Agreement (together the “</w:t>
      </w:r>
      <w:r>
        <w:rPr>
          <w:rFonts w:ascii="Times New Roman" w:cs="Times New Roman" w:eastAsia="Times New Roman" w:hAnsi="Times New Roman"/>
          <w:sz w:val="18"/>
          <w:szCs w:val="18"/>
          <w:b w:val="1"/>
          <w:bCs w:val="1"/>
          <w:color w:val="auto"/>
        </w:rPr>
        <w:t>July 2024 Purchase Agreements</w:t>
      </w:r>
      <w:r>
        <w:rPr>
          <w:rFonts w:ascii="Times New Roman" w:cs="Times New Roman" w:eastAsia="Times New Roman" w:hAnsi="Times New Roman"/>
          <w:sz w:val="18"/>
          <w:szCs w:val="18"/>
          <w:color w:val="auto"/>
        </w:rPr>
        <w:t>”), pursuant to which we issued to certain accredited investors and qualified institutional buyers approximately $50.0 million in aggregate principal amount in convertible promissory notes (the “</w:t>
      </w:r>
      <w:r>
        <w:rPr>
          <w:rFonts w:ascii="Times New Roman" w:cs="Times New Roman" w:eastAsia="Times New Roman" w:hAnsi="Times New Roman"/>
          <w:sz w:val="18"/>
          <w:szCs w:val="18"/>
          <w:b w:val="1"/>
          <w:bCs w:val="1"/>
          <w:color w:val="auto"/>
        </w:rPr>
        <w:t>July 2024 Notes</w:t>
      </w:r>
      <w:r>
        <w:rPr>
          <w:rFonts w:ascii="Times New Roman" w:cs="Times New Roman" w:eastAsia="Times New Roman" w:hAnsi="Times New Roman"/>
          <w:sz w:val="18"/>
          <w:szCs w:val="18"/>
          <w:color w:val="auto"/>
        </w:rPr>
        <w:t>”). The conversion of some or all of the July 2024 Notes will dilute the ownership interests of existing shareholders. As of July 9, 2024, the July 2024 Notes had an aggregate outstanding balance of approximately $50.0 million. Any sales in the public market of the shares of our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market price of our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(including potential sales of securities to White Lion pursuant to the Common Stock Purchase Agreement), or the perception of future sales, by us or our stockholders in the public market could cause the market price for the Common Stock to decline.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the us to sell equity securities in the future at a time and at a price that it deems appropriate. In the future, we may issue our securities to raise capital or in connection with investments or acquisitions. For example, on July 16, 2024, we entered into the Common Stock Purchase Agreement (the “</w:t>
      </w:r>
      <w:r>
        <w:rPr>
          <w:rFonts w:ascii="Times New Roman" w:cs="Times New Roman" w:eastAsia="Times New Roman" w:hAnsi="Times New Roman"/>
          <w:sz w:val="18"/>
          <w:szCs w:val="18"/>
          <w:b w:val="1"/>
          <w:bCs w:val="1"/>
          <w:i w:val="1"/>
          <w:iCs w:val="1"/>
          <w:color w:val="auto"/>
        </w:rPr>
        <w:t>White Lion Purchase Agreement</w:t>
      </w:r>
      <w:r>
        <w:rPr>
          <w:rFonts w:ascii="Times New Roman" w:cs="Times New Roman" w:eastAsia="Times New Roman" w:hAnsi="Times New Roman"/>
          <w:sz w:val="18"/>
          <w:szCs w:val="18"/>
          <w:color w:val="auto"/>
        </w:rPr>
        <w:t>”) with White Lion pursuant to which we may issue up to $10,000,000 of shares of Common Stock following the effective date of a resale registration statement to be filed by us in the future. Additionally, we entered into the July 2024 Purchase Agreements for approximately $50.0 million of gross proceeds. The amount of shares of Common Stock issued or issuable upon exercise or conversion of securities issued in connection with a capital raise or an investment or acquisition could constitute a material portion of the then-outstanding shares of our Common Stock. Any issuance of additional securities in connection with capital raising activities, investments or acquisitions may result in additional dilution to our stockholders.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Information contained in this prospectus concerning the market and the industries in which Complete Solaria competes, including its market position, general expectations of market opportunities and market size, is based on information from various third-party sources, publicly available information, various industry publications, internal data and estimates, and assumptions made by Complete Solaria based on such sources. Internal data and estimates are based upon information obtained from trade and business organizations and other contacts in the markets in which Complete Solaria operates and Complete Solaria management’s understanding of industry conditions. This information and any estimates provided herein involve numerous assumptions and limitations, and you are cautioned not to give undue weight to such information. Third-party sources generally state that the information contained in such sources has been obtained from sources believed to be reliable. Although we believe that such information is reliable, there can be no assurance as to the accuracy or completeness of such information.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Although we are responsible for all of the disclosure contained in this prospectus and we believe the third-party market position, general expectations of market opportunity and market size data included in this prospectus are reliable, we have not independently verified any third-party information and each publication speaks as of its original publication date (and not as of the date of this prospectus). In addition, we do not know all of the assumptions regarding general economic conditions or growth that were used in preparing the forecasts from the sources relied upon or cited herein.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the shares of common stock and Warrants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receive up to an aggregate of approximately $251.6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 The Private Warrants and Working Capital Warrants may be exercised for cash or on a “cashless basis.” The Public Warrants and the Merger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offering price of the shares of common stock underlying the Warrants offered hereby is determined by reference to the exercise price of the Warrants of $11.50 per share. The Public Warrants are listed on Nasdaq under the symbol “CSLRW.”</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common stock or Warrants may be sold by the selling securityholders under this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INFORMATION FOR SECURITIES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common stock and Public Warrants are currently listed on Nasdaq under the symbols “CSLR” and “CSLRW,” respectively. Prior to the consummation of the Business Combination, our common stock and our Public Warrants were listed on the NYSE under the symbols “FACT” and “FACT WS,” respectively. On July 16, 2024, there were 198 holders of record of the common stock and 240 holders of record of our Warrants. We currently do not intend to list the Private Warrants on any stock exchange or stock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depend on, among other things, the consent of our lender(s), our results of operations, cash requirements, financial condition, contractual restrictions and other factors that our board of directors may deem relevant.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consolidated financial statements and the related notes appearing at the end of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Complete Solaria was formed in November 2022 through the merger of Complete Solar Holding Corporation, a Delaware corporation (“</w:t>
      </w:r>
      <w:r>
        <w:rPr>
          <w:rFonts w:ascii="Times New Roman" w:cs="Times New Roman" w:eastAsia="Times New Roman" w:hAnsi="Times New Roman"/>
          <w:sz w:val="18"/>
          <w:szCs w:val="18"/>
          <w:b w:val="1"/>
          <w:bCs w:val="1"/>
          <w:color w:val="auto"/>
        </w:rPr>
        <w:t>Complete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Solar</w:t>
      </w:r>
      <w:r>
        <w:rPr>
          <w:rFonts w:ascii="Times New Roman" w:cs="Times New Roman" w:eastAsia="Times New Roman" w:hAnsi="Times New Roman"/>
          <w:sz w:val="18"/>
          <w:szCs w:val="18"/>
          <w:color w:val="auto"/>
        </w:rPr>
        <w:t>”), and The Solaria Corporation, a Delaware corporation (such entity, “</w:t>
      </w:r>
      <w:r>
        <w:rPr>
          <w:rFonts w:ascii="Times New Roman" w:cs="Times New Roman" w:eastAsia="Times New Roman" w:hAnsi="Times New Roman"/>
          <w:sz w:val="18"/>
          <w:szCs w:val="18"/>
          <w:b w:val="1"/>
          <w:bCs w:val="1"/>
          <w:color w:val="auto"/>
        </w:rPr>
        <w:t>Solaria</w:t>
      </w:r>
      <w:r>
        <w:rPr>
          <w:rFonts w:ascii="Times New Roman" w:cs="Times New Roman" w:eastAsia="Times New Roman" w:hAnsi="Times New Roman"/>
          <w:sz w:val="18"/>
          <w:szCs w:val="18"/>
          <w:color w:val="auto"/>
        </w:rPr>
        <w:t>,” and such transaction,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Founded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2010, Complete Solar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its sales partners, making them competitive with national providers. This turnkey solution makes it easy for anyone to sell solar.</w:t>
      </w:r>
    </w:p>
    <w:p>
      <w:pPr>
        <w:spacing w:after="0" w:line="186" w:lineRule="exact"/>
        <w:rPr>
          <w:sz w:val="20"/>
          <w:szCs w:val="20"/>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fulfill our customer contracts by engaging with local construction specialists. We manage the customer experience and complete all pre-construction activities prior to delivering build-ready projects including hardware, engineering plans, and building permits to its builder partners. We manage and coordinate this process through our proprietary HelioTrackTM software system.</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Effective January 1, 2023, we changed our fiscal quarters to four, thirteen-week periods within a standard calendar year. Each annual reporting period begins on January 1 and ends on December 31.</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is substantial doubt about our ability to continue as a going concern within one year after the date that the unaudited condensed consolidated financial statements are issued. The accompanying unaudited condensed consolidated financial statements have been prepared assuming we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White Lion Purchase Agreement and Registration Rights Agreement</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July 16, 2024, we entered into that certain Common Stock Purchase Agreement (“</w:t>
      </w:r>
      <w:r>
        <w:rPr>
          <w:rFonts w:ascii="Times New Roman" w:cs="Times New Roman" w:eastAsia="Times New Roman" w:hAnsi="Times New Roman"/>
          <w:sz w:val="18"/>
          <w:szCs w:val="18"/>
          <w:b w:val="1"/>
          <w:bCs w:val="1"/>
          <w:color w:val="auto"/>
        </w:rPr>
        <w:t>White 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Purchase Agreement</w:t>
      </w:r>
      <w:r>
        <w:rPr>
          <w:rFonts w:ascii="Times New Roman" w:cs="Times New Roman" w:eastAsia="Times New Roman" w:hAnsi="Times New Roman"/>
          <w:sz w:val="18"/>
          <w:szCs w:val="18"/>
          <w:color w:val="auto"/>
        </w:rPr>
        <w:t>”) with White Lion Capital, LLC, a Nevada limited liability company (“</w:t>
      </w:r>
      <w:r>
        <w:rPr>
          <w:rFonts w:ascii="Times New Roman" w:cs="Times New Roman" w:eastAsia="Times New Roman" w:hAnsi="Times New Roman"/>
          <w:sz w:val="18"/>
          <w:szCs w:val="18"/>
          <w:b w:val="1"/>
          <w:bCs w:val="1"/>
          <w:u w:val="single" w:color="auto"/>
          <w:color w:val="auto"/>
        </w:rPr>
        <w:t>White Lion</w:t>
      </w:r>
      <w:r>
        <w:rPr>
          <w:rFonts w:ascii="Times New Roman" w:cs="Times New Roman" w:eastAsia="Times New Roman" w:hAnsi="Times New Roman"/>
          <w:sz w:val="18"/>
          <w:szCs w:val="18"/>
          <w:color w:val="auto"/>
        </w:rPr>
        <w:t>”), and a related Registration Rights Agreement (the “</w:t>
      </w:r>
      <w:r>
        <w:rPr>
          <w:rFonts w:ascii="Times New Roman" w:cs="Times New Roman" w:eastAsia="Times New Roman" w:hAnsi="Times New Roman"/>
          <w:sz w:val="18"/>
          <w:szCs w:val="18"/>
          <w:b w:val="1"/>
          <w:bCs w:val="1"/>
          <w:u w:val="single" w:color="auto"/>
          <w:color w:val="auto"/>
        </w:rPr>
        <w:t>RRA</w:t>
      </w:r>
      <w:r>
        <w:rPr>
          <w:rFonts w:ascii="Times New Roman" w:cs="Times New Roman" w:eastAsia="Times New Roman" w:hAnsi="Times New Roman"/>
          <w:sz w:val="18"/>
          <w:szCs w:val="18"/>
          <w:color w:val="auto"/>
        </w:rPr>
        <w:t>”). Pursuant to the White Lion Purchase Agreement, we have the right, but not the obligation, to require White Lion to purchase, from time to time, up to $10,000,000 of newly issued shares of Common Stock, subject to certain limitations and conditions set forth in the White Lion Purchase Agreement.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satisfaction of certain customary conditions including, without limitation, the effectiveness of a registration statement registering the shares issuable pursuant to the White Lion Purchase Agreement, our right to sell shares to White Lion d commenced on July 16, 2024 and will extend until the earlier of (i) of White Lion having purchased shares of Common Stock equal to $10,000,000 and (ii) 18 months from the date of execution of the White Lion Purchase Agreement (the “</w:t>
      </w:r>
      <w:r>
        <w:rPr>
          <w:rFonts w:ascii="Times New Roman" w:cs="Times New Roman" w:eastAsia="Times New Roman" w:hAnsi="Times New Roman"/>
          <w:sz w:val="18"/>
          <w:szCs w:val="18"/>
          <w:b w:val="1"/>
          <w:bCs w:val="1"/>
          <w:u w:val="single" w:color="auto"/>
          <w:color w:val="auto"/>
        </w:rPr>
        <w:t>Commitment Period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Common Stock that we can sell to White Lion under the White Lion Purchase Agreement (including the Commitment Shares (as defined below)) may in no case exceed 19.99% of the shares of Common Stock outstanding immediately prior to the execution of the White Lion Purchase Agreement (the “</w:t>
      </w:r>
      <w:r>
        <w:rPr>
          <w:rFonts w:ascii="Times New Roman" w:cs="Times New Roman" w:eastAsia="Times New Roman" w:hAnsi="Times New Roman"/>
          <w:sz w:val="18"/>
          <w:szCs w:val="18"/>
          <w:b w:val="1"/>
          <w:bCs w:val="1"/>
          <w:u w:val="single" w:color="auto"/>
          <w:color w:val="auto"/>
        </w:rPr>
        <w:t>Exchange Cap</w:t>
      </w:r>
      <w:r>
        <w:rPr>
          <w:rFonts w:ascii="Times New Roman" w:cs="Times New Roman" w:eastAsia="Times New Roman" w:hAnsi="Times New Roman"/>
          <w:sz w:val="18"/>
          <w:szCs w:val="18"/>
          <w:color w:val="auto"/>
        </w:rPr>
        <w:t>”), unless shareholder approval is obtained to issue such shares above the Exchange Cap, in which case the Exchange Cap will no longer apply. No purchase notice shall result in White Lion beneficially owning (as calculated pursuant to Section 13(d) of the Securities Exchange Act of 1934, as amended, and Rule 13d-3 thereunder) more than 9.99% of the number of shares of the Common Stock outstanding immediately prior to the issuance of shares of Common Stock issuable pursuant to a purchase notice.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proceeds that we receive under the White Lion Purchase Agreement are expected to be used for working capital and general corporate purposes.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and White Lion will have the right to terminate the White Lion Purchase Agreement in the event of a material breach by the other party and notice being sent by the non-breaching party to the breaching party. The White Lion Purchase Agreement also automatically terminates upon the earlier of (i) the end of the Commitment Period, (ii) the date that we commence a voluntary bankruptcy proceeding, a custodian is appointed for us or for all or substantially all of our property or we make a general assignment for the benefit of its creditors, and (iii) immediately upon the delisting of the Common Stock from The Nasdaq Global Market.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consideration for the commitments of White Lion, as described above, we have agreed to issue to White Lion shares of Common Stock (“</w:t>
      </w:r>
      <w:r>
        <w:rPr>
          <w:rFonts w:ascii="Times New Roman" w:cs="Times New Roman" w:eastAsia="Times New Roman" w:hAnsi="Times New Roman"/>
          <w:sz w:val="18"/>
          <w:szCs w:val="18"/>
          <w:b w:val="1"/>
          <w:bCs w:val="1"/>
          <w:u w:val="single" w:color="auto"/>
          <w:color w:val="auto"/>
        </w:rPr>
        <w:t>Commitment Shares</w:t>
      </w:r>
      <w:r>
        <w:rPr>
          <w:rFonts w:ascii="Times New Roman" w:cs="Times New Roman" w:eastAsia="Times New Roman" w:hAnsi="Times New Roman"/>
          <w:sz w:val="18"/>
          <w:szCs w:val="18"/>
          <w:color w:val="auto"/>
        </w:rPr>
        <w:t>”) in an amount equal to (i) $150,000 divided by (ii) the closing price of the Common Stock on the earlier of (x) the business day prior to the effectiveness of the registration statement filed pursuant to the RRA or (y) the business day prior to the date White Lion delivers a written request to us for the Commitment Shares. The Commitment Shares will be fully earned by White Lion regardless of termination of the White Lion Purchase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90" w:gutter="0" w:footer="0" w:header="0"/>
        </w:sectPr>
      </w:pPr>
    </w:p>
    <w:bookmarkStart w:id="46" w:name="page47"/>
    <w:bookmarkEnd w:id="4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Concurrently with the White Lion Common Stock Purchase Agreement, we entered into the RRA with White Lion, in which we agreed to file, within 15 days following the execution of the White Lion Purchase Agreement, a resale registration statement with the SEC covering the resale by White Lion of the maximum number of shares permitted to be included therein in accordance with applicable SEC rules, regulations and interpretations and the Commitment Shares. The RRA also contains usual and customary damages provisions for failure to file and failure to have the registration statement declared effective by the SEC within the time periods specified therein.</w:t>
      </w:r>
    </w:p>
    <w:p>
      <w:pPr>
        <w:spacing w:after="0" w:line="1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White Lion Purchase Agreement and the RRA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 of Core Energy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15, 2024, Complete Solaria acquired selected assets of Core Energy, a Logan, Utah solar engineering, procurement and construction firm, and hired its 37 employees, including the Chief Executive Officer, Cole Farmer, an industry veteran who will run sales and marketing for Complete Solaria, Inc.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1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1, 2024, the Company entered into an Exchange Agreement (the “</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with CRSEF Solis Holdings, L.L.C., a Delaware limited liability company (“</w:t>
      </w:r>
      <w:r>
        <w:rPr>
          <w:rFonts w:ascii="Times New Roman" w:cs="Times New Roman" w:eastAsia="Times New Roman" w:hAnsi="Times New Roman"/>
          <w:sz w:val="18"/>
          <w:szCs w:val="18"/>
          <w:b w:val="1"/>
          <w:bCs w:val="1"/>
          <w:color w:val="auto"/>
        </w:rPr>
        <w:t>Carlyle</w:t>
      </w:r>
      <w:r>
        <w:rPr>
          <w:rFonts w:ascii="Times New Roman" w:cs="Times New Roman" w:eastAsia="Times New Roman" w:hAnsi="Times New Roman"/>
          <w:sz w:val="18"/>
          <w:szCs w:val="18"/>
          <w:color w:val="auto"/>
        </w:rPr>
        <w:t>”), Kline Hill Partners Fund LP, a Delaware limited partnership (“</w:t>
      </w:r>
      <w:r>
        <w:rPr>
          <w:rFonts w:ascii="Times New Roman" w:cs="Times New Roman" w:eastAsia="Times New Roman" w:hAnsi="Times New Roman"/>
          <w:sz w:val="18"/>
          <w:szCs w:val="18"/>
          <w:b w:val="1"/>
          <w:bCs w:val="1"/>
          <w:color w:val="auto"/>
        </w:rPr>
        <w:t>Kline Fund</w:t>
      </w:r>
      <w:r>
        <w:rPr>
          <w:rFonts w:ascii="Times New Roman" w:cs="Times New Roman" w:eastAsia="Times New Roman" w:hAnsi="Times New Roman"/>
          <w:sz w:val="18"/>
          <w:szCs w:val="18"/>
          <w:color w:val="auto"/>
        </w:rPr>
        <w:t>”), Kline Hill Partners IV SPV LLC, a Delaware limited liability company (“</w:t>
      </w:r>
      <w:r>
        <w:rPr>
          <w:rFonts w:ascii="Times New Roman" w:cs="Times New Roman" w:eastAsia="Times New Roman" w:hAnsi="Times New Roman"/>
          <w:sz w:val="18"/>
          <w:szCs w:val="18"/>
          <w:b w:val="1"/>
          <w:bCs w:val="1"/>
          <w:color w:val="auto"/>
        </w:rPr>
        <w:t>Kline Partners</w:t>
      </w:r>
      <w:r>
        <w:rPr>
          <w:rFonts w:ascii="Times New Roman" w:cs="Times New Roman" w:eastAsia="Times New Roman" w:hAnsi="Times New Roman"/>
          <w:sz w:val="18"/>
          <w:szCs w:val="18"/>
          <w:color w:val="auto"/>
        </w:rPr>
        <w:t>”) and Kline Hill Partners Opportunity IV SPV LLC, a Delaware limited liability company (“</w:t>
      </w:r>
      <w:r>
        <w:rPr>
          <w:rFonts w:ascii="Times New Roman" w:cs="Times New Roman" w:eastAsia="Times New Roman" w:hAnsi="Times New Roman"/>
          <w:sz w:val="18"/>
          <w:szCs w:val="18"/>
          <w:b w:val="1"/>
          <w:bCs w:val="1"/>
          <w:color w:val="auto"/>
        </w:rPr>
        <w:t>Kline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Opportunity</w:t>
      </w:r>
      <w:r>
        <w:rPr>
          <w:rFonts w:ascii="Times New Roman" w:cs="Times New Roman" w:eastAsia="Times New Roman" w:hAnsi="Times New Roman"/>
          <w:sz w:val="18"/>
          <w:szCs w:val="18"/>
          <w:color w:val="auto"/>
        </w:rPr>
        <w:t>” and together with Kline Fund and Kline Partners, “</w:t>
      </w:r>
      <w:r>
        <w:rPr>
          <w:rFonts w:ascii="Times New Roman" w:cs="Times New Roman" w:eastAsia="Times New Roman" w:hAnsi="Times New Roman"/>
          <w:sz w:val="18"/>
          <w:szCs w:val="18"/>
          <w:b w:val="1"/>
          <w:bCs w:val="1"/>
          <w:color w:val="auto"/>
        </w:rPr>
        <w:t>Kline Hill</w:t>
      </w:r>
      <w:r>
        <w:rPr>
          <w:rFonts w:ascii="Times New Roman" w:cs="Times New Roman" w:eastAsia="Times New Roman" w:hAnsi="Times New Roman"/>
          <w:sz w:val="18"/>
          <w:szCs w:val="18"/>
          <w:color w:val="auto"/>
        </w:rPr>
        <w:t>”) providing for, among other things: the cancellation of all indebtedness 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Carlyle and Kline Hill by the Company; termination of all debt instruments by and between the Company and Carlyle and by and between Kline Hill; the satisfaction of all obligations owed to Carlyle and Kline Hill by the Company under the terminated debt instruments; the issuance of convertible notes to Carlyle and Kline Hill; and the issuance of shares of Common Stock to Kline Hill pursuant to common stock purchase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Note Financing</w:t>
      </w:r>
    </w:p>
    <w:p>
      <w:pPr>
        <w:spacing w:after="0" w:line="1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 2024, we entered into Note Purchase Agreements and the Exchange Agreement (the “</w:t>
      </w:r>
      <w:r>
        <w:rPr>
          <w:rFonts w:ascii="Times New Roman" w:cs="Times New Roman" w:eastAsia="Times New Roman" w:hAnsi="Times New Roman"/>
          <w:sz w:val="18"/>
          <w:szCs w:val="18"/>
          <w:b w:val="1"/>
          <w:bCs w:val="1"/>
          <w:color w:val="auto"/>
        </w:rPr>
        <w:t>July 2024 Purchase Agreement</w:t>
      </w:r>
      <w:r>
        <w:rPr>
          <w:rFonts w:ascii="Times New Roman" w:cs="Times New Roman" w:eastAsia="Times New Roman" w:hAnsi="Times New Roman"/>
          <w:sz w:val="18"/>
          <w:szCs w:val="18"/>
          <w:color w:val="auto"/>
        </w:rPr>
        <w:t>”), pursuant to which we issued to certain accredited investors and qualified institutional buyers approximately $50.0 million in aggregate principal amount in convertible promissory notes (the “</w:t>
      </w:r>
      <w:r>
        <w:rPr>
          <w:rFonts w:ascii="Times New Roman" w:cs="Times New Roman" w:eastAsia="Times New Roman" w:hAnsi="Times New Roman"/>
          <w:sz w:val="18"/>
          <w:szCs w:val="18"/>
          <w:b w:val="1"/>
          <w:bCs w:val="1"/>
          <w:color w:val="auto"/>
        </w:rPr>
        <w:t>July 2024 Note</w:t>
      </w:r>
      <w:r>
        <w:rPr>
          <w:rFonts w:ascii="Times New Roman" w:cs="Times New Roman" w:eastAsia="Times New Roman" w:hAnsi="Times New Roman"/>
          <w:sz w:val="18"/>
          <w:szCs w:val="18"/>
          <w:color w:val="auto"/>
        </w:rPr>
        <w:t>”). The July 2024 Notes accrue at a rate of interest of 12.0% which will be payable semiannually in arrears on January 1 and July 1 of each year, beginning on July 1, 2025. The July 2024 Notes are convertible at the option of the holders at any time prior to the payment of the payment of the principal amount of such convertible note in full. Upon conversion of any convertible note, the Company will satisfy its conversion obligation by delivering shares of Common Stock and paying cash in respect of any fractional shares. The conversion rate for the convertible notes is initially equal to 595.2381 shares of common stock per $1,000 principal amount due under the convertible notes, which is equivalent to an initial conversion price of approximately $1.68 per share of Common Stock and represents a premium of approximately 50.0% above the last reported sale price of the Common Stock on the Nasdaq Global Market on June 28, 2024. The conversion rate shall be subject to adjustment from time to time pursuant to the terms of the convertible notes.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Agreements</w:t>
      </w:r>
    </w:p>
    <w:p>
      <w:pPr>
        <w:spacing w:after="0" w:line="15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On July 1, 2024, we entered into separate common stock purchase agreements (the “</w:t>
      </w:r>
      <w:r>
        <w:rPr>
          <w:rFonts w:ascii="Times New Roman" w:cs="Times New Roman" w:eastAsia="Times New Roman" w:hAnsi="Times New Roman"/>
          <w:sz w:val="18"/>
          <w:szCs w:val="18"/>
          <w:b w:val="1"/>
          <w:bCs w:val="1"/>
          <w:color w:val="auto"/>
        </w:rPr>
        <w:t>Purchase Agreements</w:t>
      </w:r>
      <w:r>
        <w:rPr>
          <w:rFonts w:ascii="Times New Roman" w:cs="Times New Roman" w:eastAsia="Times New Roman" w:hAnsi="Times New Roman"/>
          <w:sz w:val="18"/>
          <w:szCs w:val="18"/>
          <w:color w:val="auto"/>
        </w:rPr>
        <w:t>”) with Kline Hill. Pursuant to the terms of the Purchase Agreements, Kline Hill purchased an aggregate of 1,500,000 shares of Common Stock in consideration for the cancellation of indebtedness owed to Kline Hill. Kline Hill is a 5% holder of Complete Solaria’s capital 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Designated Board Observers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 consideration for the entry of Carlyle and Kline Hill into the Exchange Agreement, on July 1, 2024, we entered into that certain Designated Board Observer Agreement with Carlyle Entity and Kline Partners, pursuant to which Kline Partners and Carlyle each have the right to designate a person to attend certain meetings of the Board in solely a non-voting, observer capacity. Each of Carlyle and Kline Hill is a 5% holder of Complete Solaria’s capital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Ayna.AI LLC Common Stock Warrant</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On June 17, 2024, Complete Solaria executed a Warrant to Purchase Common Stock (the “</w:t>
      </w:r>
      <w:r>
        <w:rPr>
          <w:rFonts w:ascii="Times New Roman" w:cs="Times New Roman" w:eastAsia="Times New Roman" w:hAnsi="Times New Roman"/>
          <w:sz w:val="18"/>
          <w:szCs w:val="18"/>
          <w:b w:val="1"/>
          <w:bCs w:val="1"/>
          <w:color w:val="auto"/>
        </w:rPr>
        <w:t>Ayna Warrant</w:t>
      </w:r>
      <w:r>
        <w:rPr>
          <w:rFonts w:ascii="Times New Roman" w:cs="Times New Roman" w:eastAsia="Times New Roman" w:hAnsi="Times New Roman"/>
          <w:sz w:val="18"/>
          <w:szCs w:val="18"/>
          <w:color w:val="auto"/>
        </w:rPr>
        <w:t>”), pursuant to which Ayna.AI LLC ( “</w:t>
      </w:r>
      <w:r>
        <w:rPr>
          <w:rFonts w:ascii="Times New Roman" w:cs="Times New Roman" w:eastAsia="Times New Roman" w:hAnsi="Times New Roman"/>
          <w:sz w:val="18"/>
          <w:szCs w:val="18"/>
          <w:b w:val="1"/>
          <w:bCs w:val="1"/>
          <w:color w:val="auto"/>
        </w:rPr>
        <w:t>Ayna</w:t>
      </w:r>
      <w:r>
        <w:rPr>
          <w:rFonts w:ascii="Times New Roman" w:cs="Times New Roman" w:eastAsia="Times New Roman" w:hAnsi="Times New Roman"/>
          <w:sz w:val="18"/>
          <w:szCs w:val="18"/>
          <w:color w:val="auto"/>
        </w:rPr>
        <w:t>”) is entitled to purchase 6,000,000 shares of Common Stock at the exercise price per share of $0.01, subject to the provisions and upon the terms and conditions set forth in the Warrant. The issuance of this Warrant by Complete Solaria to Ayna is in satisfaction of the compensation owed by Complete Solaria to Ayna for Complete Solaria under the terms of the Statement of Work, signed May 21, 2024 (and effective as of March 12, 2024), as incorporated into the Master Services Agreement, dated March 12,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Final Order</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in more detail in the section 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Siemens</w:t>
      </w:r>
      <w:r>
        <w:rPr>
          <w:rFonts w:ascii="Times New Roman" w:cs="Times New Roman" w:eastAsia="Times New Roman" w:hAnsi="Times New Roman"/>
          <w:sz w:val="18"/>
          <w:szCs w:val="18"/>
          <w:color w:val="auto"/>
        </w:rPr>
        <w:t>”, in July 2021, Siemens Government Technologies, Inc. and Siemens Industry, Inc. (collectively, “</w:t>
      </w:r>
      <w:r>
        <w:rPr>
          <w:rFonts w:ascii="Times New Roman" w:cs="Times New Roman" w:eastAsia="Times New Roman" w:hAnsi="Times New Roman"/>
          <w:sz w:val="18"/>
          <w:szCs w:val="18"/>
          <w:b w:val="1"/>
          <w:bCs w:val="1"/>
          <w:color w:val="auto"/>
        </w:rPr>
        <w:t>Siemens</w:t>
      </w:r>
      <w:r>
        <w:rPr>
          <w:rFonts w:ascii="Times New Roman" w:cs="Times New Roman" w:eastAsia="Times New Roman" w:hAnsi="Times New Roman"/>
          <w:sz w:val="18"/>
          <w:szCs w:val="18"/>
          <w:color w:val="auto"/>
        </w:rPr>
        <w:t>”) filed a lawsuit against Solaria Corporation and SolarCA, LLC, which are wholly-owned subsidiaries of Complete Solaria, Inc. (collectively,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in Fairfax Circuit Court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in Fairfax, Virginia in the case captioned Siemens Government Technologies, Inc. and Siemens Industry Inc. v. Solaria Corporation and SOLARCA, LLC (Case No. CL-2021-10556).</w:t>
      </w:r>
    </w:p>
    <w:p>
      <w:pPr>
        <w:spacing w:after="0" w:line="11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June 17, 2024, the Court entered a final order which awards Siemens a total of $2,007,024.63 in attorneys’ fees and costs. The Subsidiaries intend to appeal such judgment.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Forward Purchase Agreements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7 and 8, 2024, respectively, we entered into the Sandia Second Amendment and the Polar Second Amendment to the Forward Purchase Agreements. The Second Amendments lower the reset price of each Forward Purchase Agreement from $3.00 to $1.00 per share and amend the VWAP Trigger Event provision to read as “After December 31, 2024, an event that occurs if the VWAP Price, for any 20 trading days during a 30 consecutive trading day-period, is below $1.00 per Share.” The Sandia Second Amendment is not effective until we execute similar amendments with both Polar and Meteora.</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June 14, 2024, we entered into an amendment to the Forward Purchase Agreement with Sandia (the “</w:t>
      </w:r>
      <w:r>
        <w:rPr>
          <w:rFonts w:ascii="Times New Roman" w:cs="Times New Roman" w:eastAsia="Times New Roman" w:hAnsi="Times New Roman"/>
          <w:sz w:val="18"/>
          <w:szCs w:val="18"/>
          <w:b w:val="1"/>
          <w:bCs w:val="1"/>
          <w:color w:val="auto"/>
        </w:rPr>
        <w:t>Sandia Third Amendment</w:t>
      </w:r>
      <w:r>
        <w:rPr>
          <w:rFonts w:ascii="Times New Roman" w:cs="Times New Roman" w:eastAsia="Times New Roman" w:hAnsi="Times New Roman"/>
          <w:sz w:val="18"/>
          <w:szCs w:val="18"/>
          <w:color w:val="auto"/>
        </w:rPr>
        <w:t>”). The Sandia Third Amendment sets the reset price of each Forward Purchase Agreement to $1.00 per share and amends the VWAP Trigger Event provision to read as “After December 31, 2024, an event that occurs if the VWAP Price, for any 20 trading days during a 30 consecutive trading day-period, is below $1.00 per Share.” For more information,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 Purchase Agreements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Financings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21, 2024, we entered into an amendment to our SAFEs with the Rodgers Massey Freedom and Free Markets Charitable Trust to convert the invested amounts into shares of our common stock. The conversion share price was $0.36, calculated as the product of (i) $0.45, the closing price of our common stock on April 19, 2024, multiplied by (ii) 80%. The SAFEs converted into an aggregate of 13,888,889 shares of our common stock. On May 13, 2024, we entered into a SAFE with the Rodgers Massey Freedom and Free Markets Charitable Trust in connection with the Rodgers Group investment of $1,000,000. For more information about these transactions,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SAFE Agreements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Changes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24, 2024, Chris Lundell, Chief Executive Officer, and member of the Board, stepped down as Chief Executive Officer, and the Board appointed Thurman J. Rodgers as Chief Executive Officer, effective as of April 24, 2024. Mr. Lundell continues to serve as a member of the Board.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on April 24, 2024, we promoted Brian Wuebbels from Chief Financial Officer to Chief Operations Officer, effective as of April 24, 2024. On June 30, 2024, we entered into an employment extension agreement (the “</w:t>
      </w:r>
      <w:r>
        <w:rPr>
          <w:rFonts w:ascii="Times New Roman" w:cs="Times New Roman" w:eastAsia="Times New Roman" w:hAnsi="Times New Roman"/>
          <w:sz w:val="18"/>
          <w:szCs w:val="18"/>
          <w:b w:val="1"/>
          <w:bCs w:val="1"/>
          <w:color w:val="auto"/>
        </w:rPr>
        <w:t>Extension Agreement</w:t>
      </w:r>
      <w:r>
        <w:rPr>
          <w:rFonts w:ascii="Times New Roman" w:cs="Times New Roman" w:eastAsia="Times New Roman" w:hAnsi="Times New Roman"/>
          <w:sz w:val="18"/>
          <w:szCs w:val="18"/>
          <w:color w:val="auto"/>
        </w:rPr>
        <w:t>”) with Mr. Wuebbels, pursuant to which Mr. Wuebbels will resign his position as our Chief Operating Officer, effective August 16, 2024. Mr. Wuebbels’ current health benefits will continue through August 31, 2024 and he will receive vesting of 208,115 options initially granted to Mr. Wuebbels in April 2024.</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7, 2024, we entered into an executive employment agreement with Daniel Foley to serve as Chief Financial Officer, effective July 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Complete Solaria’s growth strategy contains the following elements:</w:t>
      </w:r>
    </w:p>
    <w:p>
      <w:pPr>
        <w:spacing w:after="0" w:line="223" w:lineRule="exact"/>
        <w:rPr>
          <w:sz w:val="20"/>
          <w:szCs w:val="20"/>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by expanding installation capacity and developing new geographic markets - </w:t>
      </w:r>
      <w:r>
        <w:rPr>
          <w:rFonts w:ascii="Times New Roman" w:cs="Times New Roman" w:eastAsia="Times New Roman" w:hAnsi="Times New Roman"/>
          <w:sz w:val="18"/>
          <w:szCs w:val="18"/>
          <w:color w:val="auto"/>
        </w:rPr>
        <w:t>We continue to expand our network of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will install systems resulting from sales generated by our sales partners. By leveraging this network of skilled builders, we aim to increase our installation capacity in our traditional markets and expand our offering into new geographies throughout the United States. This will enable greater sales growth in existing markets and create new revenue in expansion markets.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engaging national-scale sales partners </w:t>
      </w:r>
      <w:r>
        <w:rPr>
          <w:rFonts w:ascii="Times New Roman" w:cs="Times New Roman" w:eastAsia="Times New Roman" w:hAnsi="Times New Roman"/>
          <w:sz w:val="18"/>
          <w:szCs w:val="18"/>
          <w:color w:val="auto"/>
        </w:rPr>
        <w:t>- We aim to offer a turnkey solar solution to prospective sales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national footprint. These sales partners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entered into an Amended and Restated Business Combination Agreement with Jupiter Merger Sub I Corp., a Delaware corporation and a wholly owned subsidiary of Freedom Acquisition I Corp. (“</w:t>
      </w:r>
      <w:r>
        <w:rPr>
          <w:rFonts w:ascii="Times New Roman" w:cs="Times New Roman" w:eastAsia="Times New Roman" w:hAnsi="Times New Roman"/>
          <w:sz w:val="18"/>
          <w:szCs w:val="18"/>
          <w:b w:val="1"/>
          <w:bCs w:val="1"/>
          <w:color w:val="auto"/>
        </w:rPr>
        <w:t>FACT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First Merger Sub</w:t>
      </w:r>
      <w:r>
        <w:rPr>
          <w:rFonts w:ascii="Times New Roman" w:cs="Times New Roman" w:eastAsia="Times New Roman" w:hAnsi="Times New Roman"/>
          <w:sz w:val="18"/>
          <w:szCs w:val="18"/>
          <w:color w:val="auto"/>
        </w:rPr>
        <w:t>”), Jupiter Merger Sub II LLC, a Delaware limited liability company and a wholly owned subsidiary of FACT (“</w:t>
      </w:r>
      <w:r>
        <w:rPr>
          <w:rFonts w:ascii="Times New Roman" w:cs="Times New Roman" w:eastAsia="Times New Roman" w:hAnsi="Times New Roman"/>
          <w:sz w:val="18"/>
          <w:szCs w:val="18"/>
          <w:b w:val="1"/>
          <w:bCs w:val="1"/>
          <w:color w:val="auto"/>
        </w:rPr>
        <w:t>Second Merger Sub</w:t>
      </w:r>
      <w:r>
        <w:rPr>
          <w:rFonts w:ascii="Times New Roman" w:cs="Times New Roman" w:eastAsia="Times New Roman" w:hAnsi="Times New Roman"/>
          <w:sz w:val="18"/>
          <w:szCs w:val="18"/>
          <w:color w:val="auto"/>
        </w:rPr>
        <w:t>”), and Solaria on October 3, 2022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The Business Combination was consummated on July 18, 2023. Upon the terms and subject to the conditions of the Business Combination, (i) First Merger Sub merged with and into Complete Solaria with Complete Solaria surviving as a wholly-owned subsidiary of FACT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(ii) immediately thereafter and as part of the same overall transaction, Complete Solaria merged with and into Second Merger Sub, with Second Merger Sub surviving as a wholly-owned subsidiary of FACT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 w:cs="Times New Roman" w:eastAsia="Times New Roman" w:hAnsi="Times New Roman"/>
          <w:sz w:val="18"/>
          <w:szCs w:val="18"/>
          <w:b w:val="1"/>
          <w:bCs w:val="1"/>
          <w:color w:val="auto"/>
        </w:rPr>
        <w:t>Third Merger Sub</w:t>
      </w:r>
      <w:r>
        <w:rPr>
          <w:rFonts w:ascii="Times New Roman" w:cs="Times New Roman" w:eastAsia="Times New Roman" w:hAnsi="Times New Roman"/>
          <w:sz w:val="18"/>
          <w:szCs w:val="18"/>
          <w:color w:val="auto"/>
        </w:rPr>
        <w:t>”), with Third Merger Sub surviving as a wholly-owned subsidiary of FACT (the “</w:t>
      </w:r>
      <w:r>
        <w:rPr>
          <w:rFonts w:ascii="Times New Roman" w:cs="Times New Roman" w:eastAsia="Times New Roman" w:hAnsi="Times New Roman"/>
          <w:sz w:val="18"/>
          <w:szCs w:val="18"/>
          <w:b w:val="1"/>
          <w:bCs w:val="1"/>
          <w:color w:val="auto"/>
        </w:rPr>
        <w:t>Additional Merger</w:t>
      </w:r>
      <w:r>
        <w:rPr>
          <w:rFonts w:ascii="Times New Roman" w:cs="Times New Roman" w:eastAsia="Times New Roman" w:hAnsi="Times New Roman"/>
          <w:sz w:val="18"/>
          <w:szCs w:val="18"/>
          <w:color w:val="auto"/>
        </w:rPr>
        <w:t>”, and together with the First Merger and the Second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Mergers between Complete Solaria and FACT has been accounted for as a reverse recapitalization. Under this method of accounting, FACT is treated as the acquired company for financial statement reporting purposes. This determination was primarily based on us having a majority of the voting power of the post-combination company, our senior management comprising substantially all of the senior management of the post-combination company, and our operations comprising the ongoing operations of the post-combination company. Accordingly, for accounting purposes, the Mergers have been treated as the equivalent of a capital transaction in which Complete Solaria is issuing stock for the net assets of FACT. The net assets of FACT have been stated at historical cost, with no goodwill or other intangible assets recorded.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Transaction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In October 2023, we completed the sale of our solar panel business (“</w:t>
      </w:r>
      <w:r>
        <w:rPr>
          <w:rFonts w:ascii="Times New Roman" w:cs="Times New Roman" w:eastAsia="Times New Roman" w:hAnsi="Times New Roman"/>
          <w:sz w:val="18"/>
          <w:szCs w:val="18"/>
          <w:b w:val="1"/>
          <w:bCs w:val="1"/>
          <w:color w:val="auto"/>
        </w:rPr>
        <w:t>Disposal Transaction</w:t>
      </w:r>
      <w:r>
        <w:rPr>
          <w:rFonts w:ascii="Times New Roman" w:cs="Times New Roman" w:eastAsia="Times New Roman" w:hAnsi="Times New Roman"/>
          <w:sz w:val="18"/>
          <w:szCs w:val="18"/>
          <w:color w:val="auto"/>
        </w:rPr>
        <w:t>”) to Maxeon, Inc. (“</w:t>
      </w:r>
      <w:r>
        <w:rPr>
          <w:rFonts w:ascii="Times New Roman" w:cs="Times New Roman" w:eastAsia="Times New Roman" w:hAnsi="Times New Roman"/>
          <w:sz w:val="18"/>
          <w:szCs w:val="18"/>
          <w:b w:val="1"/>
          <w:bCs w:val="1"/>
          <w:color w:val="auto"/>
        </w:rPr>
        <w:t>Maxeon</w:t>
      </w:r>
      <w:r>
        <w:rPr>
          <w:rFonts w:ascii="Times New Roman" w:cs="Times New Roman" w:eastAsia="Times New Roman" w:hAnsi="Times New Roman"/>
          <w:sz w:val="18"/>
          <w:szCs w:val="18"/>
          <w:color w:val="auto"/>
        </w:rPr>
        <w:t>”), pursuant to the terms of an asset purchase agreement (“</w:t>
      </w:r>
      <w:r>
        <w:rPr>
          <w:rFonts w:ascii="Times New Roman" w:cs="Times New Roman" w:eastAsia="Times New Roman" w:hAnsi="Times New Roman"/>
          <w:sz w:val="18"/>
          <w:szCs w:val="18"/>
          <w:b w:val="1"/>
          <w:bCs w:val="1"/>
          <w:color w:val="auto"/>
        </w:rPr>
        <w:t>Disposal Agreement</w:t>
      </w:r>
      <w:r>
        <w:rPr>
          <w:rFonts w:ascii="Times New Roman" w:cs="Times New Roman" w:eastAsia="Times New Roman" w:hAnsi="Times New Roman"/>
          <w:sz w:val="18"/>
          <w:szCs w:val="18"/>
          <w:color w:val="auto"/>
        </w:rPr>
        <w:t>”). Under the terms of the Disposal Agreement, Maxeon agreed to acquire certain assets and employees of Complete Solaria, for an aggregate purchase price of approximately $11.0 million consisting of 1,100,000 shares of Maxeon ordinary shares. As of December 31, 2023, we had sold all the shares of Maxeon and recorded a loss of $4.2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the Disposal Transaction, we determined that the criteria were met for the “held for sale” and discontinued operations classifications as of the end of our third fiscal quarter in 2023 as the divestiture represented a strategic shift in our business. We recorded an impairment charge of $147.5 million associated with the recording of the assets as held for sale during the year ended December 31, 2023.</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Below we have discussed our historical results of continuing operations which excludes product revenues and related metrics of our solar panel business, as all results of operations associated with the solar panel business have been presented as discontinued operations, unless otherwise noted.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by providing customer solar solutions through a standardized platform to our residential solar providers and companies to facilitate the sale and installation of solar energy systems. Our contracts consist of two performance obligations; solar installation services and post-installation services that are performed prior to inspection by the authority having jurisdiction. The majority of our service revenue is recognized at a point in time upon the completion of the installation, and the remainder is recognized upon inspection. Service revenue is recognized net of a reserve for the performance guarantee of solar output.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three types of customer contracts for solar energy installations. The majority of our service revenue is recognized through contracts where the homeowner enters into a power purchase agreement with our distribution partner. We perform the solar energy installation services on behalf of our distribution partner, who owns the solar energy system upon installation. Additionally, we enter into a Solar Purchase and Installation Agreement directly with homeowners, whereby the homeowner either pays cash or obtains financing through a third-party loan partner. In cash contracts with homeowners, we recognize service revenue based on the price we charge to the homeowner. We record service revenue in the amount received from the financing partner, net of any financing fees charged to the homeowner, which we consider to be a customer incentive.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our service revenue, we also enter into contracts to provide our software enhanced service offerings, including design and proposal services to customers that include solar installers and solar sales organizations. We perform these leveraging our HelioQuoteTM platform and other software tools to create computer aided drawings, structural letters, and electrical reviews for installers and proposals for installers. We charge a fixed fee per service offering, which we recognize in the period the service is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revenues consists primarily of the cost of solar energy systems, installation and other subcontracting costs. Cost of revenues also includes associated warranty costs, shipping and handling, allocated overhead costs, depreciation, and amortization of internally developed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Sales commissions are direct and incremental costs of obtaining customer contracts. These costs are paid to third-party vendors who source residential customer contracts for the sale of solar energy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 related costs, including salaries and employee benefits, stock-based compensation, and other promotional and advertising expenses. We expense certain sales and marketing, including promotional expenses,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our employees, in our finance, research, engineering, and administrative teams including salaries, bonuses, payroll taxes, and stock-based compensation. It also consists of legal, consulting, and professional fees, rent expenses pertaining to our offices, business insurance costs and other costs. We expect an increase in audit, tax, accounting, legal and other costs related to compliance with applicable securities and other regulations, as well as additional insurance, investor relations, and other costs associated with being a public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primarily relates to interest expense on the issuance of debt and convertible notes and the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of changes in the fair value of our convertible notes, the impact of debt extinguishment, changes in the fair value of stock warrant liabilities and forward purchase agreements and other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primarily consists of income taxes in certain foreign and state jurisdictions in which we conduct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Constraints and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rely on a small number of suppliers of solar energy systems and other equipment. If any of our suppliers was unable or unwilling to provide us with contracted quantities in a timely manner at prices, quality levels and volumes acceptable to us, we would have very limited alternatives for supply, and we may not be able find suitable replacements for our customers, or at all. Such an event could materially adversely affect our business, prospects, financial condition and results of operations.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In an effort to mitigate unpredictable lead times, we experienced a substantial build up in inventory on hand commencing in early 2022 in response to global supply chain constraints. In certain cases, the global supply chain constraints have caused delays in critical equipment and inventory, longer lead times, and has resulted in cost volatility. These shortages and delays can be attributed in part to the residual effects of the COVID-19 pandemic and resulting government action, as well as broader macroeconomic conditions, and have been exacerbated by the conflicts in Ukraine and Israel. While we believe that a majority of our suppliers have secured sufficient supply to permit them to continue delivery and installations through the end of March 2025, if these shortages and delays persist, they could adversely affect the timing of when battery energy storage systems can be delivered and installed, and when (or if) we can begin to generate revenue from those systems.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 For additional information on risk factors that could impact our results, please refer to “Risk Factors” located elsewhere in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generally accepted accounting principles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unaudited condensed consolidated financial statements included elsewhere in this prospectus.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policies associated with our revenue recognition, product warranties, inventory excess and obsolescence and stock-based compensation have the greatest impact on our unaudited condensed consolidated financial statements. Therefore, we consider these to be our critical accounting policies and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 revenue when control of goods or services is transferred to customers, in an amount that reflects the consideration we expect to be entitled to in exchange for those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 Solar Energy System Installations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revenue is generated from the installation of solar energy systems. We identify two performance obligations, which include installation services and post-installation services, and we recognize revenue when control transfers to the customer, upon the completion of the installation and upon the solar energy system passing inspection by the authority having jurisdiction, respectively. We apply judgment in allocating the transaction price between the installation and post-installation performance obligations, based on the estimated costs to perform our services. Changes in such estimates could have a material impact on the timing of our revenue recognition.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contracts with customers generally contain a performance guarantee of system output, and we will issue payments to customers if output falls below contractually stated thresholds over the performance guarantee period, which is typically 10 years. We apply judgment in estimating the reduction in revenue associated with the performance guarantee, which historically has not been material. However, due to the long-term nature of the guarantee, changes in future estimates could have a material impact on the estimate of our revenue reserve.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 Software Enhanced Services</w:t>
      </w:r>
    </w:p>
    <w:p>
      <w:pPr>
        <w:spacing w:after="0" w:line="231"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18"/>
          <w:szCs w:val="18"/>
          <w:color w:val="auto"/>
        </w:rPr>
        <w:t>We recognize revenue from software enhanced services, which include proposals generated from our HelioQuote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platform and design services performed using internally developed and external software applications. We contract with solar installers to generate proposals, and we contract with solar sales entities to perform design services for their potential customers. Under each type of customer contract, we generate a fixed number of proposals or designs for the customer in the month the services are contracted. Contracts with customers are enforceable on a month-to-month basis and we recognize revenue each month based on the volume of services performed.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typically provide a 10-year warranty on our solar energy system installations, which provides assurance over the workmanship in performing the installation, including roof leaks caused by our performance. For solar panel sales recognized prior to the Disposal Transaction, we provide a 30-year warranty that the products will be free from defects in material and workmanship. We record a liability for estimated future warranty claims based on historical trends and new installations. To the extent that warranty claim behavior differs from historical trends, we may experience a material change in our warranty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Excess and Obsolescence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inventory consists of completed solar energy systems and related components, which we classify as finished costs. We record a reserve for inventory which is considered obsolete or in excess of anticipated demand based on a consideration of marketability and product life cycle stage, component cost trends, demand forecasts, historical revenues, and assumptions about future demand and market conditions. We apply judgment in estimating the excess and obsolete inventory, and changes in demand for our inventory components could have a material impact on our inventory reserve balance.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stock-based compensation expense over the requisite service period on a straight-line basis for all stock-based payments that are expected to vest to employees, non-employees and directors, including grants of employee stock options and other stock-based awards. Equity-classified awards issued to employees and non-employees, such as consultants and non-employee directors, are measured at the grant-date fair value of the award. Forfeitures are recognized as they occur.</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accounting purposes, prior to the Business Combination, the fair value of the shares of common stock underlying stock options had historically been determined by our board of directors. Because there had been no public market for our common stock, the board of directors exercised reasonable judgment and considered a number of objective and subjective factors to determine the best estimate of the fair value of our common stock, including important developments in our operations, sales of redeemable convertible preferred stock, actual operating results and financial performance, the conditions in the renewable solar energy industry and the economy in general, the stock price performance and volatility of comparable public companies, and the lack of liquidity of our common stock, among other factors. Following the Business Combination, the fair value of common stock is based on the closing stock price on the date of grant as reported on the Nasdaq Global Select Market.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the grant-date fair value of stock options using the Black-Scholes option pricing model. The Black-Scholes option pricing model requires the input of highly subjective assumptions, including the fair value of the underlying common stock prior to the Business Combination, the expected term of the option, the expected volatility of the price of our common stock and expected dividend yield. We determine these inputs as follows:</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represents the period that our stock-based awards are expected to be outstanding and is determined using the simplified method.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estimated by studying the volatility of comparable public companies for similar terms.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-The Black-Scholes valuation model calls for a single expected dividend yield as an input. We have never paid dividends and have no plans to pay dividends.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We derive the risk-free interest rate assumption from the U.S. Treasury’s rates for the U.S. Treasury zero-coupon bonds with maturities similar to those of the expected term of the awards being valued.</w:t>
      </w:r>
    </w:p>
    <w:p>
      <w:pPr>
        <w:spacing w:after="0" w:line="1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 We recognize forfeitures as they occur.</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assumptions used in the Black-Scholes option pricing model change significantly, stock-based compensation for future awards may differ materially compared to the awards granted previously. For the thirteen-week periods ended March 31, 2024 and April 2, 2023, stock-based compensation expense was $1.3 million and $1.0 million, respectively, of which zero and $0.7 million, respectively, related to discontinued operations. As of March 31, 2024, we had approximately $18.8 million of total unrecognized stock-based compensation expense related to stock options.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discussion of recently issued accounting standards applicable to Complete Solaria is described in Note 2 - Summary of Significant Accounting Policies, in the accompanying notes to the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Thirteen-weeks ended March 31, 2024 compared to the thirteen-weeks ended April 2, 2023</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thirteen-weeks ended March 31, 2024 and the thirteen-weeks ended April 1, 2023. We have derived this data from our unaudited condensed consolidated financial statements included elsewhere in this prospectus. This information should be read in conjunction with our unaudited condensed consolidated financial statements and related notes included elsewhere in this prospectus. The results of historical periods are not necessarily indicative of the results of operations for any future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Thirteen-</w:t>
            </w:r>
          </w:p>
        </w:tc>
        <w:tc>
          <w:tcPr>
            <w:tcW w:w="140" w:type="dxa"/>
            <w:vAlign w:val="bottom"/>
          </w:tcPr>
          <w:p>
            <w:pPr>
              <w:spacing w:after="0"/>
              <w:rPr>
                <w:sz w:val="18"/>
                <w:szCs w:val="18"/>
                <w:color w:val="auto"/>
              </w:rPr>
            </w:pPr>
          </w:p>
        </w:tc>
        <w:tc>
          <w:tcPr>
            <w:tcW w:w="12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Thirteen-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40" w:type="dxa"/>
            <w:vAlign w:val="bottom"/>
          </w:tcPr>
          <w:p>
            <w:pPr>
              <w:spacing w:after="0"/>
              <w:rPr>
                <w:sz w:val="18"/>
                <w:szCs w:val="18"/>
                <w:color w:val="auto"/>
              </w:rPr>
            </w:pPr>
          </w:p>
        </w:tc>
        <w:tc>
          <w:tcPr>
            <w:tcW w:w="12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0" w:type="dxa"/>
            <w:vAlign w:val="bottom"/>
          </w:tcPr>
          <w:p>
            <w:pPr>
              <w:spacing w:after="0"/>
              <w:rPr>
                <w:sz w:val="18"/>
                <w:szCs w:val="18"/>
                <w:color w:val="auto"/>
              </w:rPr>
            </w:pPr>
          </w:p>
        </w:tc>
        <w:tc>
          <w:tcPr>
            <w:tcW w:w="124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18"/>
                <w:szCs w:val="18"/>
                <w:color w:val="auto"/>
              </w:rPr>
            </w:pPr>
          </w:p>
        </w:tc>
        <w:tc>
          <w:tcPr>
            <w:tcW w:w="12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8"/>
              </w:rPr>
              <w:t>April 2,</w:t>
            </w:r>
          </w:p>
        </w:tc>
        <w:tc>
          <w:tcPr>
            <w:tcW w:w="16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8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4"/>
                <w:szCs w:val="24"/>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7,757</w:t>
            </w:r>
          </w:p>
        </w:tc>
        <w:tc>
          <w:tcPr>
            <w:tcW w:w="140" w:type="dxa"/>
            <w:vAlign w:val="bottom"/>
          </w:tcPr>
          <w:p>
            <w:pPr>
              <w:spacing w:after="0"/>
              <w:rPr>
                <w:sz w:val="24"/>
                <w:szCs w:val="24"/>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13,827</w:t>
            </w:r>
          </w:p>
        </w:tc>
        <w:tc>
          <w:tcPr>
            <w:tcW w:w="16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(6,070)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3,116</w:t>
            </w: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5,677</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(2,561)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7"/>
        </w:trPr>
        <w:tc>
          <w:tcPr>
            <w:tcW w:w="58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1,618</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935</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7"/>
        </w:trPr>
        <w:tc>
          <w:tcPr>
            <w:tcW w:w="584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4"/>
                <w:szCs w:val="24"/>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5,093</w:t>
            </w:r>
          </w:p>
        </w:tc>
        <w:tc>
          <w:tcPr>
            <w:tcW w:w="140" w:type="dxa"/>
            <w:vAlign w:val="bottom"/>
          </w:tcPr>
          <w:p>
            <w:pPr>
              <w:spacing w:after="0"/>
              <w:rPr>
                <w:sz w:val="24"/>
                <w:szCs w:val="24"/>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8,913</w:t>
            </w:r>
          </w:p>
        </w:tc>
        <w:tc>
          <w:tcPr>
            <w:tcW w:w="16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(3,820)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6"/>
        </w:trPr>
        <w:tc>
          <w:tcPr>
            <w:tcW w:w="58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3"/>
        </w:trPr>
        <w:tc>
          <w:tcPr>
            <w:tcW w:w="58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(7,544)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(12,423)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4,879</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2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(3,568)</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(3,611)</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1,519</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1,202</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 before taxes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(9,587)</w:t>
            </w:r>
          </w:p>
        </w:tc>
        <w:tc>
          <w:tcPr>
            <w:tcW w:w="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(15,709)</w:t>
            </w: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6,122</w:t>
            </w:r>
          </w:p>
        </w:tc>
        <w:tc>
          <w:tcPr>
            <w:tcW w:w="220" w:type="dxa"/>
            <w:vAlign w:val="bottom"/>
            <w:vMerge w:val="continue"/>
          </w:tcPr>
          <w:p>
            <w:pPr>
              <w:spacing w:after="0"/>
              <w:rPr>
                <w:sz w:val="17"/>
                <w:szCs w:val="17"/>
                <w:color w:val="auto"/>
              </w:rPr>
            </w:pPr>
          </w:p>
        </w:tc>
        <w:tc>
          <w:tcPr>
            <w:tcW w:w="13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584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2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Percentage change not meaningful</w:t>
      </w:r>
    </w:p>
    <w:p>
      <w:pPr>
        <w:spacing w:after="0" w:line="114"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stock-based compensation expense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stock-based compensation expense from continuing operations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to related party of zero and $0.2 million during the thirteen-weeks ended March 31, 2024 and April 1, 2023, respectively.</w:t>
      </w:r>
    </w:p>
    <w:p>
      <w:pPr>
        <w:spacing w:after="0" w:line="224"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other income (expense), net from related parties of $4.7 million and zero during the thirteen-weeks ended March 31, 2024 and April 2, 2023,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72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We disaggregate our revenues based on the following types of services (in thousands):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4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16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45"/>
        </w:trPr>
        <w:tc>
          <w:tcPr>
            <w:tcW w:w="59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Solar energy system installations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Software enhanced services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Revenues from solar energy system installations for the thirteen-weeks ended March 31, 2024 was $9.9 million compared to $15.8 million for the thirteen-weeks ended April 2, 2023. The decrease in solar energy system installation revenues of $5.9 million was primarily due to a decrease in the volume of solar energy system installations.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Revenues from software enhanced services for the thirteen-weeks ended March 31, 2024 was $0.1 million compared to $0.8 million for the thirteen-weeks ended April 2, 2023. The decrease was the result of a shift in focus towards solar energy installations.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revenues for the thirteen-weeks ended March 31, 2024 was $7.8 million compared to $13.8 million for the thirteen-weeks ended April 2,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cost of revenues of $6.0 million, or 44%, was primarily due to the decrease in revenue of 40% and emphasis on managing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margin for the thirteen-weeks ended March 31, 2024 was 23% compared to 17% for the thirteen-weeks ended April 2, 2023. The improvement in gross margin was principally attributable to managing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commissions for the thirteen-weeks ended March 31, 2024 was $3.1 million compared to $5.7 million for the thirteen-weeks ended April 2, 2023. The decrease of $2.6 million, or 45%, was primarily due to the decrease in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 for the thirteen-weeks ended March 31, 2024 was $1.6 million compared to $0.7 million for the thirteen-weeks ended April 2, 2023. The increase is attributable to an increase of $0.6 million in payroll, an increase of $0.2 million in travel related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costs for the thirteen-weeks ended March 31, 2024 was $5.1 million compared to $8.9 million for the thirteen-weeks ended April 2, 2023. The decrease was primarily attributed to decrease in bad debt expense of $2.4 million, decrease of $2.1 million in Outside Services, and an increase in stock-based compensation costs of $0.6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remained unchanged in the amount of $3.6 million for the thirteen-weeks ended March 31, 2024 and April 2,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net for the thirteen-weeks ended March 31, 2024 increased by $1.2 million compared to the thirteen-weeks ended April 2, 2023. Other income, net in the thirteen-weeks ended March 31, 2024 was income of $1.5 million and was comprised of $7.2 million of income arising partially offset by $5.6 million of expense relating to changes in the fair value of our forward purchase agreements and $0.1 million relating to the residual costs of the disposed Solaria business.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net for the thirteen-weeks ended April 2, 2023 was income of $0.3 million and was comprised of $0.2 million change in the fair value of liability-classified warrants and $.1 million related to the Solaria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Continuing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our net loss from continuing operations for the thirteen-weeks ended March 31, 2024 was $9.6 million, a decrease of $6.1 million, as compared to a net loss from continuing operations of $15.7 million for the thirteen-weeks ended April 2,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fiscal 2023 compared to fiscal 2022. We discuss our cashflows and current financial condition under “Capital Resources and Liquidity.”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for the years ended December 31, 2023 and 2022, respectively. This information should be read in conjunction with our consolidated financial statements and related notes included elsewhere in this prospectus. The results of historical periods are not necessarily indicative of the results of operations for any future period. Within the tables presented, percentages are calculated based on the underlying whole-dollar amounts and, therefore, may not recalculate exactly from the rounded numbers used for disclosure purposes.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60" w:type="dxa"/>
            <w:vAlign w:val="bottom"/>
          </w:tcPr>
          <w:p>
            <w:pPr>
              <w:spacing w:after="0"/>
              <w:rPr>
                <w:sz w:val="21"/>
                <w:szCs w:val="21"/>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7"/>
        </w:trPr>
        <w:tc>
          <w:tcPr>
            <w:tcW w:w="58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4"/>
                <w:szCs w:val="24"/>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69,828</w:t>
            </w:r>
          </w:p>
        </w:tc>
        <w:tc>
          <w:tcPr>
            <w:tcW w:w="220" w:type="dxa"/>
            <w:vAlign w:val="bottom"/>
          </w:tcPr>
          <w:p>
            <w:pPr>
              <w:spacing w:after="0"/>
              <w:rPr>
                <w:sz w:val="24"/>
                <w:szCs w:val="24"/>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46,647</w:t>
            </w:r>
          </w:p>
        </w:tc>
        <w:tc>
          <w:tcPr>
            <w:tcW w:w="16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23,181</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margin %</w:t>
            </w:r>
          </w:p>
        </w:tc>
        <w:tc>
          <w:tcPr>
            <w:tcW w:w="14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31,127</w:t>
            </w:r>
          </w:p>
        </w:tc>
        <w:tc>
          <w:tcPr>
            <w:tcW w:w="2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21,195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9,932</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6,920</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6,156</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764</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7"/>
        </w:trPr>
        <w:tc>
          <w:tcPr>
            <w:tcW w:w="584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4"/>
                <w:szCs w:val="24"/>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32,099</w:t>
            </w:r>
          </w:p>
        </w:tc>
        <w:tc>
          <w:tcPr>
            <w:tcW w:w="220" w:type="dxa"/>
            <w:vAlign w:val="bottom"/>
          </w:tcPr>
          <w:p>
            <w:pPr>
              <w:spacing w:after="0"/>
              <w:rPr>
                <w:sz w:val="24"/>
                <w:szCs w:val="24"/>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13,634</w:t>
            </w:r>
          </w:p>
        </w:tc>
        <w:tc>
          <w:tcPr>
            <w:tcW w:w="16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18,465</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6"/>
        </w:trPr>
        <w:tc>
          <w:tcPr>
            <w:tcW w:w="58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3"/>
        </w:trPr>
        <w:tc>
          <w:tcPr>
            <w:tcW w:w="58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(52,358)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(21,157)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(31,201)</w:t>
            </w:r>
          </w:p>
        </w:tc>
        <w:tc>
          <w:tcPr>
            <w:tcW w:w="220" w:type="dxa"/>
            <w:vAlign w:val="bottom"/>
          </w:tcPr>
          <w:p>
            <w:pPr>
              <w:spacing w:after="0"/>
              <w:rPr>
                <w:sz w:val="17"/>
                <w:szCs w:val="17"/>
                <w:color w:val="auto"/>
              </w:rPr>
            </w:pPr>
          </w:p>
        </w:tc>
        <w:tc>
          <w:tcPr>
            <w:tcW w:w="1320" w:type="dxa"/>
            <w:vAlign w:val="bottom"/>
            <w:gridSpan w:val="3"/>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(14,033)</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(4,986)</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(9,047)</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 expense, net</w:t>
            </w:r>
            <w:r>
              <w:rPr>
                <w:rFonts w:ascii="Times New Roman" w:cs="Times New Roman" w:eastAsia="Times New Roman" w:hAnsi="Times New Roman"/>
                <w:sz w:val="29"/>
                <w:szCs w:val="29"/>
                <w:color w:val="auto"/>
                <w:vertAlign w:val="superscript"/>
              </w:rPr>
              <w:t>(3)</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(29,862)</w:t>
            </w: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(1,858)</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(28,004)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 before taxes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(96,217)</w:t>
            </w: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(27,996)</w:t>
            </w: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(68,221)</w:t>
            </w:r>
          </w:p>
        </w:tc>
        <w:tc>
          <w:tcPr>
            <w:tcW w:w="220" w:type="dxa"/>
            <w:vAlign w:val="bottom"/>
            <w:vMerge w:val="continue"/>
          </w:tcPr>
          <w:p>
            <w:pPr>
              <w:spacing w:after="0"/>
              <w:rPr>
                <w:sz w:val="17"/>
                <w:szCs w:val="17"/>
                <w:color w:val="auto"/>
              </w:rPr>
            </w:pPr>
          </w:p>
        </w:tc>
        <w:tc>
          <w:tcPr>
            <w:tcW w:w="1320" w:type="dxa"/>
            <w:vAlign w:val="bottom"/>
            <w:gridSpan w:val="3"/>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9"/>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7"/>
        </w:trPr>
        <w:tc>
          <w:tcPr>
            <w:tcW w:w="58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(96,197</w:t>
            </w:r>
          </w:p>
        </w:tc>
        <w:tc>
          <w:tcPr>
            <w:tcW w:w="280" w:type="dxa"/>
            <w:vAlign w:val="bottom"/>
            <w:tcBorders>
              <w:top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(28,023</w:t>
            </w:r>
          </w:p>
        </w:tc>
        <w:tc>
          <w:tcPr>
            <w:tcW w:w="280" w:type="dxa"/>
            <w:vAlign w:val="bottom"/>
            <w:tcBorders>
              <w:top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Percentage change not meaningful.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ind w:left="340" w:hanging="332"/>
        <w:spacing w:after="0"/>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stock-based compensation expense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to related party of $0.4 million and $0.3 million during the years ended December 31, 2023 and 2022, respectively.</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other income from related parties of $0.7 million and $1.4 million during the years ended December 31, 2023 and 2022,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disaggregate our revenues based on the following types of services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1"/>
                <w:szCs w:val="21"/>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Solar energy system installations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Software enhanced services</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2,758</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3,579</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66,475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21,141</w:t>
            </w:r>
          </w:p>
        </w:tc>
        <w:tc>
          <w:tcPr>
            <w:tcW w:w="12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from solar energy system installations for the year ended December 31, 2023 was $84.9 million compared to $62.9 million for the year ended December 31, 2022. The increase in solar energy system installation revenues of $22.0 million, or 35%, was primarily due to an increase in the volume of solar energy systems installations, a portion of which related to the fulfillment of delayed installations experienced in the fourth quarter of 2022 due to unusual inclement California weather, as well as an increase in average selling price of solar energy system installations.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Revenues from software enhanced services for the year ended December 31, 2023 was $2.8 million compared to $3.6 million for the year ended December 31, 2022. The decrease of $0.8 million was the result of a shift in focus towards solar energy installations.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revenues for the year ended December 31, 2023 was $69.8 million compared to $46.6 million for the year ended December 31, 2022. The increase in cost of revenues of $23.2 million, or 50%, was primarily due to the increase in revenues of 32%, higher inventory write-offs and rising costs associated with supply chain constraints.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10% year over year, from 30% for the year ended December 31, 2022 to 20% for the year ended December 31, 2023. The decrease in gross margin is primarily attributed to the increasing cost of revenues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Sales commissions for the year ended December 31, 2023, increased by $9.9 million, or 47%, compared to the year ended December 31, 2022. The increase in sales commissions was primarily due to the increase in solar system installation revenue of 35% and higher selling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 for the year ended December 31, 2023 increased by $0.8 million, or 12%, compared to the year ended December 31, 2022. The increase is primarily attributable to an increase in stock-based compensation expenses due to options issued during the year ended December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for the year ended December 31, 2023 increased by $18.5 million, or 135%, compared to the year ended December 31, 2022. The increase was primarily attributed to increases in contractors and outside services costs of $6.6 million related to the Mergers, payroll of $3.9 million, bad debt expense of $3.4 million, $2.0 million in stock-based compensation expenses due to options and RSUs issued, certain legal expenses of $1.8 million and office occupancy related costs of $1.1 million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for the year ended December 31, 2023 increased by $9.0 million, or 181%, compared to the year ended December 31, 2022. The increase was primarily attributed $5.4 million of interest related to debt acquired as part of the acquisition of Solaria in November 2022, which was retained upon the divestiture from the business, as well as an increase of $2.7 million in interest expense related to the convertible notes and long-term debt in CS Solis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expense, net was $29.9 million for the year ended December 31, 2023. The expenses consisted primarily of $35.4 million in other expense related to the issuance of common stock in connection with the FPAs, the loss on extinguishment of debt in CS Solis of $10.3 million, the loss on sale of Maxeon equity securities of $4.2 million, $3.9 million in other expense associated with the change in fair value of FPAs, $2.4 million for the issuance of bonus shares in connection with the Mergers, $3.0 million relating to expenses relating to disposed operations and other expenses of $0.4 million. These expenses were offset by $29.3 million related to the change in fair value of the Company’s warrant liabilities.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expense, net was $1.9 million for the year ended December 31, 2022. The expenses consisted primarily of $5.2 million relating to the change of fair value of warrant liabilities, partially offset by a $3.2 million gain on sale of securities and $0.1 million of other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Continuing Operations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our net loss from continuing operations for the year ended December 31, 2023 was $96.2 million, an increase of $67.5 million, as compared to a net loss from continuing operations of $28.0 million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Thirteen-Weeks Ended March 31, 2024 and April 2, 2023</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Complete Solaria’s cash flows from operating, investing, and financing activities for the thirteen-weeks ended March 31, 2024 and April 2,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Thirteen-</w:t>
            </w:r>
          </w:p>
        </w:tc>
      </w:tr>
      <w:tr>
        <w:trPr>
          <w:trHeight w:val="216"/>
        </w:trPr>
        <w:tc>
          <w:tcPr>
            <w:tcW w:w="5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Weeks</w:t>
            </w:r>
          </w:p>
        </w:tc>
      </w:tr>
      <w:tr>
        <w:trPr>
          <w:trHeight w:val="216"/>
        </w:trPr>
        <w:tc>
          <w:tcPr>
            <w:tcW w:w="5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April 2,</w:t>
            </w:r>
          </w:p>
        </w:tc>
      </w:tr>
      <w:tr>
        <w:trPr>
          <w:trHeight w:val="245"/>
        </w:trPr>
        <w:tc>
          <w:tcPr>
            <w:tcW w:w="524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w:t>
            </w: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(1,209)</w:t>
            </w:r>
          </w:p>
        </w:tc>
      </w:tr>
      <w:tr>
        <w:trPr>
          <w:trHeight w:val="655"/>
        </w:trPr>
        <w:tc>
          <w:tcPr>
            <w:tcW w:w="5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$4.9 million for the thirteen-weeks ended March 31, 2024 was primarily due to the net loss from continuing operations, net of tax of $9.6 million partially offset by non-cash charges of $3.5 million and net cash inflows of $1.1 million from changes in our operating assets and liabilities. Non-cash charges in our operating results consisted of a $5.6 million adjustment to our forward purchase agreement liabilities, $1.3 million stock-based compensation expense, $2.5 in million accretion of interest attributable to the CS Solis Debt, $1.0 million of other non-cash interest, $0.4 million of depreciation and amortization and $0.2 million of non-cash lease costs, partially offset by $7.2 million of income from the change in the fair value of our warrant liabilities and a $0.3 million decrease in our reserve for excess and obsolete inventory. The main drivers of net cash inflows derived from the changes in operating assets and liabilities were related to a decrease in accounts receivable, net of $5.3 million and a decrease in inventories of $0.6 million, partially offset by a decrease in accounts payable of $2.6 million, a decrease in accrued expenses and other liabilities of $1.6 million, a decrease in operating lease liabilities of $0.2 million and a decrease in deferred revenue of $0.4 million.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$16.1 million for the thirteen-weeks ended April 2, 2023 was primarily due to the net loss from continuing operations, net of tax of $15.7 million and net cash outflows of $5.8 million from changes in operating assets and liabilities, adjusted for non-cash charges of $5.4 million. The main drivers of net cash outflows derived from the changes in operating assets and liabilities were related to an increase in accounts receivable, net of $3.2 million, an increase in prepaid and other current assets of $1.9 million, a decrease in deferred revenue of $0.9 million, an increase in other noncurrent assets of $0.8 million, a decrease in accrued expenses and other current liabilities of $0.6 million and an increase in inventories of $0.6 million, partially offset by an increase in accounts payable of $2.1 million and other of $0.1 million. Non-cash charges primarily consisted of a provision for credit losses of $2.1 million, non-cash interest expense of $1.2 million, a change in reserve for obsolete inventory of $0.8 million, accretion of long-term debt in CS Solis of $0.8 million, stock-based compensation of $0.3 million, and other changes, net of $0.2 million.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net decrease in cash, cash equivalents and restricted cash from discontinued operations of $0.2 million for the thirteen-weeks ended April 2, 2023 was entirely attributable to net cash provided by operating activities from discontinued operations. This decrease was primarily due to the net loss from discontinued operations, net of tax of $7.8 million, adjusted for non-cash charges of $2.2 million and net cash inflows of $5.4 million from changes in our operating assets and liabilities. Non-cash charges primarily consisted of depreciation and amortization expense of $0.8 million, stock-based compensation expense of $0.7 million and a $0.7 million change in allowance for credit losses. The main drivers of net cash inflows derived from the changes in operating assets and liabilities were related to a decrease in inventories of $5.9 million and an increase in accounts payable of $0.6 million, partially offset by a decrease in accrued expenses of $0.6 million, a decrease in deferred revenue of $0.2 million and changes in other operating assets and liabilities, net of $0.3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$0.5 million and $0.5 million for the thirteen-weeks ended March 31, 2024, and April 2, 2023, respectively, and attributable to additions to internal-use-software.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$5.0 million for the thirteen-weeks ended March 31, 2024 was primarily due to $5.0 million in net proceeds from the issuance of SAFE agreements to a related party and $0.3 million final payment on the settlement of the amount due to Polar Multi-Strategy Master Fund.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$15.6 million for the thirteen-weeks ended April 2, 2023 was due to proceeds of $11.0 million in from the issuance of convertible notes and draws of $14.1 million, net of $9.6 million in repayments on our Secured Credit Facility and $0.1 million of proceeds from the issuance of shares of our common stock from the exercise of common stock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Cash Flows for the Years Ended December 31, 2023 and 2022</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Complete Solaria’s cash flows from operating, investing, and financing activities for the years ended December 31, 2023 and 2022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 from continuing operations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31,191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 from discontinued operations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$58.8 million for the year ended December 31, 2023 was primarily due to the net loss from continuing operations, net of tax of $96.2 million and net cash outflows of $17.4 million from changes in our operating assets and liabilities, adjusted for non-cash charges of $54.1 million. Non-cash charges primarily consisted of $35.5 million for the issuance of common stock in connection with FPAs, $10.3 million loss on CS Solis debt extinguishment, $4.2 million loss on sale of equity securities, $3.9 million change in fair value of FPAs, $4.3 million change in allowance for credit losses, $4.9 million of interest expense, $6.6 million accretion of long-term debt in CS Solis, $2.4 million related to the issuance of bonus common stock shares in connection with the Mergers, $3.4 million of stock-based compensation expense, and $6.1 million change in reserve for excess and obsolete inventory, $0.9 million in lease expense and $0.9 million in depreciation and amortization, partially offset by a decrease in the fair value of warrant liabilities of $29.3 million. The main drivers of net cash outflows derived from the changes in operating assets and liabilities were related to an increase in accounts receivable, net of $12.1 million, an increase in prepaid expenses and other current assets of $4.2 million, a decrease in deferred revenue of $1.7 million, a decrease in accrued expenses and other liabilities of $3.3 million and a decrease in operating lease liabilities of $0.6 million, partially offset a decrease in inventory of $1.5 million, an increase in accounts payable of $2.3 million, and a decrease in other noncurrent assets of $1.1 million.</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$25.2 million for the year ended December 31, 2022 was primarily due the net loss from continuing operations of $28.0 million, and net cash outflows of $11.2 million from changes in our operating assets and liabilities, adjusted for non-cash charges of $13.8 million. The main drivers of net cash outflows derived from the changes in operating assets and liabilities were related to an increase in accounts receivable of $9.7 million, and an increase in inventories of $4.9 million, and a decrease in prepaid expenses and other current assets of $1.6 million, partially offset by an increase in accounts as payable of $3.3 million and a decrease in prepaid expenses and other current assets of $1.2 million. Non-cash charges primarily consisted of $5.2 million change in the fair value of warrant liability, interest expense primarily related to long-term debt in CS Solis of $4.8 million, reserve for obsolete inventory of $3.6 million, increase in the allowance for doubtful accounts of $2.1 million, and depreciation and amortization expense of $0.6 million, partially offset by non-cash income recognized upon conversion of convertible notes and SAFE agreements of $3.2 million.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net increase in cash, cash equivalents and restricted cash from discontinued operations of $0.2 million for the year ended December 31, 2023 was entirely attributable to net cash provided by operating activities from discontinued operations. This increase was primarily due to the net loss from discontinued operations, net of tax of $173.4 million, adjusted for non-cash charges of $5.4 million and net cash inflows of $20.7 million from changes in our operating assets and liabilities. Non-cash charges primarily consisted of impairment of goodwill of $119.4 million, impairment of intangible assets of $28.1 million, depreciation and amortization expense of $2.4 million, stock-based compensation expense of $1.8 million and a $1.1 million change in allowance for credit losses. The main drivers of net cash inflows derived from the changes in operating assets and liabilities were related to a decrease in accounts receivable, net of $8.2 million, an increase in accrued expenses and other current liabilities of $6.0 million, a decrease in decrease in prepaids of $2.8 million, a decrease in inventories of $2.3 million, partially offset by a decrease of $2.9 million in accounts payable.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provided by investing activities of $6.2 million for the year ended December 31, 2023 was primarily due to sale of an investment.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of $3.3 million for the year ended December 31, 2022 was due to additions to internal-use-software.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$50.4 million for the year ended December 31, 2023 was primarily due to total proceeds from the issuance of convertible notes, net of $21.3 million, total proceeds from the Mergers and PIPE Financing of $19.8 million, and proceeds from the issuance of notes payable, net of $14.1 million, partially offset by the repayment of notes payable of $9.8 million.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$31.2 million for the year ended December 31, 2022 was primarily due to net proceeds from issuance of long-term debt in CS Solis of $25.0 million, proceeds from the issuance of the 2022 Convertible Notes of $12.0 million, and proceeds from the issuance of notes payable of $5.5 million. This was partially offset by the repayment of notes payable of $9.5 million, payments for issuance costs of Series D redeemable convertible preferred shares of $1.4 million, and repayment of convertible notes payable to related parties of $0.5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losses and negative cash flows from operations. We incurred a net loss of $9.6 million during the thirteen-weeks ended March 31, 2024, and had an accumulated deficit of $364.5 million and current debt of $65.2 million as of March 31, 2024. We had cash and cash equivalents of $1.8 million as of March 31, 2024, which were held for working capital expenditures. We believe our operating losses and negative operating cash flows will continue into the foreseeable future. We have financed our operations primarily through sales of equity securities, issuance of convertible notes and cash generated from operations. Our cash equivalents are on deposit with major financial institutions. Our cash position raises substantial doubt regarding our ability to continue as a going concern for 12 months following the issuance of the unaudited condensed consolidated financial statements.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July 16, 2024, we entered into the White Lion Purchase Agreement, pursuant to which we may, subject to the satisfaction of certain customary conditions including, without limitation, the effectiveness of a registration statement registering the shares issuable pursuant to the White Lion Purchase Agreement, issue up to $10,000,000 of shares of Common Stock. Additionally, on July 1, 2024, we entered into the Exchange Agreement providing for, among other things: the cancellation of all indebtedness owed to Carlyle and Kline Hill by the Company; termination of all debt instruments by and between the Company and Carlyle and by and between Kline Hill; the satisfaction of all obligations owed to Carlyle and Kline Hill by the Company under the terminated debt instruments; the issuance of convertible notes to Carlyle and Kline Hill; and the issuance of shares of Common Stock to Kline Hill. For more information about the White Lion Purchase Agreement and the Exchange Agreement, please see “–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receive the proceeds from any cash exercise of warrants for shares of our common stock. The aggregate amount of proceeds could be up to $254.1 million if all the warrants are exercised for cash. However, to the extent the warrants are exercised on a “cashless basis,” the amount of cash we would receive from the exercise of those warrants will decrease. The Private Warrants and Working Capital Warrants, as so identified in our unaudited condensed consolidated financial statements, may be exercised for cash or on a “cashless basis.” The Public Warrants and the Mergers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We expect to use any such proceeds for general corporate and working capital purposes, which would increase our liquidity. As of May 13, 2024, the price of our common stock was $0.55 per share. The weighted average exercise price of the warrants was $8.70 as of March 31, 2024. We believe the likelihood that warrant holders will exercise their warrants, and therefore the amount of cash proceeds that we would receive, is dependent upon the market price of our common stock. If the market price for our common stock remains less than the exercise price, we believe warrant holders will be unlikely to exercise.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Bridge Notes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December 2018, The Solaria Corporation issued senior subordinated convertible secured notes (“</w:t>
      </w:r>
      <w:r>
        <w:rPr>
          <w:rFonts w:ascii="Times New Roman" w:cs="Times New Roman" w:eastAsia="Times New Roman" w:hAnsi="Times New Roman"/>
          <w:sz w:val="18"/>
          <w:szCs w:val="18"/>
          <w:b w:val="1"/>
          <w:bCs w:val="1"/>
          <w:color w:val="auto"/>
        </w:rPr>
        <w:t>2018 Notes</w:t>
      </w:r>
      <w:r>
        <w:rPr>
          <w:rFonts w:ascii="Times New Roman" w:cs="Times New Roman" w:eastAsia="Times New Roman" w:hAnsi="Times New Roman"/>
          <w:sz w:val="18"/>
          <w:szCs w:val="18"/>
          <w:color w:val="auto"/>
        </w:rPr>
        <w:t>”) totaling approximately $3.4 million in exchange for cash. The 2018 Notes bear interest at the rate of 8% per annum and the investors are entitled to receive twice the face value of the 2018 Notes at maturity. In 2021, the 2018 Notes were amended extending the maturity date to December 13, 2022. In connection with the 2021 amendment, Solaria issued warrants to purchase shares of Series E-1 redeemable convertible preferred stock of Solaria. The warrants were exercisable immediately in whole or in part at and expire on December 13, 2031. As part of the Business Combination with Complete Solar, all the outstanding warrants issued to the lenders were assumed by the parent company, Complete Solaria. The 2018 Notes are secured by substantially all of the assets of Complete Solaria.</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an amendment to the 2018 Notes extending the maturity date from December 13, 2022 to December 13, 2023, and the 2018 Notes remain outstanding as of March 31, 2024. In connection with the amendment, the 2018 Notes will continue to bear interest at 8% per annum and are entitled to an increased repayment premium from 110% to 120% of the principal and accrued interest at the time of repayment.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concluded that the amendment represented was a troubled debt restructuring as we were experiencing financial difficulty, and the amended terms resulted in a concession to us. As the future undiscounted cash payments under the modified terms exceeded the carrying amount of the 2018 Notes on the date of modification, the modification was accounted for prospectively. The incremental repayment premium is being amortized to interest expense using the effective interest rate method. As of March 31, 2024 and December 31, 2023, the carrying value of the 2018 Notes was $11.4 million and $11.0 million, respectively. Interest expense recognized for the thirteen-weeks ended March 31, 2024 was $0.3 million. All obligations relating to the 2018 Notes were cancelled pursuant to the Exchange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Revolver Loan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In October 2020, Solaria entered into a loan agreement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with Structural Capital Investments III, LP (“</w:t>
      </w:r>
      <w:r>
        <w:rPr>
          <w:rFonts w:ascii="Times New Roman" w:cs="Times New Roman" w:eastAsia="Times New Roman" w:hAnsi="Times New Roman"/>
          <w:sz w:val="18"/>
          <w:szCs w:val="18"/>
          <w:b w:val="1"/>
          <w:bCs w:val="1"/>
          <w:color w:val="auto"/>
        </w:rPr>
        <w:t>SCI</w:t>
      </w:r>
      <w:r>
        <w:rPr>
          <w:rFonts w:ascii="Times New Roman" w:cs="Times New Roman" w:eastAsia="Times New Roman" w:hAnsi="Times New Roman"/>
          <w:sz w:val="18"/>
          <w:szCs w:val="18"/>
          <w:color w:val="auto"/>
        </w:rPr>
        <w:t>”). The Loan Agreement with SCI is comprised of two facilities, a term loan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and a revolving loan (the “</w:t>
      </w:r>
      <w:r>
        <w:rPr>
          <w:rFonts w:ascii="Times New Roman" w:cs="Times New Roman" w:eastAsia="Times New Roman" w:hAnsi="Times New Roman"/>
          <w:sz w:val="18"/>
          <w:szCs w:val="18"/>
          <w:b w:val="1"/>
          <w:bCs w:val="1"/>
          <w:color w:val="auto"/>
        </w:rPr>
        <w:t>Revolving Loan</w:t>
      </w:r>
      <w:r>
        <w:rPr>
          <w:rFonts w:ascii="Times New Roman" w:cs="Times New Roman" w:eastAsia="Times New Roman" w:hAnsi="Times New Roman"/>
          <w:sz w:val="18"/>
          <w:szCs w:val="18"/>
          <w:color w:val="auto"/>
        </w:rPr>
        <w:t>”) for $5.0 million each with a maturity date of October 31, 2023. Both the Term Loan and the Revolving Loan were fully drawn upon closing. The Term Loan was repaid prior to the acquisition of Solaria by Complete Solar and was not included in the business combination.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Revolving Loan has a term of thirty-six months, with the principal due at the end of the term and an annual interest rate of 7.75% or Prime rate plus 4.5%, whichever is higher. Interest expense recognized for the thirteen-weeks ended March 31, 2024 was $0.1 million. In October 2023, the Company entered into an Assignment and Acceptance Agreement whereby Structural Capital Investments III, LP assigned the SCI debt to Kline Hill and Rodgers Massey Revocable Living Trust for a total purchase price of $5.0 million. The SCI Revolving Loan remained outstanding as of March 31, 2024. All obligations relating to the Loan Agreement were cancelled pursuant to the Exchange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Credit Facility</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2022, we entered into a secured credit facility agreement with Kline Partners and Kline Opportunity (“</w:t>
      </w:r>
      <w:r>
        <w:rPr>
          <w:rFonts w:ascii="Times New Roman" w:cs="Times New Roman" w:eastAsia="Times New Roman" w:hAnsi="Times New Roman"/>
          <w:sz w:val="18"/>
          <w:szCs w:val="18"/>
          <w:b w:val="1"/>
          <w:bCs w:val="1"/>
          <w:color w:val="auto"/>
        </w:rPr>
        <w:t>Secured Credit Facility</w:t>
      </w:r>
      <w:r>
        <w:rPr>
          <w:rFonts w:ascii="Times New Roman" w:cs="Times New Roman" w:eastAsia="Times New Roman" w:hAnsi="Times New Roman"/>
          <w:sz w:val="18"/>
          <w:szCs w:val="18"/>
          <w:color w:val="auto"/>
        </w:rPr>
        <w:t>”). The Secured Credit Facility agreement allows us to borrow up to 70% of the net amount of our eligible vendor purchase orders with a maximum amount of $10.0 million at any point in time. The purchase orders are backed by relevant customer sales orders which serve as collateral. The amounts drawn under the Secured Credit Facility may be reborrowed provided that the aggregate borrowing does not exceed $20.0 million. The repayment under the Secured Credit Facility is the borrowed amount multiplied by 1.15x if repaid within 75 days and borrowed amount multiplied by 1.175x if repaid after 75 days. We may prepay any borrowed amount without premium or penalty. Under the original terms, the Secured Credit Facility agreement was due to mature in April 2023. All obligations relating to the Secured Credit Facility were cancelled pursuant to the Exchange Agreement.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March 31, 2024, the outstanding net debt amounted to $12.7 million, including accrued financing cost of $5.0 million compared to December 31, 2023, the balance outstanding was $12.2 million, including accrued financing cost of $4.5 million. We recognized interest expense of $0.5 million related to the Secured Credit Facility during the thirteen-weeks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CS Solis Debt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2022, we received cash and recorded a liability for an investment by Carlyle into the Company. The investment was made pursuant to a subscription agreement, under which Carlyle contributed $25.6 million in exchange for 100 Class B Membership Units of CS Solis. The Class B Membership Units are mandatorily redeemable by us on the three-year anniversary of the effective date of the CS Solis amended and restated LLC agreement. The Class B Membership Units accrue interest that is payable upon redemption at a rate of 10.5% which is accrued as an unpaid dividend, compounded annually, and subject to increases in the event we declare any dividends. In July 2023, we amended the debt of with Carlyle as part of the closing of the Business Combination. The modification did not change the interest rate. The modification accelerated the redemption date of the investment from February 15, 2025 to March 31, 2024. All obligations relating to the CS Solis Debt were cancelled pursuant to the Exchange Agreement.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we have recorded a liability of $35.8 million and $33.3 million, respectively, included in short-term debt in CS Solis on our unaudited condensed consolidated balance sheets. For the thirteen-weeks ended March 31, 2024, we have recorded accretion of the liability as interest expense of $2.5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2023, FACT and Legacy Complete Solaria, Inc. entered into Forward Purchase Agreements with each of (i) Meteora; (ii) Polar, and (iii) Sandia.</w:t>
      </w:r>
    </w:p>
    <w:p>
      <w:pPr>
        <w:spacing w:after="0" w:line="162"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Forward Purchase Agreements, the FPA Sellers may (i) purchase through a broker in the open market, from holders of Shares other than the Company or affiliates thereof, FACT’s ordinary shares, par value of $0.0001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Business Combination as per the Amended and Restated Business Combination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ind w:left="340"/>
        <w:spacing w:after="0"/>
        <w:rPr>
          <w:sz w:val="20"/>
          <w:szCs w:val="20"/>
          <w:color w:val="auto"/>
        </w:rPr>
      </w:pPr>
      <w:r>
        <w:rPr>
          <w:rFonts w:ascii="Times New Roman" w:cs="Times New Roman" w:eastAsia="Times New Roman" w:hAnsi="Times New Roman"/>
          <w:sz w:val="18"/>
          <w:szCs w:val="18"/>
          <w:color w:val="auto"/>
        </w:rPr>
        <w:t>The key terms of the forward contracts are as follows:</w:t>
      </w:r>
    </w:p>
    <w:p>
      <w:pPr>
        <w:spacing w:after="0" w:line="221" w:lineRule="exact"/>
        <w:rPr>
          <w:sz w:val="20"/>
          <w:szCs w:val="20"/>
          <w:color w:val="auto"/>
        </w:rPr>
      </w:pPr>
    </w:p>
    <w:p>
      <w:pPr>
        <w:jc w:val="both"/>
        <w:ind w:left="660" w:hanging="328"/>
        <w:spacing w:after="0" w:line="26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Sellers can terminate the transaction following the Optional Early Termination (“</w:t>
      </w:r>
      <w:r>
        <w:rPr>
          <w:rFonts w:ascii="Times New Roman" w:cs="Times New Roman" w:eastAsia="Times New Roman" w:hAnsi="Times New Roman"/>
          <w:sz w:val="18"/>
          <w:szCs w:val="18"/>
          <w:b w:val="1"/>
          <w:bCs w:val="1"/>
          <w:color w:val="auto"/>
        </w:rPr>
        <w:t>OET</w:t>
      </w:r>
      <w:r>
        <w:rPr>
          <w:rFonts w:ascii="Times New Roman" w:cs="Times New Roman" w:eastAsia="Times New Roman" w:hAnsi="Times New Roman"/>
          <w:sz w:val="18"/>
          <w:szCs w:val="18"/>
          <w:color w:val="auto"/>
        </w:rPr>
        <w:t>”) Date which shall specify the quantity by which the number of shares is to be reduced (such quantity, the “</w:t>
      </w:r>
      <w:r>
        <w:rPr>
          <w:rFonts w:ascii="Times New Roman" w:cs="Times New Roman" w:eastAsia="Times New Roman" w:hAnsi="Times New Roman"/>
          <w:sz w:val="18"/>
          <w:szCs w:val="18"/>
          <w:b w:val="1"/>
          <w:bCs w:val="1"/>
          <w:color w:val="auto"/>
        </w:rPr>
        <w:t>Terminated Shares</w:t>
      </w:r>
      <w:r>
        <w:rPr>
          <w:rFonts w:ascii="Times New Roman" w:cs="Times New Roman" w:eastAsia="Times New Roman" w:hAnsi="Times New Roman"/>
          <w:sz w:val="18"/>
          <w:szCs w:val="18"/>
          <w:color w:val="auto"/>
        </w:rPr>
        <w:t>”). Seller shall terminate the transaction in respect of any shares sold on or prior to the maturity date. The counterparty is entitled to an amount from the seller equal to the number of terminated shares multiplied by a reset price. The reset price is initially $10.56 (the “</w:t>
      </w:r>
      <w:r>
        <w:rPr>
          <w:rFonts w:ascii="Times New Roman" w:cs="Times New Roman" w:eastAsia="Times New Roman" w:hAnsi="Times New Roman"/>
          <w:sz w:val="18"/>
          <w:szCs w:val="18"/>
          <w:b w:val="1"/>
          <w:bCs w:val="1"/>
          <w:color w:val="auto"/>
        </w:rPr>
        <w:t>Initial Price</w:t>
      </w:r>
      <w:r>
        <w:rPr>
          <w:rFonts w:ascii="Times New Roman" w:cs="Times New Roman" w:eastAsia="Times New Roman" w:hAnsi="Times New Roman"/>
          <w:sz w:val="18"/>
          <w:szCs w:val="18"/>
          <w:color w:val="auto"/>
        </w:rPr>
        <w:t>”) and is subject to a $5.00 floor.</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over 15 scheduled trading days. The magnitude of the settlement is based on the Settlement Amount, an amount equal to the product of: (1) Number of shares issued to the FPA Seller pursuant to the FPA, less the number of Terminated Shares multiplied by (2) the VWAP over the valuation period. The Settlement amount will be reduced by the Settlement Adjustment, an amount equal to the product of (1) Number of shares in the Pricing Date Notice, less the number of Terminated Shares multiplied by $2.00.</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occurs as of the Valuation Date, which is the earlier to occur of (a) the date that is two years after the date of the Closing Date of the Business Combination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that occurs at least 6 months after the Closing Date, the VWAP is less than the then applicable Reset Price.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entered into four separate FPAs, three of which, associated with the obligation to issue 6,300,000 Shares, were entered into prior to the closing of the Business Combination. Upon signing the FPAs, we incurred an obligation to issue a fixed number of shares to the FPA Sellers contingent upon the closing of the Business Combination in addition to the terms and conditions associated with the settlement of the FPAs. We accounted for the contingent obligation to issue shares in accordance with ASC 815, Derivatives and Hedging, and recorded a liability and other income (expense), net based on the fair value upon of the obligation upon the signing of the FPAs. The liability was extinguished in July 2023 upon the issuance of Complete Solaria Common Stock to the FPA sellers.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in accordance with ASC 480, Distinguishing Liabilities from Equity, we have has determined that the forward contracts are financial instruments other than shares that represent or are indexed to obligations to repurchase the issuer’s equity shares by transferring assets, referred to herein as the “forward purchase liability” on its consolidated balance sheets. We initially measured the forward purchase liability at fair value and have subsequently remeasured it at fair value with changes in fair value recognized in earnings.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the date of issuance of the Complete Solaria Common Stock in satisfaction of our obligation to issue shares around the closing of the Business Combination, we recorded $35.5 million to other income (expense), net associated with the issuance of 6,720,000 shares of Complete Solaria Common Stock.</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closing of the Business Combination and issuance of the Complete Solaria Common Stock underlying the FPAs, the fair value of the prepaid FPAs was an asset balance of $0.1 million and was recorded on the Company’s consolidated balance sheets and within other income (expense), net on the unaudited condensed consolidated statements of operations and comprehensive loss. Subsequently, the change of fair value of the forward purchase liability amounted to an expense of $3.9 million for the fiscal year ended December 31, 2023. As of December 31, 2023, the forward purchase liabilities amounted to $3.8 million.</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December 18, 2023, the Company and the FPA Sellers entered into separate amendments to the FPAs (the “</w:t>
      </w: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The Amendments lower the reset floor price of each FPA from $5.00 to $3.00 and allow the Company to raise up to $10.0 million of equity from existing stockholders without triggering certain anti-dilution provisions contained in the FPAs;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7 and 8, 2024, respectively, the Company entered into the Sandia Second Amendment and the Polar Second Amendment to the Forward Purchase Agreements. The Second Amendments lower the reset price of each Forward Purchase Agreement from $3.00 to $1.00 per share and amend the VWAP Trigger Event provision to read as “After December 31, 2024, an event that occurs if the VWAP Price, for any 20 trading days during a 30 consecutive trading day-period, is below $1.00 per Share.” The Sandia Second Amendment is not effective until the Company executes similar amendments with both Polar and Meteora.</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Subsequently, on June 14, 2024, the Company entered into an amendment to the Forward Purchase Agreement with Sandia (the “</w:t>
      </w:r>
      <w:r>
        <w:rPr>
          <w:rFonts w:ascii="Times New Roman" w:cs="Times New Roman" w:eastAsia="Times New Roman" w:hAnsi="Times New Roman"/>
          <w:sz w:val="18"/>
          <w:szCs w:val="18"/>
          <w:b w:val="1"/>
          <w:bCs w:val="1"/>
          <w:color w:val="auto"/>
        </w:rPr>
        <w:t>Sandia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The Sandia Third Amendment sets the reset price of each Forward Purchase Agreement to $1.00 per share and amends the VWAP Trigger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provision to read as “After December 31, 2024, an event that occurs if the VWAP Price, for any 20 trading days during a 30 consecutive trading day-period, is below $1.00 per Share.” In the event either Polar or Meteora amend their Forward Purchase Agreements to include different terms from the $1 reset price and VWAP trigger adjustment, or file a notice of a VWAP trigger event, as reference herein, the Sandia Forward Purchase Agreement will be retroactively amended to reflect those improved terms and liquidity on the Sandia Forward Purchase Agreement, including any of the 1,050,000 shares that were sold upon execution of this document. On July 17, 2024, the Company entered into the third amendment to the Forward Purchase Agreement with Polar (the “</w:t>
      </w:r>
      <w:r>
        <w:rPr>
          <w:rFonts w:ascii="Times New Roman" w:cs="Times New Roman" w:eastAsia="Times New Roman" w:hAnsi="Times New Roman"/>
          <w:sz w:val="18"/>
          <w:szCs w:val="18"/>
          <w:b w:val="1"/>
          <w:bCs w:val="1"/>
          <w:color w:val="auto"/>
        </w:rPr>
        <w:t>Polar Third Amendment</w:t>
      </w:r>
      <w:r>
        <w:rPr>
          <w:rFonts w:ascii="Times New Roman" w:cs="Times New Roman" w:eastAsia="Times New Roman" w:hAnsi="Times New Roman"/>
          <w:sz w:val="18"/>
          <w:szCs w:val="18"/>
          <w:color w:val="auto"/>
        </w:rPr>
        <w:t>”), pursuant to which the Company and Polar agreed that Section 2 (Most Favored Nation) of the Forward Purchase Agreement is applicable to all 2,450,000 shares subject to the Forward Purchase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31, 2024, we entered into a simple agreement for future equity (the “</w:t>
      </w:r>
      <w:r>
        <w:rPr>
          <w:rFonts w:ascii="Times New Roman" w:cs="Times New Roman" w:eastAsia="Times New Roman" w:hAnsi="Times New Roman"/>
          <w:sz w:val="18"/>
          <w:szCs w:val="18"/>
          <w:b w:val="1"/>
          <w:bCs w:val="1"/>
          <w:color w:val="auto"/>
        </w:rPr>
        <w:t>First SAFE</w:t>
      </w:r>
      <w:r>
        <w:rPr>
          <w:rFonts w:ascii="Times New Roman" w:cs="Times New Roman" w:eastAsia="Times New Roman" w:hAnsi="Times New Roman"/>
          <w:sz w:val="18"/>
          <w:szCs w:val="18"/>
          <w:color w:val="auto"/>
        </w:rPr>
        <w:t>”) with the Rodgers Massey Freedom and Free Markets Charitable Trust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in connection with the Purchaser investing $1.5 million in the Company. The First SAFE was initially convertible into shares of our common stock, par value $0.0001 per share, upon the initial closing of a bona fide transaction or series of transactions with the principal purpose of raising capital, pursuant to which we have issued and sold common stock at a fixed valuation (an “</w:t>
      </w:r>
      <w:r>
        <w:rPr>
          <w:rFonts w:ascii="Times New Roman" w:cs="Times New Roman" w:eastAsia="Times New Roman" w:hAnsi="Times New Roman"/>
          <w:sz w:val="18"/>
          <w:szCs w:val="18"/>
          <w:b w:val="1"/>
          <w:bCs w:val="1"/>
          <w:color w:val="auto"/>
        </w:rPr>
        <w:t>Equity Financing</w:t>
      </w:r>
      <w:r>
        <w:rPr>
          <w:rFonts w:ascii="Times New Roman" w:cs="Times New Roman" w:eastAsia="Times New Roman" w:hAnsi="Times New Roman"/>
          <w:sz w:val="18"/>
          <w:szCs w:val="18"/>
          <w:color w:val="auto"/>
        </w:rPr>
        <w:t>”), at a per share conversion price which was equal to the lower of (i)(a) $53.54 million divided by (b) our capitalization immediately prior to such Equity Financing (such conversion price, the “</w:t>
      </w:r>
      <w:r>
        <w:rPr>
          <w:rFonts w:ascii="Times New Roman" w:cs="Times New Roman" w:eastAsia="Times New Roman" w:hAnsi="Times New Roman"/>
          <w:sz w:val="18"/>
          <w:szCs w:val="18"/>
          <w:b w:val="1"/>
          <w:bCs w:val="1"/>
          <w:color w:val="auto"/>
        </w:rPr>
        <w:t>SAFE Price</w:t>
      </w:r>
      <w:r>
        <w:rPr>
          <w:rFonts w:ascii="Times New Roman" w:cs="Times New Roman" w:eastAsia="Times New Roman" w:hAnsi="Times New Roman"/>
          <w:sz w:val="18"/>
          <w:szCs w:val="18"/>
          <w:color w:val="auto"/>
        </w:rPr>
        <w:t>”), and (ii) 80% of the price per share of our common stock sold in the Equity Financing. If we consummated a change of control prior to the termination of the First SAFE, the Purchaser will would have been automatically entitled to receive a portion of the proceeds of such liquidity event equal to the greater of (i) $1.5 million and (ii) the amount payable on the number of shares of our common stock equal to (a) $1.5 million divided by (b)(1) $53.54 million divided by (2) our capitalization immediately prior to such liquidity event (the “</w:t>
      </w:r>
      <w:r>
        <w:rPr>
          <w:rFonts w:ascii="Times New Roman" w:cs="Times New Roman" w:eastAsia="Times New Roman" w:hAnsi="Times New Roman"/>
          <w:sz w:val="18"/>
          <w:szCs w:val="18"/>
          <w:b w:val="1"/>
          <w:bCs w:val="1"/>
          <w:color w:val="auto"/>
        </w:rPr>
        <w:t>Liquidity Price</w:t>
      </w:r>
      <w:r>
        <w:rPr>
          <w:rFonts w:ascii="Times New Roman" w:cs="Times New Roman" w:eastAsia="Times New Roman" w:hAnsi="Times New Roman"/>
          <w:sz w:val="18"/>
          <w:szCs w:val="18"/>
          <w:color w:val="auto"/>
        </w:rPr>
        <w:t>”), subject to certain adjustments as set forth in the First SAFE. The First SAFE was convertible into a maximum of 1,431,297 shares of our common stock, assuming a per share conversion price of $1.05, which is the product of (i) $1.31, the closing price of our common stock on January 31, 2024, multiplied by (ii) 80%.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15, 2024, we entered into a simple agreement for future equity (the “</w:t>
      </w:r>
      <w:r>
        <w:rPr>
          <w:rFonts w:ascii="Times New Roman" w:cs="Times New Roman" w:eastAsia="Times New Roman" w:hAnsi="Times New Roman"/>
          <w:sz w:val="18"/>
          <w:szCs w:val="18"/>
          <w:b w:val="1"/>
          <w:bCs w:val="1"/>
          <w:color w:val="auto"/>
        </w:rPr>
        <w:t>Second SAFE</w:t>
      </w:r>
      <w:r>
        <w:rPr>
          <w:rFonts w:ascii="Times New Roman" w:cs="Times New Roman" w:eastAsia="Times New Roman" w:hAnsi="Times New Roman"/>
          <w:sz w:val="18"/>
          <w:szCs w:val="18"/>
          <w:color w:val="auto"/>
        </w:rPr>
        <w:t>” and together with the First SAFE, the “</w:t>
      </w:r>
      <w:r>
        <w:rPr>
          <w:rFonts w:ascii="Times New Roman" w:cs="Times New Roman" w:eastAsia="Times New Roman" w:hAnsi="Times New Roman"/>
          <w:sz w:val="18"/>
          <w:szCs w:val="18"/>
          <w:b w:val="1"/>
          <w:bCs w:val="1"/>
          <w:color w:val="auto"/>
        </w:rPr>
        <w:t>SAFEs</w:t>
      </w:r>
      <w:r>
        <w:rPr>
          <w:rFonts w:ascii="Times New Roman" w:cs="Times New Roman" w:eastAsia="Times New Roman" w:hAnsi="Times New Roman"/>
          <w:sz w:val="18"/>
          <w:szCs w:val="18"/>
          <w:color w:val="auto"/>
        </w:rPr>
        <w:t>”) with the Purchaser in connection with the Purchaser investing $3.5 million in the Company. The Second SAFE was initially convertible into shares of our common stock upon the initial closing of an Equity Financing at a per share conversion price which was equal to the lower of (i) the SAFE Price, and (ii) 80% of the price per share of our common stock sold in the Equity Financing. If we consummated a change of control prior to the termination of the Second SAFE, the Purchaser would have been automatically entitled to receive an amount equal to the greater of (i) $3.5 million and (ii) the amount payable on the number of shares of our common stock equal to $3.5 million divided by the Liquidity Price, subject to certain adjustments as set forth in the Second SAFE. The Second SAFE was convertible into a maximum of 3,707,627 shares of our common stock, assuming a per share conversion price of $0.94, which is the product of (i) $1.18, the closing price of the Common Stock on February 15, 2024, multiplied by (ii) 80%.</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21, 2024, we entered into an amendment for each of our First SAFE and Second SAFE to convert the invested amounts into shares of our common stock. The conversion share price was $0.36, calculated as the product of (i) $0.45, the closing price of our common stock on April 19, 2024, multiplied by (ii) 80%. The First SAFE and Second SAFE converted into 4,166,667 and 9,722,222 shares of our common stock, respectively.</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13, 2024, we entered into a SAFE (the “</w:t>
      </w:r>
      <w:r>
        <w:rPr>
          <w:rFonts w:ascii="Times New Roman" w:cs="Times New Roman" w:eastAsia="Times New Roman" w:hAnsi="Times New Roman"/>
          <w:sz w:val="18"/>
          <w:szCs w:val="18"/>
          <w:b w:val="1"/>
          <w:bCs w:val="1"/>
          <w:color w:val="auto"/>
        </w:rPr>
        <w:t>Rodgers Group SAFE</w:t>
      </w:r>
      <w:r>
        <w:rPr>
          <w:rFonts w:ascii="Times New Roman" w:cs="Times New Roman" w:eastAsia="Times New Roman" w:hAnsi="Times New Roman"/>
          <w:sz w:val="18"/>
          <w:szCs w:val="18"/>
          <w:color w:val="auto"/>
        </w:rPr>
        <w:t>”) with the Rodgers Massey Freedom and Free Markets Charitable Trust (the “</w:t>
      </w:r>
      <w:r>
        <w:rPr>
          <w:rFonts w:ascii="Times New Roman" w:cs="Times New Roman" w:eastAsia="Times New Roman" w:hAnsi="Times New Roman"/>
          <w:sz w:val="18"/>
          <w:szCs w:val="18"/>
          <w:b w:val="1"/>
          <w:bCs w:val="1"/>
          <w:color w:val="auto"/>
        </w:rPr>
        <w:t>Rodgers Group</w:t>
      </w:r>
      <w:r>
        <w:rPr>
          <w:rFonts w:ascii="Times New Roman" w:cs="Times New Roman" w:eastAsia="Times New Roman" w:hAnsi="Times New Roman"/>
          <w:sz w:val="18"/>
          <w:szCs w:val="18"/>
          <w:color w:val="auto"/>
        </w:rPr>
        <w:t>”) in connection with the Rodgers Group investment of $1,000,000. The Rodgers Group SAFE is convertible into shares of Common Stock upon the initial closing of a bona fide transaction or series of transactions with the principal purpose of raising capital, pursuant to which we issue and sell Common Stock at a fixed valuation (an “</w:t>
      </w:r>
      <w:r>
        <w:rPr>
          <w:rFonts w:ascii="Times New Roman" w:cs="Times New Roman" w:eastAsia="Times New Roman" w:hAnsi="Times New Roman"/>
          <w:sz w:val="18"/>
          <w:szCs w:val="18"/>
          <w:b w:val="1"/>
          <w:bCs w:val="1"/>
          <w:color w:val="auto"/>
        </w:rPr>
        <w:t>Equity Financing</w:t>
      </w:r>
      <w:r>
        <w:rPr>
          <w:rFonts w:ascii="Times New Roman" w:cs="Times New Roman" w:eastAsia="Times New Roman" w:hAnsi="Times New Roman"/>
          <w:sz w:val="18"/>
          <w:szCs w:val="18"/>
          <w:color w:val="auto"/>
        </w:rPr>
        <w:t>”), at a per share conversion price which is equal to 50% of the price per share of Common Stock sold in the Equity Financing. If we consummate a change of control prior to the termination of the Rodgers Group SAFE, the Rodgers Group will be automatically entitled to receive a portion of the proceeds of such liquidity event equal to $1,000,000, subject to certain adjustments as set forth in the Rodgers Group SAFE. The Rodgers Group SAFE is convertible into a maximum of 2,750,000 shares of Common Stock, assuming a per share conversion price of $0.275, which is the product of (i) $0.55, the closing price of the Common Stock on May 13, 2024, multiplied by (ii) 50%. Thurman J. Rodgers is a trustee of the Rodgers Group, the Executive Chairman of the board of directors of the Company, and the Chief Executive Officer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Ayna.AI LLC Common Stock Warrant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17, 2024, Complete Solaria executed the Ayna Warrant, pursuant to which Ayna is entitled to purchase 6,000,000 shares of Common Stock at the exercise price per share of $0.01, subject to the provisions and upon the terms and conditions set forth in the Warrant. The issuance of this Warrant by Complete Solaria to Ayna is in satisfaction of the compensation owed by Complete Solaria to Ayna for Complete Solaria under the terms of the Statement of Work, signed May 21, 2024 (and effective as of March 12, 2024), as incorporated into the Master Services Agreement, dated March 12,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Complete Solaria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Complete Solaria is a party, under which it has any obligation arising under a guaranteed contract, derivative instrument, or variable interest or a retained or contingent interest in assets transferred to such entity or similar arrangement that serves as credit, liquidity, or market risk support for such assets.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Currently, Complete Solaria does not engage in off-balance sheet financing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Complete Solaria is a “smaller reporting company,” meaning that the market value of Complete Solaria’s shares of common stock held by non-affiliates is less than $700 million and Complete Solaria’s annual revenue was less than $100 million during the most recently completed fiscal year. Complete Solaria will continue to be a smaller reporting company if either (i) the market value of Complete Solaria’s shares held by non-affiliates is less than $250 million or (ii) Complete Solaria’s annual revenue was less than $100 million during the most recently completed fiscal year and the market value of Complete Solaria’s shares held by non-affiliates is less than $700 million. As a smaller reporting company, Complete Solaria may choose to present only the two most recent fiscal years of audited financial statements and Complete Solaria has reduced disclosure obligations regarding executive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Complete Solaria is an “emerging growth company” as defined in Section 2(a) of the Securities Act, and has elected to take advantage of the benefits of the extended transition period for new or revised financial accounting standards. Complete Solaria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has total annual gross revenue of $1.235 billion or more during such fiscal year (as indexed for inflation), (iii) the date on which we have issued more than $1.0 billion in non-convertible debt in the prior three-year period, or (iv) December 31, 2025. Complete Solaria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mission is to deliver energy-efficient solutions to homeowners and small to medium-sized businesses that allow them to lower their energy bills while reducing their carbon footprint. Complete Solaria has created a unique, end-to-end offering that delivers a best-in-class customer experience with a robust technology platform, financing solutions, and high-performance solar modules.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Complete Solaria was formed in November 2022 through the merger of Complete Solar and Solaria.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This turnkey solution makes it easy for anyone to sell solar. We fulfill our customer contracts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HelioTrack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system.</w:t>
      </w:r>
    </w:p>
    <w:p>
      <w:pPr>
        <w:spacing w:after="0" w:line="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Complete Solaria provides residential solar system designs, proposals, and CAD drawing sets to existing sales partners and other residential solar companies, regardless of whether they participate as or builder partners. In doing so, Complete Solaria seeks to power the entire solar power industry.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2023, we sold solar panel assets of The Solaria Corporation, including intellectual property and customer contracts to Maxeon, pursuant to the Disposal Agreement. Under the terms of the Disposal Agreement, Maxeon agreed to acquire certain assets and employees of Complete Solaria for an aggregate purchase price of approximately $11.0 million consisting of 1,100,000 shares of Maxeon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products fall into two general categories: Solar System Sales and Software Enhanced Services.</w:t>
      </w:r>
    </w:p>
    <w:p>
      <w:pPr>
        <w:spacing w:after="0" w:line="223" w:lineRule="exact"/>
        <w:rPr>
          <w:sz w:val="20"/>
          <w:szCs w:val="20"/>
          <w:color w:val="auto"/>
        </w:rPr>
      </w:pPr>
    </w:p>
    <w:p>
      <w:pPr>
        <w:jc w:val="both"/>
        <w:ind w:left="660" w:hanging="328"/>
        <w:spacing w:after="0" w:line="25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Solar System Sales</w:t>
      </w:r>
      <w:r>
        <w:rPr>
          <w:rFonts w:ascii="Times New Roman" w:cs="Times New Roman" w:eastAsia="Times New Roman" w:hAnsi="Times New Roman"/>
          <w:sz w:val="18"/>
          <w:szCs w:val="18"/>
          <w:color w:val="auto"/>
        </w:rPr>
        <w:t>: Complete Solaria sells solar systems to homeowners and small to medium-sized commercial customers through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partners. Complete Solaria manages every aspect of project management for those contracts before ultimately contracting with builder partners to complete the construction of the solar systems. This residential solar platform provides homeowners with simple pricing for solar energy that provides significant savings to traditional utility energy. Homeowners can choose from a wide array of system features and financing options that best meet their needs. By delivering the best-matched products and a best-in-class customer experience, Complete Solaria establishes valuable customer relationships that can extend beyond the initial solar energy system purchase and provides Complete Solaria with opportunities to offer additional products and services in the future.</w:t>
      </w:r>
    </w:p>
    <w:p>
      <w:pPr>
        <w:spacing w:after="0" w:line="18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Software Enhanced Services</w:t>
      </w:r>
      <w:r>
        <w:rPr>
          <w:rFonts w:ascii="Times New Roman" w:cs="Times New Roman" w:eastAsia="Times New Roman" w:hAnsi="Times New Roman"/>
          <w:sz w:val="18"/>
          <w:szCs w:val="18"/>
          <w:color w:val="auto"/>
        </w:rPr>
        <w:t>: The HelioQuote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system is provided to existing sales partners and other participants in the solar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powers our sales of residential solar designs, proposals, and engineering services.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Innovation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its inception, Complete Solaria has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Complete Solaria has built provides broad reach, and we believe it positions Complete Solaria for sustained and rapid growth through a capital-efficient business model. The network of our partners continues to expand today.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Differentiation and Operating Results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Delivering a differentiated customer experience is core to Complete Solaria’s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Solutions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Complete Solaria assists its end customers with financing solutions through third-party lease providers, power purchase agreement providers and third-party loan providers.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Customers may lease a Complete Solaria solar system. The lease provider will purchase the solar system and the property owner will rent the solar system in exchange for the electricity the system produces.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a power purchase agreement, a third-party developer installs, owns, and operates a solar system on a customer’s property. The customer then purchases the system’s electric output for a predetermined period. A power purchase agreement allows the customer to receive stable and often low-cost electricity with no upfront cost while also enabling the owner of the system to take advantage of tax credits and receive income from the sale of electricity.</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Lastly, third-party loan providers offer Complete Solaria’s end customers a loan to purchase solar systems, and then the customers will pay off the loan over a period of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Complete Solaria’s strategy focuses on providing its sales partners with the software tools, sales support, and ability to compete effectively with national providers. This turnkey solution makes it easy for anyone to sell solar.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System Sales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Solar System Sales are full systems sold to homeowners and small to medium-sized commercial businesses through Complete Solaria’s sales partner channels. Complete Solaria and its builder partners fulfill and install the systems.</w:t>
      </w:r>
    </w:p>
    <w:p>
      <w:pPr>
        <w:spacing w:after="0" w:line="160" w:lineRule="exact"/>
        <w:rPr>
          <w:sz w:val="20"/>
          <w:szCs w:val="20"/>
          <w:color w:val="auto"/>
        </w:rPr>
      </w:pPr>
    </w:p>
    <w:p>
      <w:pPr>
        <w:jc w:val="both"/>
        <w:ind w:left="660" w:hanging="328"/>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revenue by expanding installation capacity and developing new geographic markets through Complete Solaria’s partner programs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Complete Solaria partners become builder partners who install systems resulting from sales generated by Complete Solaria’s sales partners. By leveraging this network of skilled builders, Complete Solaria aims to increase its installation capacity in traditional markets and expand its offering into new geographies throughout the U.S. We believe this will enable greater sales growth in existing markets and create new revenue in expansion markets.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engaging national-scale sales partners </w:t>
      </w:r>
      <w:r>
        <w:rPr>
          <w:rFonts w:ascii="Times New Roman" w:cs="Times New Roman" w:eastAsia="Times New Roman" w:hAnsi="Times New Roman"/>
          <w:sz w:val="18"/>
          <w:szCs w:val="18"/>
          <w:color w:val="auto"/>
        </w:rPr>
        <w:t>— Complete Solar operated in 16 states before the formation of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Solaria. By expanding operations nationally, Complete Solaria will be able to offer a turnkey solar solution to prospective sales partners with a national footprint. These include electric vehicle manufacturers, national home security providers, and real estate brokers. Complete Solaria expects to create a consistent offering with a single execution process for such sales partners throughout their territories. These national accounts have unique customer relationships that will facilitate meaningful sales opportunities and low acquisition cost to increase revenue and improve margin.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and Services</w:t>
      </w:r>
    </w:p>
    <w:p>
      <w:pPr>
        <w:spacing w:after="0" w:line="233"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18"/>
          <w:szCs w:val="18"/>
          <w:color w:val="auto"/>
        </w:rPr>
        <w:t>Software and services sales include access to Complete Solaria’s HelioQuote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sales proposal and system design software; proposal writing services that support field sales agents; and design, engineering, and permitting services that improve subscale solar companies’ operational effectiveness and cost efficiency. See “</w:t>
      </w:r>
      <w:r>
        <w:rPr>
          <w:rFonts w:ascii="Times New Roman" w:cs="Times New Roman" w:eastAsia="Times New Roman" w:hAnsi="Times New Roman"/>
          <w:sz w:val="18"/>
          <w:szCs w:val="18"/>
          <w:i w:val="1"/>
          <w:iCs w:val="1"/>
          <w:color w:val="auto"/>
        </w:rPr>
        <w:t>Increase revenue and margin by bundling software enhanced services with solar module sales</w:t>
      </w:r>
      <w:r>
        <w:rPr>
          <w:rFonts w:ascii="Times New Roman" w:cs="Times New Roman" w:eastAsia="Times New Roman" w:hAnsi="Times New Roman"/>
          <w:sz w:val="18"/>
          <w:szCs w:val="18"/>
          <w:color w:val="auto"/>
        </w:rPr>
        <w:t>” above.</w:t>
      </w:r>
    </w:p>
    <w:p>
      <w:pPr>
        <w:spacing w:after="0" w:line="20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support of Complete Solaria’s strategy to increase revenue and expand margin opportunities in its two core products, Complete Solaria also considers the following activities to be key elements of its strategy:</w:t>
      </w:r>
    </w:p>
    <w:p>
      <w:pPr>
        <w:spacing w:after="0" w:line="160" w:lineRule="exact"/>
        <w:rPr>
          <w:sz w:val="20"/>
          <w:szCs w:val="20"/>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Partnerships with Solar Partners, Strategic Partners, and Attractive New Market Participants</w:t>
      </w:r>
      <w:r>
        <w:rPr>
          <w:rFonts w:ascii="Times New Roman" w:cs="Times New Roman" w:eastAsia="Times New Roman" w:hAnsi="Times New Roman"/>
          <w:sz w:val="18"/>
          <w:szCs w:val="18"/>
          <w:color w:val="auto"/>
        </w:rPr>
        <w:t>. Complete Solaria’s platform of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tools allows it to engage with a wide variety of solar industry partners and new industry participants, such as retailers and service providers who would like to offer solar to new and existing customers. Complete Solaria plans to continue to invest in its ability to attract, convert, grow, and retain promising partners to facilitate capital-efficient growth.</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Invest in the digital platform</w:t>
      </w:r>
      <w:r>
        <w:rPr>
          <w:rFonts w:ascii="Times New Roman" w:cs="Times New Roman" w:eastAsia="Times New Roman" w:hAnsi="Times New Roman"/>
          <w:sz w:val="18"/>
          <w:szCs w:val="18"/>
          <w:color w:val="auto"/>
        </w:rPr>
        <w:t>. Complete Solaria plans to continue to invest in and develop complementary software,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to enhance the scalability of its platform and support an automated, highly efficient operational structure that delivers a world-class customer experience. Complete Solaria expects to continue to make significant investments in automating the end-to-end solar process through improved workflow management, electronic site-audit, and electronic permitting capabilities. Additionally, Complete Solaria plans to continue to develop consumer facing software to enhance consumers’ ability to manage their solar systems and integrate other energy-efficient products and services into their homes.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Deliver a Differentiated Customer Experience</w:t>
      </w:r>
      <w:r>
        <w:rPr>
          <w:rFonts w:ascii="Times New Roman" w:cs="Times New Roman" w:eastAsia="Times New Roman" w:hAnsi="Times New Roman"/>
          <w:sz w:val="18"/>
          <w:szCs w:val="18"/>
          <w:color w:val="auto"/>
        </w:rPr>
        <w:t>. Complete Solaria prioritizes the customer experience. Its systems enable fast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fulfillment, direct customer communication, and facilitation of third-party sales, installation, and finance partners for a seamless customer experience. These systems also enable a broad service offering with customized configurations and pricing. Further development of these systems will enable future product offerings and increasingly optimized solar and energy-efficient configurations for Complete Solaria’s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strengths position Complete Solaria to drive the mass adoption of residential solar in a manner that maximizes the value of its growing customer base over the long term:</w:t>
      </w:r>
    </w:p>
    <w:p>
      <w:pPr>
        <w:spacing w:after="0" w:line="160" w:lineRule="exact"/>
        <w:rPr>
          <w:sz w:val="20"/>
          <w:szCs w:val="20"/>
          <w:color w:val="auto"/>
        </w:rPr>
      </w:pPr>
    </w:p>
    <w:p>
      <w:pPr>
        <w:jc w:val="both"/>
        <w:ind w:left="660" w:hanging="328"/>
        <w:spacing w:after="0" w:line="267"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Platform of Services and Tools</w:t>
      </w:r>
      <w:r>
        <w:rPr>
          <w:rFonts w:ascii="Times New Roman" w:cs="Times New Roman" w:eastAsia="Times New Roman" w:hAnsi="Times New Roman"/>
          <w:sz w:val="18"/>
          <w:szCs w:val="18"/>
          <w:color w:val="auto"/>
        </w:rPr>
        <w:t>: A diversified and multi-pronged customer acquisition approach. This infrastructure underpins the ability to enjoy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 customer reach with a low system-wide cost structure and positions Complete Solaria for expansion to every market where distributed solar energy generation can offer homeowners savings versus traditional utility retail power.</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Differentiated Customer Experience</w:t>
      </w:r>
      <w:r>
        <w:rPr>
          <w:rFonts w:ascii="Times New Roman" w:cs="Times New Roman" w:eastAsia="Times New Roman" w:hAnsi="Times New Roman"/>
          <w:sz w:val="18"/>
          <w:szCs w:val="18"/>
          <w:color w:val="auto"/>
        </w:rPr>
        <w:t>: We offer a unique customer experience through various methods: customer-friendly solar service features,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tailored designs and customizable pricing for each homeowner, a highly consultative sales process, and a focus on customer savings.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Unique access to customers through third-party sales channels</w:t>
      </w:r>
      <w:r>
        <w:rPr>
          <w:rFonts w:ascii="Times New Roman" w:cs="Times New Roman" w:eastAsia="Times New Roman" w:hAnsi="Times New Roman"/>
          <w:sz w:val="18"/>
          <w:szCs w:val="18"/>
          <w:color w:val="auto"/>
        </w:rPr>
        <w:t>: The turn-key solar product offering, best-in-class customer service, and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footprint support third-party sales channels and strategic national partnerships. Complete Solaria provides solutions for sales channels seeking to expand their geographic reach and strengthen their relationships with their own customers.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Technology Suite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HelioSuite is an innovative, end-to-end software platform designed to manage every aspect of a residential solar project. HelioSuite was originally designed to support our internal sales and build partners to ensure a seamless customer experience. In 2021, Complete Solaria commercialized the software solutions through Helio Proposal Services provide proposal services for residential solar sales companies outside of Complete Solar’s existing network of sales partners. Features of the Technology Suite include the following capabilities, some of which are planned for roll-out in the future:</w:t>
      </w:r>
    </w:p>
    <w:p>
      <w:pPr>
        <w:spacing w:after="0" w:line="181" w:lineRule="exact"/>
        <w:rPr>
          <w:sz w:val="20"/>
          <w:szCs w:val="20"/>
          <w:color w:val="auto"/>
        </w:rPr>
      </w:pPr>
    </w:p>
    <w:p>
      <w:pPr>
        <w:jc w:val="both"/>
        <w:ind w:left="660" w:hanging="328"/>
        <w:spacing w:after="0" w:line="204" w:lineRule="auto"/>
        <w:tabs>
          <w:tab w:leader="none" w:pos="660" w:val="left"/>
        </w:tabs>
        <w:numPr>
          <w:ilvl w:val="0"/>
          <w:numId w:val="3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HelioQuote</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color w:val="auto"/>
        </w:rPr>
        <w:t>: is an automated solar design tool that rapidly generates optimized proposals and executable contracts. Software innovations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automate system design and layout while optimizing homeowner economics enable proposal generation. The average turnaround time for a proposal is only five minutes, which we believe is much faster than our competitors.</w:t>
      </w:r>
    </w:p>
    <w:p>
      <w:pPr>
        <w:spacing w:after="0" w:line="200" w:lineRule="exact"/>
        <w:rPr>
          <w:rFonts w:ascii="Times New Roman" w:cs="Times New Roman" w:eastAsia="Times New Roman" w:hAnsi="Times New Roman"/>
          <w:sz w:val="36"/>
          <w:szCs w:val="36"/>
          <w:color w:val="auto"/>
          <w:vertAlign w:val="superscript"/>
        </w:rPr>
      </w:pPr>
    </w:p>
    <w:p>
      <w:pPr>
        <w:jc w:val="both"/>
        <w:ind w:left="660" w:hanging="328"/>
        <w:spacing w:after="0" w:line="219" w:lineRule="auto"/>
        <w:tabs>
          <w:tab w:leader="none" w:pos="660" w:val="left"/>
        </w:tabs>
        <w:numPr>
          <w:ilvl w:val="0"/>
          <w:numId w:val="3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HelioTrack</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color w:val="auto"/>
        </w:rPr>
        <w:t>: a project management software that streamlines the installation process and coordinates interactions between Complete Solaria,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homeowners, sales partners and build partners. It includes a customer relationship management tool that provides payroll, commissions tracking, and project progression to all partners. The equipment management module coordinates the bill of materials and ordering process and tracks and manages all inventory for a project. The construction module assigns projects, calculates commissions and payments, and control quality. The Complete Solar Project Management tools automate task assignments and times and track progress.</w:t>
      </w:r>
    </w:p>
    <w:p>
      <w:pPr>
        <w:spacing w:after="0" w:line="199" w:lineRule="exact"/>
        <w:rPr>
          <w:rFonts w:ascii="Times New Roman" w:cs="Times New Roman" w:eastAsia="Times New Roman" w:hAnsi="Times New Roman"/>
          <w:sz w:val="36"/>
          <w:szCs w:val="36"/>
          <w:color w:val="auto"/>
          <w:vertAlign w:val="superscript"/>
        </w:rPr>
      </w:pPr>
    </w:p>
    <w:p>
      <w:pPr>
        <w:jc w:val="both"/>
        <w:ind w:left="660" w:hanging="328"/>
        <w:spacing w:after="0" w:line="26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The Sun</w:t>
      </w:r>
      <w:r>
        <w:rPr>
          <w:rFonts w:ascii="Times New Roman" w:cs="Times New Roman" w:eastAsia="Times New Roman" w:hAnsi="Times New Roman"/>
          <w:sz w:val="18"/>
          <w:szCs w:val="18"/>
          <w:color w:val="auto"/>
        </w:rPr>
        <w:t>: is an online customer engagement platform where customers can make referrals and share information on social networks.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Solaria has considered offering services that allow customers to view their energy generation, pay their bills, contact the customer service team, and assess their positive environmental impact.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System Sales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Complete Solaria has made significant investments to create a platform of services and tools that addresses customer origination, system design and installation, and general customer support. Before a sales representative conducts a consultation, homeowners are pre-qualified based on a preliminary evaluation which considers a homeowner’s credit, home ownership, electricity usage and suitability of the roof based on age, condition, shading and pitch. Once a homeowner is pre-qualified, all necessary data is collected and a proposal is generated for the homeowner. If a homeowner is interested in moving forward, a customer contract is automatically generated for electronic execution. This contract then undergoes a final review and verification of credit before it is countersigned.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Once an agreement is fully executed, a service tech performs a site audit at the home to inspect the roof and measure shading. This audit follows a final system design plan and an application for any required building permits. The plans are reviewed to ensure they conform to the executed contract or to process a change order if required. A second production estimate is generated at this time and if the expected energy production exceeds or falls below the original estimate by certain thresholds, the homeowner agreement is modified accordingly. To reduce installation costs and operational risk, there are defined design and installation quality standards designed to ensure that homeowners receive a quality product, regardless of who installs the system.</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After the solar panels are installed, the customer care team follows up with the homeowner with a survey on their experience. If a system requires maintenance, Complete Solaria or a partner or dedicated service-only contractor will visit the customer’s home and perform any necessary repairs or maintenance at no additional cost to the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Enhanced Services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Complete Solaria’s partners are third-party Sales organizations that use the design and proposal services for their residential solar projects. Complete Solaria staffs a sales support desk six days a week to provide live customer support for sales representatives who need a design or proposal for a potential homeowner sale. These customer support teams rapidly produce proposals, answer questions, and offer other forms of support for sales personnel.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main components of a residential solar energy system are the solar modules, inverters, and racking systems. Complete Solaria generally purchases these components for build partners from select distributors, which are then shipped to build partners for installation. There is a running list of approved suppliers in the event any of the sources for modules, inverters or other components become unavailable. If Complete Solaria fails to develop, maintain, and expand relationships with these or other suppliers, the ability to meet anticipated demand for solar energy systems may be adversely affected, or at higher costs or delayed. If one or more of the suppliers ceases or reduces production due to its financial condition, acquisition by a competitor or otherwise, it may be difficult to identify alternate suppliers quickly or to qualify alternative products on commercially reasonable terms, and the ability to satisfy this demand may be adversely affected.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Complete Solaria screens all suppliers and components based on expected cost, reliability, warranty coverage, ease of installation, etc. The declining cost of solar modules and the raw materials necessary to manufacture them have been a key driver in the prices charged for electricity and homeowner adoption of solar energy. If solar module and raw material prices do not continue to decline at the same rate as they have over the past several years, the resulting prices could slow growth and cause financial results to suffer. If Complete Solaria is required to pay higher prices for supplies, accept less favorable terms, or purchase solar modules or other system components from alternative, higher-priced sources, financial results may be adversely affected.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Complete Solaria’s build partners are responsible for and source the other products related to solar energy systems, such as fasteners, wiring and electrical fittings. From time-to-time, Complete Solaria procures these other products related to solar energy systems for its own installation business. Complete Solaria manages inventory through local warehouses and as segregated inventory at build partners.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main components of a residential solar module are the solar cells. Complete Solaria’s solar modules are generally manufactured by third-party select manufacturers and are purchased from distributors.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Complete Solaria screens all suppliers and components based on expected cost, reliability, warranty coverage, ease of installation, and other factors. It typically enters into master contract arrangements with major suppliers that define the general terms and conditions of purchases, including warranties, product specifications, indemnities, delivery and other customary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System Sales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Complete Solaria’s primary competitors are the traditional utilities that supply electricity to potential customers. It competes with these traditional utilities primarily based on price (cents per kilowatt hour), predictability of future prices (by providing pre-determined annual price escalations) and the ease by which homeowners can switch to electricity generated by solar energy systems. Based on these factors, Complete Solaria competes favorably with traditional utilities.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Complete Solaria competes for homeowner customers with other solar sales and installation companies and with solar companies with business models that are similar to Complete Solaria’s. Complete Solaria’s main competitors can be grouped broadly into (a) national, vertically integrated companies with established brands and proprietary consumer financing products; (b) small, local solar contractors who operate with relatively low-fixed overhead expenses but who may lack systems, tools, and sophisticated product offerings; and (c) sales aggregators who engage with third-party sales companies to generate installation contracts. Complete Solaria competes favorably with these companies, with (a) better customer experience and better Sales Partner experience than the national vertically integrated companies; (b) better pricing and broader customer offerings than smaller local solar contractors; and (c) a better build partner experience than sales aggregators.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Complete Solaria also faces competition from purely finance-driven organizations that acquire homeowner customers and then subcontract out the installation of solar energy systems, installation businesses that seek financing from external parties, large construction companies and utilities and sophisticated electrical and roofing companies. At the same time, the open platform provides opportunities for these competitors to become partners, and the open platform offers these new market participants a cost-effective way to enter the market and compelling process, technology and supply chain services over the long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Complete Solaria seeks to protect its intellectual property rights by relying on federal, state and common law rights in the U.S. and other countries, as well as contractual restrictions. It generally enters into confidentiality and invention assignment agreements with employees and contractors, and confidentiality agreements with other third parties, in order to limit access to, and disclosure and use of, confidential information and proprietary technology. In addition to these contractual arrangements, Complete Solaria also relies on a combination of trademarks, trade dress, domain names, copyrights, and trade secrets to help protect the brand and other intellectual property.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Government Regulations and Incentives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Governments have used different public policy mechanisms to accelerate the adoption and use of solar power. Examples of customer-focused financial mechanisms include capital cost rebates, performance-based incentives, feed-in tariffs, tax credits, renewable portfolio standards, net metering, and carbon regulations. Some of these government mandates and economic incentives are scheduled to be reduced or to expire or could be eliminated. Capital cost rebates provide funds to customers based on the cost and size of a customer’s solar power system. Performance-based incentives provide funding to a customer based on the energy produced by their solar power system. Feed-in tariffs pay customers for solar power system generation based on energy produced at a rate generally guaranteed for a period of time. Tax credits reduce a customer’s taxes at the time the taxes are due. Renewable portfolio standards mandate that a certain percentage of electricity delivered to customers comes from eligible renewable energy resources. Net metering allows customers to deliver to the electric grid any excess electricity produced by their on-site solar power systems and to be credited for that excess electricity at or near the full retail price of electricity. Carbon regulations, including cap-and-trade and carbon pricing programs, increase the cost of fossil fuels, which release climate-altering carbon dioxide and other greenhouse gas emissions during combustion.</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mechanisms described above, there are various incentives for homeowners and businesses to adopt solar power in The Inflation Reduction Act of 2022. Moreover, in Europe, the European Commission has mandated that its member states adopt integrated national climate and energy plans to increase their renewable energy targets to be achieved by 2030, which could benefit the deployment of solar. However, the U.S. and European Union, among others, have imposed tariffs or are evaluating the imposition of tariffs on solar panels, solar cells, polysilicon, and other components. These and any other tariffs or similar taxes or duties may offset the incentives described above and increase the price of Complete Solaria’s solar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July 16, 2024, Complete Solaria had 113 employees. Complete Solaria also engages independent contractors and consultants. No employees are covered by collective bargaining agreements. There have not been any work stoppages.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Complete Solaria’s human capital resources objectives include identifying, recruiting, retaining, incentivizing and integrating its existing and new employees. The principal purposes of Complete Solaria’s equity incentive plans are to attract, retain and motivate personnel through the granting of equity-based compensation awards, in order to increase stockholder value and the success of Complete Solaria by motivating such individuals to perform to the best of their abilities and achieve Complete Solaria’s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Complete Solaria’s corporate headquarters and executive offices are located in Fremont, California. Complete Solaria also maintains an office in Lehi, Utah.</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Complete Solaria leases all of the facilities and does not own any real property. Complete Solaria believes that current facilities are adequate to meet ongoing needs. If additional space is required, Complete Solaria believes that it will be able to obtain additional facilities on commercially reasonable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Complete Solaria is from time to time subject to, and is presently involved in, litigation and other legal proceedings that arise in the ordinary course of business.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SolarPark</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16, 2022, SolarCA, LLC (then Solaria Corporation), which is a wholly owned subsidiary of Complete Solaria, Inc., commenced an arbitration against SolarPark Korea Co., LTD (“</w:t>
      </w:r>
      <w:r>
        <w:rPr>
          <w:rFonts w:ascii="Times New Roman" w:cs="Times New Roman" w:eastAsia="Times New Roman" w:hAnsi="Times New Roman"/>
          <w:sz w:val="18"/>
          <w:szCs w:val="18"/>
          <w:b w:val="1"/>
          <w:bCs w:val="1"/>
          <w:color w:val="auto"/>
        </w:rPr>
        <w:t>SolarPark</w:t>
      </w:r>
      <w:r>
        <w:rPr>
          <w:rFonts w:ascii="Times New Roman" w:cs="Times New Roman" w:eastAsia="Times New Roman" w:hAnsi="Times New Roman"/>
          <w:sz w:val="18"/>
          <w:szCs w:val="18"/>
          <w:color w:val="auto"/>
        </w:rPr>
        <w:t>”) in the Singapore International Arbitration Centre (the “</w:t>
      </w:r>
      <w:r>
        <w:rPr>
          <w:rFonts w:ascii="Times New Roman" w:cs="Times New Roman" w:eastAsia="Times New Roman" w:hAnsi="Times New Roman"/>
          <w:sz w:val="18"/>
          <w:szCs w:val="18"/>
          <w:b w:val="1"/>
          <w:bCs w:val="1"/>
          <w:color w:val="auto"/>
        </w:rPr>
        <w:t>SIAC</w:t>
      </w:r>
      <w:r>
        <w:rPr>
          <w:rFonts w:ascii="Times New Roman" w:cs="Times New Roman" w:eastAsia="Times New Roman" w:hAnsi="Times New Roman"/>
          <w:sz w:val="18"/>
          <w:szCs w:val="18"/>
          <w:color w:val="auto"/>
        </w:rPr>
        <w:t>”) alleging breach of contract for approximately $47M in damages. In January 2023, SolarPark demanded approximately $80.0 million during discussions . In February 2023, SolarCA, LLC submitted its statement of claim seeking approximately $26.4 million in damages against Solar Park. In May 2023, SolarPark filed its Statement of Defense and Counterclaim alleging damages that total approximately $160.0 million. On June 26, 2024, the SIAC issued a ruling that withdrew all claims of both parties. The claims were withdrawn without prejudice. The Company believes that SolarPark’s allegations lack merit and intends to vigorously defend all claims that may later be asserted. No liability has been recorded in the Company’s consolidated financial statements as the likelihood of a loss is not probable at this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16, 2023, SolarPark filed a complaint against Solaria and the Company in the United States District Court for the Northern District of California. The complaint alleges a civil conspiracy involving misappropriation of trade secrets, defamation, tortious interference with contractual relations, inducement to breach of contract, and violation of California’s Unfair Competition Law. The complaint alleges that SolarPark has suffered in excess of $220 million in damages. The ultimate outcome of this litigation is currently unknown and could result in a material liability to the Company. However, the Company believes that the allegations lack merit and intends to vigorously defend all claims asserted. In August 2023, the Court granted SolarPark’s preliminary injunction motion relating to SolarPark’s alleged trade secrets allegations. In August 2023, the Court granted the Company’s motion to stay and stayed the litigation pending the outcome of the arbitration in Singapore. No liability has been recorded in the Company’s consolidated financial statements as the likelihood of a loss is not probable at this time.</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Siemens</w:t>
      </w:r>
    </w:p>
    <w:p>
      <w:pPr>
        <w:spacing w:after="0" w:line="22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July 2021, Siemens Government Technologies, Inc. and Siemens Industry, Inc. (collectively, “</w:t>
      </w:r>
      <w:r>
        <w:rPr>
          <w:rFonts w:ascii="Times New Roman" w:cs="Times New Roman" w:eastAsia="Times New Roman" w:hAnsi="Times New Roman"/>
          <w:sz w:val="18"/>
          <w:szCs w:val="18"/>
          <w:b w:val="1"/>
          <w:bCs w:val="1"/>
          <w:color w:val="auto"/>
        </w:rPr>
        <w:t>Siemens</w:t>
      </w:r>
      <w:r>
        <w:rPr>
          <w:rFonts w:ascii="Times New Roman" w:cs="Times New Roman" w:eastAsia="Times New Roman" w:hAnsi="Times New Roman"/>
          <w:sz w:val="18"/>
          <w:szCs w:val="18"/>
          <w:color w:val="auto"/>
        </w:rPr>
        <w:t>”) filed a lawsuit against Solaria Corporation and SolarCA, LLC, which are wholly-owned subsidiaries of Complete Solaria, Inc. (collectively,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in Fairfax Circuit Court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xml:space="preserve">”) in Fairfax, Virginia in the case captioned </w:t>
      </w:r>
      <w:r>
        <w:rPr>
          <w:rFonts w:ascii="Times New Roman" w:cs="Times New Roman" w:eastAsia="Times New Roman" w:hAnsi="Times New Roman"/>
          <w:sz w:val="18"/>
          <w:szCs w:val="18"/>
          <w:i w:val="1"/>
          <w:iCs w:val="1"/>
          <w:color w:val="auto"/>
        </w:rPr>
        <w:t>Siemens Government Technologies, Inc. and Siemens Industry Inc. v. Solaria Corporation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SOLARCA, LLC </w:t>
      </w:r>
      <w:r>
        <w:rPr>
          <w:rFonts w:ascii="Times New Roman" w:cs="Times New Roman" w:eastAsia="Times New Roman" w:hAnsi="Times New Roman"/>
          <w:sz w:val="18"/>
          <w:szCs w:val="18"/>
          <w:color w:val="auto"/>
        </w:rPr>
        <w:t>(Case No. CL-2021-10556). In such lawsuit, Siemens alleged that the Subsidiaries breached express and implied warranties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order that Siemens placed with the Subsidiaries for a solar module system. Siemens claimed damages of approximately $6.9 million, inclusive of amounts of the Subsidiaries’ indemnity obligations to Siemens, plus attorneys’ fees.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22, 2024, the Court issued an order against the Subsidiaries which awarded Siemens approximately $6.9 million, inclusive of the Subsidiaries’ indemnity obligations to Siemens, plus legal fees, the amount of which will be determined at a later hearing. On March 15, 2024, Siemens filed a motion seeking to recover $2.67 million for attorneys’ fees, expenses, and pre-judgment interest, and the Court conducted a hearing on Siemens’ motion in late May 2024. On June 17, 2024, the Court entered a final order, which awards Siemens a total of $2,007,024.63 in attorneys’ fees and costs. On July 16, 2024, the Subsidiaries filed its notice of appeal with the Virginia Court of Appeals to appeal such judgment. The Company has recorded $6.9 million as a legal loss related to this litigation, excluding the $2.67 million for attorneys’ fees, expenses, and pre-judgment interest, in accrued expenses and other current liabilities on its unaudited condensed consolidated balance sheets as of March 31, 2024 and December 31, 2023.</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Edelman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12, 2024, the Company was named as a defendant in a class action complaint filed by Eliezer Edelman in the Supreme Court of New York, County of New York, alleging, among other things, breach of contract, in connection with that certain Warrant Agreement, dated February 25, 2021, by and between the Company and Continental Stock Transfer &amp; Trust Company, issued by FACT in connection with the Business Combination Agreement with the Company. The complaint alleges damages of at least $5M for the class and alleges damages of $5.221 per warrant. The complaint also seeks a declaratory judgment that the warrant price be reduced $6.279. The Company believes that the allegations lack merit and intends to vigorously defend all claims that may later be asserted. No liability has been recorded in the Company’s consolidated financial statements as the likelihood of a loss is not probable at this time.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Complete Solaria is not presently a party to any other legal proceedings that in the opinion of its management, if determined adversely to Complete Solaria, would have a material adverse effect on its business, financial condition, operating results, or cash flows. Regardless of the outcome, litigation can have an adverse impact on Complete Solaria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Corporate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was originally known as FACT.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the Company changed its name from Freedom Acquisition I Corp. to Complete Solaria, Inc.</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principal executive offices are located at 45700 Northport Loop E, Fremont, CA 94538, and the telephone number is (510) 270-2507.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Company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files or furnishes periodic reports and amendments thereto, including its Annual Reports on Form 10-K, its Quarterly Reports on Form 10-Q and Current Reports on Form 8-K, proxy statements and other information with the SEC. In addition, the SEC maintains a website (www.sec.gov) that contains reports, proxy and information statements, and other information regarding issuers that file electronically. Complete Solaria’s internet address is https://www.completesolaria.com. The Company makes available, free of charge, its Annual Report on Form 10-K, quarterly reports on Form 10-Q, current reports on Form 8-K, and all amendments to those reports as soon as reasonably practicable after such reports have been filed with or furnished to the SEC through its internet website.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432"/>
        </w:trPr>
        <w:tc>
          <w:tcPr>
            <w:tcW w:w="56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Our directors and executive officers and their ages as of July 1, 2024</w:t>
            </w:r>
          </w:p>
        </w:tc>
        <w:tc>
          <w:tcPr>
            <w:tcW w:w="5620" w:type="dxa"/>
            <w:vAlign w:val="bottom"/>
          </w:tcPr>
          <w:p>
            <w:pPr>
              <w:spacing w:after="0"/>
              <w:rPr>
                <w:sz w:val="24"/>
                <w:szCs w:val="24"/>
                <w:color w:val="auto"/>
              </w:rPr>
            </w:pPr>
          </w:p>
        </w:tc>
      </w:tr>
      <w:tr>
        <w:trPr>
          <w:trHeight w:val="45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2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Thurman J. Rodgers(3)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Foley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Wuebbels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Operations Officer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Lundell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Devin Whatley(2)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Tidjane Thiam(1)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Gishen(1)(3)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Pasek(1)(2)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Antonio R. Alvarez(2)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J. Anderson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Thurman J. Rodgers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Thurman J. (T.J.) Rodgers has served as the Chief Executive Officer of Complete Solaria since April 2024 and as a member of the Complete Solaria Board since November 2022 and as Executive Chairman since June 2023. Mr. Rodgers founded Cypress Semiconductor in 1982 and served as Cypress’ Chief Executive Officer from 1982 to 2016. Mr. Rodgers currently serves on the boards of other energy-related companies: including Enovix, Enphase Energy Inc. (energy and storage technologies), and FTC Solar (single-axis tracking for solar). From 2004 to 2012, he served as a member of Dartmouth’s board of trustees. Mr. Rodgers was a Sloan scholar at Dartmouth, where he graduated in 1970 as the Salutatorian with a double major in Physics and Chemistry. He won the Townsend Prize and the Haseltine Chemistry-Physics Prize as the top physics and chemistry student in his class. Mr. Rodgers holds a master’s degree and a Ph.D. in Electrical Engineering from Stanford University, where he attended on a Hertz fellowship.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Foley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Daniel Foley has served as the Chief Financial Officer of Complete Solaria since June 2024. From June 2021 to December 2023, Mr. Foley served as the Chief Financial Officer for Common Citizen. From April 2021 to June 2021, Mr. Foley served as the Senior Vice President and Treasurer for TerrAscend. From January 2018 to April 2021, Mr. Foley served as the Vice President of Corporate Finance, Treasury &amp; Investor Relations at Curaleaf. Prior to that, Mr. Foley held senior positions in Corporate Finance and Investor Relations for Station Casinos and MGM MIRAGE. Previous experience includes working as an Investment Analyst at Wall Street Associates and as Vice President of Finance at New Cotai Holdings. Foley began his career as a Senior Associate in Gaming, Lodging &amp; Leisure Equity Research at Bear Stearns. Mr. Foley brings over 25 years of capital markets and finance experience to Complete Solaria, as well as a track record of driving strong financial results, instilling financial and operational discipline, and demonstrating inspirational leadership. Mr. Foley holds an M.B.A. from the University of Southern California and a Bachelor of Science in economics from the University of Utah.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Brian Wuebbels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Brian Wuebbels has served as the Chief Operations Officer of Complete Solaria since April 2024, and previously served as the Chief Financial Officer of Complete Solaria from February 2023 to April 2024. Mr. Wuebbels will resign as the Chief Operating Officer of Complete Solaria effective as of August 16, 2024. From 2021 to 2022, Mr. Wuebbels served as the President of Control &amp; Elevator at the Nidec Motor Corporation where he led a global team of executives in Sales, Marketing, Engineering and Operations. From 2019 to 2021, Mr. Wuebbels served as Chief Financial Officer and Head of Operations for Motion &amp; Control. From 2017 to 2018, Mr. Wuebbels served as Chief Financial Officer and Head of Operations for GCL, a solar power company. From 2010 to 2016, Mr. Wuebbels served as the Executive Vice President, Chief Financial Officer and Chief Administrative Officer at SunEdison. From 2003 to 2007, Mr. Wuebbels served as a finance executive at Honeywell. From 1993 to 2003, Mr. Wuebbels served in various roles at General Electric. Mr. Wuebbels holds an M.B.A. from the University of Southern California and a Bachelor of Science in mechanical engineering from University of Illinois Urbana-Champaign.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Chris Lundell</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Christopher Lundell has served as a member of the Complete Solaria Board since November 2023. Mr. Lundell served as the Chief Executive Officer of Complete Solaria from December 2023 to April 2024. Mr. Lundell is the Founder of CMO Grow, a marketing consultancy firm. Prior to that, he was the CMO at Vivint Solar, the President of the Americas at NEXThink, and CMO and COO at Domo. He holds an M.B.A. from Brigham Young University.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Devin Whatley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Devin Whatley has served as a member of the Complete Solaria Board since November 2022. Since 2010, Mr. Whatley has served as the Managing Partner at the Ecosystem Integrity Fund. Mr. Whatley serves as a member of the board of directors of several private companies focused on renewable energy. Mr. Whatley was a CFA Charterholder and holds a B.A. in East Asian Studies with a Business Emphasis from the University of California, Los Angeles and an M.B.A. from the Wharton School at the University of Pennsylvania.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Tidjane Thiam</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Mr. Thiam served as a member of the FACT Board and as Executive Chairman of FACT since inception until the Business Combination in July 2023. In 2021, Mr. Thiam was appointed Chairman of Rwanda Finance Limited. He also serves as a Director and Chair of the Audit Committee of Kering S.A., the French luxury group. Mr. Thiam is also a Special Envoy on Covid 19 for the African Union. From 2015 to 2020, Mr. Thiam was Chief Executive Officer of Credit Suisse Group AG. From 2014 to 2019, Mr. Thiam was a Director of 21st Century Fox and served on its Nominating and Corporate Governance Committee. Mr. Thiam previously served at Prudential plc, a global insurance company based on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 Gishen</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Mr. Gishen served as FACT’s Chief Executive Officer from February until the Business Combination in July 2023, and served as one of FACT’s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Ronald Pasek</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Ronald Pasek has served as a member of the Complete Solaria Board since February 2023. Since 2015, Mr. Pasek has served as the chairman of the board of directors of Spectra7 Microsystems Inc., a Canadian publicly-traded consumer connectivity company. From 2016 to 2020, Mr. Pasek was Chief Financial Officer of NetApp. From 2009 until its acquisition by Intel in December 2015, Mr. Pasek served as Senior Vice President, Finance and Chief Financial Officer of Altera Corporation, a worldwide provider of programmable logic devices. Mr. Pasek was previously employed by Sun Microsystems, in a variety of roles including Vice President, Corporate Treasurer and Vice President of worldwide field finance, worldwide manufacturing and U.S. field finance. Mr. Pasek holds a B.S. degree from San Jose State University and an M.B.A. degree from Santa Clara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Antonio R. Alvarez</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Antonio R. Alvarez has served as a member of the Complete Solaria Board since November 2022. Mr. Alvarez served as the President of Complete Solaria since the merger of Complete Solar and Solaria in November 2022 until March 2023. From 2020 to 2022, Mr. Alvarez served as Solaria’s Chief Executive Officer. Prior to 2020, Mr. Alvarez served in various executive roles at Altierre Corporation, Aptina Imaging, Advanced Analogic Technologies, Leadis Technology and Cypress Semiconductor. Currently, Mr. Alvarez serves on the board of directors of NexGen Power Systems and previously served as a board member of SunEdison, SunEdison Semiconductor, ChipMOS Technology, and Validity Sensors. Mr. Alvarez holds a B.S. and an M.S. in Electrical Engineering from the Georgia Institute of Technology.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William J. Anderson</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William J. Anderson served as the Chief Executive Officer of Complete Solaria from November 2022 to December 2023. From 2010 to 2022, he served as the Chief Executive Officer of Complete Solar. From 2007 to 2009, Mr. Anderson served as CEO of Risk Allocation Systems, Inc., a lending platform connecting automobile dealerships and credit unions in order to offer point of sale automobile loans to car buyers. From 2009 to 2010, Mr. Anderson served as Partner at SVE Partners, a boutique consulting firm serving technology start-ups and venture capital investors. Mr. Anderson holds a B.S. in Managerial Sciences from the Massachusetts Institute of Technology and an M.B.A. from the Stanford University Graduate School of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One of the key functions of the Complete Solaria Board is the informed oversight of Complete Solaria’s risk management process. The Complete Solaria Board does not anticipate having a standing risk management committee, but rather anticipates administering this oversight function directly through the Complete Solaria Board as a whole, as well as through various standing committees of the Complete Solaria Board that address risks inherent in their respective areas of oversight. In particular, the Complete Solaria Board is responsible for monitoring and assessing strategic risk exposure and Complete Solaria’s audit committee is responsible for considering and discussing Complete Solaria’s major financial risk exposures and the steps its management will take to monitor and control such exposures, including guidelines and policies to govern the process by which risk assessment and management is undertaken. The audit committee monitors compliance with legal and regulatory requirements. Complete Solaria’s compensation committee assesses and monitors whether Complete Solaria’s compensation plans, policies and programs comply with applicable legal and regulatory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the Closing of the Business Combination, our Board formed an audit committee, a compensation committee, and a nominating and corporate governance committee. The Complete Solaria Board may from time to time establish other committees.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Complete Solaria’s Chief Executive Officer and other executive officers will regularly report to the non-executive directors and each standing committee to ensure effective and efficient oversight of its activities and to assist in proper risk management and the ongoing evaluation of management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consists of Ronald Pasek, who serves as the chairperson, Adam Gishen and Tidjane Thiam. Each member of the audit committee qualifies as an independent director under the Nasdaq corporate governance standards and the independence requirements of Rule 10A-3 under the Exchange Act. Ronald Pasek qualifies as an “audit committee financial expert” as such term is defined in Item 407(d)(5) of Regulation S-K and possesses the requisite financial expertise required under the applicable requirements of Nasdaq.</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responsibilities of the audit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of directors oversee corporate accounting and financial reporting processes;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and qualifications of a qualified firm to serve as the independent registered public accounting firm to audit Complete Solaria’s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Complete Solaria’s interim and year-end operating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7" w:name="page78"/>
    <w:bookmarkEnd w:id="77"/>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financial risk assessment and financial risk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Complete Solaria’s internal quality-control procedures, any material issues with such procedures, and any steps taken to deal with such issues when required by applicable law;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Complete Solaria Board adopted a written charter of the audit committee which is available on Complete Solaria’s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Compensation Committee consists of Antonio R. Alvarez, who serves as the chairperson, Ronald Pasek and Devin Whatley. Each committee member a “non-employee director” as defined in Rule 16b-3 promulgated under the Exchange Act. Although Mr. Alvarez is not an independent director, Section 5605(d)(2)(B) of the Nasdaq listing standards nonetheless permits the appointment of a non-independent director to the compensation committee if the board of directors, under exceptional and limited circumstances, determines that the non-independent director’s membership is required by the best interests of the company and its stockholders. Based on Mr. Alvarez’s extensive experience with Complete Solaria and familiarity with the industry, the Complete Solaria Board concluded that Mr. Alvarez’s appointment to, and membership on, the compensation committee was in the best interests of Complete Solaria and its stockholders. Further, a majority of the members of the compensation committee are independent directors. Mr. Alvarez is permitted to serve on the Compensation Committee for a maximum of two years.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responsibilities of the compensation committee are:</w:t>
      </w:r>
    </w:p>
    <w:p>
      <w:pPr>
        <w:spacing w:after="0" w:line="225"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Complete Solaria Board approve, the compensation of Complete Solaria’s executive officers and senior management;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Complete Solaria Board the compensation of Complete Solaria’s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Complete Solaria Board approve, the terms of compensatory arrangements with Complete Solaria’s executive;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Complete Solaria’s stock and equity incentive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amending and terminating, or recommending that the Complete Solaria Board approve, amend or terminate, incentive compensation and equity plans, severance agreements, change-of-control protections and any other compensatory arrangements for Complete Solaria’s executive officers and other senior management, as appropriate;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Complete Solaria’s employees;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Complete Solaria’s overall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Complete Solaria Board adopted a written charter for the compensation committee which is available on Complete Solaria’s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Thurman J. Rodgers, who serves as the chairperson, and Adam Gishen. The responsibilities of the nominating and corporate governance committee are:</w:t>
      </w:r>
    </w:p>
    <w:p>
      <w:pPr>
        <w:spacing w:after="0" w:line="162" w:lineRule="exact"/>
        <w:rPr>
          <w:sz w:val="20"/>
          <w:szCs w:val="20"/>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the Complete Solaria Board approve, nominees for election to the Complete Solaria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Complete Solaria Board and of individual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Complete Solaria’s corporate governance practices and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Complete Solaria Board regarding corporate governance guidelines and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Ethical Business Conduct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Complete Solaria has adopted a code of ethical business conduct that applies to all of its directors, officers and employees, including its principal executive officer, principal financial officer and principal accounting officer, which was by Complete Solaria at the closing and is available on Complete Solaria’s website. Complete Solaria’s code of business conduct is a “code of ethics,” as defined in Item 406(b) of Regulation S-K. Please note that Complete Solaria’s Internet website address is provided as an inactive textual reference only. Complete Solaria will make any legally required disclosures regarding amendments to, or waivers of, provisions of its code of ethics on its internet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member of the compensation committee was at any time during 2023, or at any other time, one of Complete Solaria’s officers or employees, except Mr. Alvarez who served as Complete Solaria’s president until March 2023. None of Complete Solaria’s executive officers has served as a director or member of a compensation committee (or other committee serving an equivalent function) of any entity, one of whose executive officers served as a director of our board of directors or member of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Nasdaq rules generally require that independent directors must comprise a majority of a listed company’s board of directors. Based upon information requested from and provided by each proposed director concerning his or her background, employment and affiliations, including family relationships, we have determined that Messrs. Rodgers, Whatley, Thiam, Gishen and Pasek, representing a majority of Complete Solaria’s proposed directors, are “independent” as that term is defined under the applicable rules and regulations of the SEC and the listing requirements and rules of Nasdaq.</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Prior to the closing of the Business Combination, FACT did not enter into any employment agreements with its executive officers and did not make any agreements to provide benefits upon termination of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FACT executive officers or directors received any cash compensation for services rendered to FACT. FACT paid its sponsor or an affiliate thereof up to $10,000 per month for office space, utilities, secretarial and administrative support services provided to members of our management team and other expenses and obligations of our sponsor. Executive officers and directors, or any of their respective affiliates were reimbursed for any out-of-pocket expenses incurred in connection with activities on FACT’s behalf such as identifying potential target businesses and performing due diligence on suitable business combinations.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 Solaria</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Complete Solaria has opted to comply with the executive compensation disclosure rules applicable to emerging growth companies, as FACT is an emerging growth company. The scaled down disclosure rules are those applicable to “smaller reporting companies,” as such term is defined in the rules promulgated under the Securities Act, which require compensation disclosure for Complete Solaria’s principal executive officer and its two most highly compensated executive officers other than the principal executive officer whose total compensation for 2023 exceeded $100,000 and who were serving as executive officers as of December 31, 2023. Complete Solaria refers to these individuals as “named executive officers.” For 2023, Complete Solaria’s named executive officers were:</w:t>
      </w:r>
    </w:p>
    <w:p>
      <w:pPr>
        <w:spacing w:after="0" w:line="18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Lundell, Complete Solaria’s Former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Wuebbels, Complete Solaria’s Former Chief Financial Officer and current Chief Operations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J. Anderson, Complete Solaria’s former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Antonio R. Alvarez, Complete Solaria’s former President;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Vikas Desai, Complete Solaria’s former President &amp; General Manager, Business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Taner Ozcelik, Complete Solaria’s former Chief Executive Officer.</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previously reported on Complete Solaria’s Current Report on Form 8-K filed with the SEC on November 16, 2023, Taner Ozcelik was appointed as the Company’s Chief Executive Officer, effective November 20, 2023. However, as previously reported on Complete Solaria’s Current Report on Form 8-K filed with the SEC on November 28, 2023, Mr. Ozcelik and the Company agreed on November 21, 2023 that he would not continue as the Company’s Chief Executive Officer due to personal reasons. Mr. Ozcelik did not receive any compensation as Chief Executive Officer.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Complete Solaria believes its compensation program should promote the success of the company and align executive incentives with the long-term interests of its stockholders. Complete Solaria’s current compensation programs reflect its startup origins in that they consist primarily of salary and stock option awards. As Complete Solaria’s needs evolve, Complete Solaria intends to continue to evaluate its philosophy and compensation programs as circumstances require.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Complete Solaria’s named executive officers for services performed in the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Awards(1)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9"/>
        </w:trPr>
        <w:tc>
          <w:tcPr>
            <w:tcW w:w="3160" w:type="dxa"/>
            <w:vAlign w:val="bottom"/>
            <w:tcBorders>
              <w:top w:val="single" w:sz="8" w:color="auto"/>
            </w:tcBorders>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Chris Lundell</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30"/>
              <w:spacing w:after="0" w:line="200" w:lineRule="exact"/>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450,000</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960"/>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4,560,000</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920"/>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5,010,000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73"/>
        </w:trPr>
        <w:tc>
          <w:tcPr>
            <w:tcW w:w="3280" w:type="dxa"/>
            <w:vAlign w:val="bottom"/>
            <w:gridSpan w:val="2"/>
            <w:shd w:val="clear" w:color="auto" w:fill="CCEEFF"/>
          </w:tcPr>
          <w:p>
            <w:pPr>
              <w:ind w:left="180"/>
              <w:spacing w:after="0" w:line="273" w:lineRule="exact"/>
              <w:rPr>
                <w:sz w:val="20"/>
                <w:szCs w:val="20"/>
                <w:color w:val="auto"/>
              </w:rPr>
            </w:pPr>
            <w:r>
              <w:rPr>
                <w:rFonts w:ascii="Times New Roman" w:cs="Times New Roman" w:eastAsia="Times New Roman" w:hAnsi="Times New Roman"/>
                <w:sz w:val="18"/>
                <w:szCs w:val="18"/>
                <w:i w:val="1"/>
                <w:iCs w:val="1"/>
                <w:color w:val="auto"/>
              </w:rPr>
              <w:t>Former Chief Executive Officer</w:t>
            </w:r>
            <w:r>
              <w:rPr>
                <w:rFonts w:ascii="Times New Roman" w:cs="Times New Roman" w:eastAsia="Times New Roman" w:hAnsi="Times New Roman"/>
                <w:sz w:val="29"/>
                <w:szCs w:val="29"/>
                <w:i w:val="1"/>
                <w:iCs w:val="1"/>
                <w:color w:val="auto"/>
                <w:vertAlign w:val="superscript"/>
              </w:rPr>
              <w:t>(2)</w:t>
            </w: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196"/>
        </w:trPr>
        <w:tc>
          <w:tcPr>
            <w:tcW w:w="32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Brian Wuebbels</w:t>
            </w:r>
          </w:p>
        </w:tc>
        <w:tc>
          <w:tcPr>
            <w:tcW w:w="1120" w:type="dxa"/>
            <w:vAlign w:val="bottom"/>
          </w:tcPr>
          <w:p>
            <w:pPr>
              <w:jc w:val="right"/>
              <w:ind w:right="23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7"/>
                <w:szCs w:val="17"/>
                <w:color w:val="auto"/>
              </w:rPr>
            </w:pPr>
          </w:p>
        </w:tc>
        <w:tc>
          <w:tcPr>
            <w:tcW w:w="20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330,000</w:t>
            </w:r>
          </w:p>
        </w:tc>
        <w:tc>
          <w:tcPr>
            <w:tcW w:w="1360" w:type="dxa"/>
            <w:vAlign w:val="bottom"/>
            <w:gridSpan w:val="2"/>
          </w:tcPr>
          <w:p>
            <w:pPr>
              <w:ind w:left="9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rPr>
              <w:t>1,966,514</w:t>
            </w:r>
          </w:p>
        </w:tc>
        <w:tc>
          <w:tcPr>
            <w:tcW w:w="220" w:type="dxa"/>
            <w:vAlign w:val="bottom"/>
          </w:tcPr>
          <w:p>
            <w:pPr>
              <w:spacing w:after="0"/>
              <w:rPr>
                <w:sz w:val="17"/>
                <w:szCs w:val="17"/>
                <w:color w:val="auto"/>
              </w:rPr>
            </w:pPr>
          </w:p>
        </w:tc>
        <w:tc>
          <w:tcPr>
            <w:tcW w:w="1320" w:type="dxa"/>
            <w:vAlign w:val="bottom"/>
            <w:gridSpan w:val="2"/>
          </w:tcPr>
          <w:p>
            <w:pPr>
              <w:ind w:left="9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2,296,514</w:t>
            </w:r>
          </w:p>
        </w:tc>
      </w:tr>
      <w:tr>
        <w:trPr>
          <w:trHeight w:val="220"/>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Financial Officer and</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current Chief Operation Officer</w:t>
            </w:r>
            <w:r>
              <w:rPr>
                <w:rFonts w:ascii="Times New Roman" w:cs="Times New Roman" w:eastAsia="Times New Roman" w:hAnsi="Times New Roman"/>
                <w:sz w:val="29"/>
                <w:szCs w:val="29"/>
                <w:i w:val="1"/>
                <w:iCs w:val="1"/>
                <w:color w:val="auto"/>
                <w:vertAlign w:val="superscript"/>
              </w:rPr>
              <w:t>(3)</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1"/>
                <w:szCs w:val="21"/>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20" w:type="dxa"/>
            <w:vAlign w:val="bottom"/>
          </w:tcPr>
          <w:p>
            <w:pPr>
              <w:spacing w:after="0"/>
              <w:rPr>
                <w:sz w:val="21"/>
                <w:szCs w:val="21"/>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Awards(1)</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William J. Anderson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31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i w:val="1"/>
                <w:iCs w:val="1"/>
                <w:color w:val="auto"/>
              </w:rPr>
              <w:t>Former Chief Executive Officer</w:t>
            </w:r>
            <w:r>
              <w:rPr>
                <w:rFonts w:ascii="Times New Roman" w:cs="Times New Roman" w:eastAsia="Times New Roman" w:hAnsi="Times New Roman"/>
                <w:sz w:val="29"/>
                <w:szCs w:val="29"/>
                <w:i w:val="1"/>
                <w:iCs w:val="1"/>
                <w:color w:val="auto"/>
                <w:vertAlign w:val="superscript"/>
              </w:rPr>
              <w:t>(4)</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380,000</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1,501,071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1,881,071</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Antonio R. Alvarez</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331,000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331,000</w:t>
            </w:r>
          </w:p>
        </w:tc>
      </w:tr>
      <w:tr>
        <w:trPr>
          <w:trHeight w:val="257"/>
        </w:trPr>
        <w:tc>
          <w:tcPr>
            <w:tcW w:w="31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i w:val="1"/>
                <w:iCs w:val="1"/>
                <w:color w:val="auto"/>
              </w:rPr>
              <w:t>Former President</w:t>
            </w:r>
            <w:r>
              <w:rPr>
                <w:rFonts w:ascii="Times New Roman" w:cs="Times New Roman" w:eastAsia="Times New Roman" w:hAnsi="Times New Roman"/>
                <w:sz w:val="29"/>
                <w:szCs w:val="29"/>
                <w:i w:val="1"/>
                <w:iCs w:val="1"/>
                <w:color w:val="auto"/>
                <w:vertAlign w:val="superscript"/>
              </w:rPr>
              <w:t>(5)</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360,000</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360,000</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Vikas Desai</w:t>
            </w:r>
            <w:r>
              <w:rPr>
                <w:rFonts w:ascii="Times New Roman" w:cs="Times New Roman" w:eastAsia="Times New Roman" w:hAnsi="Times New Roman"/>
                <w:sz w:val="29"/>
                <w:szCs w:val="29"/>
                <w:i w:val="1"/>
                <w:iCs w:val="1"/>
                <w:color w:val="auto"/>
                <w:vertAlign w:val="superscript"/>
              </w:rPr>
              <w:t>(6)</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305,000</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423,055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728,055</w:t>
            </w:r>
          </w:p>
        </w:tc>
      </w:tr>
      <w:tr>
        <w:trPr>
          <w:trHeight w:val="196"/>
        </w:trPr>
        <w:tc>
          <w:tcPr>
            <w:tcW w:w="316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Former President &amp; General Manager,</w:t>
            </w:r>
          </w:p>
        </w:tc>
        <w:tc>
          <w:tcPr>
            <w:tcW w:w="1240" w:type="dxa"/>
            <w:vAlign w:val="bottom"/>
            <w:gridSpan w:val="2"/>
            <w:shd w:val="clear" w:color="auto" w:fill="CCEEFF"/>
          </w:tcPr>
          <w:p>
            <w:pPr>
              <w:jc w:val="right"/>
              <w:ind w:right="23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360,000</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1,250,892</w:t>
            </w:r>
          </w:p>
        </w:tc>
        <w:tc>
          <w:tcPr>
            <w:tcW w:w="1320" w:type="dxa"/>
            <w:vAlign w:val="bottom"/>
            <w:gridSpan w:val="2"/>
            <w:shd w:val="clear" w:color="auto" w:fill="CCEEFF"/>
          </w:tcPr>
          <w:p>
            <w:pPr>
              <w:ind w:left="9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1,610,892</w:t>
            </w:r>
          </w:p>
        </w:tc>
      </w:tr>
      <w:tr>
        <w:trPr>
          <w:trHeight w:val="23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Business Units</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3"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reported in this column do not reflect the amounts actually received by Complete Solaria’s named executive officers. Instead, these amounts reflect the aggregate grant-date fair value of awards granted to each named executive officer, computed in accordance with the FASB ASC Topic 718,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See Note 16 to Complete Solar’s audited financial statements and Note 13 to Solaria’s audited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elsewhere in this prospectus for discussion of assumptions made in determining the grant date fair value of its equity awards. As required by SEC rules, the amounts shown exclude the impact of estimated forfeitures related to service-based vesting conditions. The shares underlying these options vest in 48 equal monthly installments, subject to the named executive officer’s continued service at each vesting date.</w:t>
      </w:r>
    </w:p>
    <w:p>
      <w:pPr>
        <w:spacing w:after="0" w:line="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Lundell stepped down as the Chief Executive Officer in April 2024.</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Wuebbels stepped down as the Chief Financial Officer in April 2024. Mr. Wuebbels will step down as Chief Operating Officer, effective as of August 16, 2024.</w:t>
      </w: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Anderson stepped down as the Chief Executive Officer in December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Alvarez left the company in March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Desai left the Company in October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2023</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outstanding option awards held by each of the named executive officers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Commencement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(1)</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Date</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Anderson</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10/18/2016</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10/18/2016</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579,564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10/17/2026</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6/12/2020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6/1/2020</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370,276</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6/11/2030</w:t>
            </w: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6/12/2020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6/1/2020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16,009</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6/11/2030</w:t>
            </w:r>
          </w:p>
        </w:tc>
      </w:tr>
      <w:tr>
        <w:trPr>
          <w:trHeight w:val="15"/>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
                <w:szCs w:val="1"/>
                <w:color w:val="auto"/>
              </w:rPr>
              <w:t>9/9/2022</w:t>
            </w:r>
          </w:p>
        </w:tc>
        <w:tc>
          <w:tcPr>
            <w:tcW w:w="120" w:type="dxa"/>
            <w:vAlign w:val="bottom"/>
          </w:tcPr>
          <w:p>
            <w:pPr>
              <w:spacing w:after="0" w:line="20" w:lineRule="exact"/>
              <w:rPr>
                <w:sz w:val="1"/>
                <w:szCs w:val="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
                <w:szCs w:val="1"/>
                <w:color w:val="auto"/>
              </w:rPr>
              <w:t>3/1/2022</w:t>
            </w:r>
          </w:p>
        </w:tc>
        <w:tc>
          <w:tcPr>
            <w:tcW w:w="120" w:type="dxa"/>
            <w:vAlign w:val="bottom"/>
          </w:tcPr>
          <w:p>
            <w:pPr>
              <w:spacing w:after="0" w:line="20" w:lineRule="exact"/>
              <w:rPr>
                <w:sz w:val="1"/>
                <w:szCs w:val="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56,355</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
                <w:szCs w:val="1"/>
                <w:color w:val="auto"/>
              </w:rPr>
              <w:t>40,239</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
                <w:szCs w:val="1"/>
                <w:color w:val="auto"/>
              </w:rPr>
              <w:t>9/8/2032</w:t>
            </w:r>
          </w:p>
        </w:tc>
      </w:tr>
      <w:tr>
        <w:trPr>
          <w:trHeight w:val="19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3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6/19/2023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6/19/2023</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73,269</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554,592</w:t>
            </w:r>
            <w:r>
              <w:rPr>
                <w:rFonts w:ascii="Times New Roman" w:cs="Times New Roman" w:eastAsia="Times New Roman" w:hAnsi="Times New Roman"/>
                <w:sz w:val="14"/>
                <w:szCs w:val="14"/>
                <w:color w:val="auto"/>
              </w:rPr>
              <w:t>(3)</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6/18/2033</w:t>
            </w:r>
          </w:p>
        </w:tc>
      </w:tr>
      <w:tr>
        <w:trPr>
          <w:trHeight w:val="15"/>
        </w:trPr>
        <w:tc>
          <w:tcPr>
            <w:tcW w:w="3280" w:type="dxa"/>
            <w:vAlign w:val="bottom"/>
            <w:gridSpan w:val="2"/>
          </w:tcPr>
          <w:p>
            <w:pPr>
              <w:spacing w:after="0"/>
              <w:rPr>
                <w:sz w:val="20"/>
                <w:szCs w:val="20"/>
                <w:color w:val="auto"/>
              </w:rPr>
            </w:pPr>
            <w:r>
              <w:rPr>
                <w:rFonts w:ascii="Times New Roman" w:cs="Times New Roman" w:eastAsia="Times New Roman" w:hAnsi="Times New Roman"/>
                <w:sz w:val="1"/>
                <w:szCs w:val="1"/>
                <w:color w:val="auto"/>
              </w:rPr>
              <w:t>Antonio R. Alvarez</w:t>
            </w:r>
          </w:p>
        </w:tc>
        <w:tc>
          <w:tcPr>
            <w:tcW w:w="1220" w:type="dxa"/>
            <w:vAlign w:val="bottom"/>
          </w:tcPr>
          <w:p>
            <w:pPr>
              <w:jc w:val="center"/>
              <w:spacing w:after="0"/>
              <w:rPr>
                <w:sz w:val="20"/>
                <w:szCs w:val="20"/>
                <w:color w:val="auto"/>
              </w:rPr>
            </w:pPr>
            <w:r>
              <w:rPr>
                <w:rFonts w:ascii="Times New Roman" w:cs="Times New Roman" w:eastAsia="Times New Roman" w:hAnsi="Times New Roman"/>
                <w:sz w:val="1"/>
                <w:szCs w:val="1"/>
                <w:color w:val="auto"/>
              </w:rPr>
              <w:t>7/30/2020</w:t>
            </w:r>
          </w:p>
        </w:tc>
        <w:tc>
          <w:tcPr>
            <w:tcW w:w="120" w:type="dxa"/>
            <w:vAlign w:val="bottom"/>
          </w:tcPr>
          <w:p>
            <w:pPr>
              <w:spacing w:after="0" w:line="20" w:lineRule="exact"/>
              <w:rPr>
                <w:sz w:val="1"/>
                <w:szCs w:val="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
                <w:szCs w:val="1"/>
                <w:color w:val="auto"/>
              </w:rPr>
              <w:t>5/11/2020</w:t>
            </w:r>
          </w:p>
        </w:tc>
        <w:tc>
          <w:tcPr>
            <w:tcW w:w="120" w:type="dxa"/>
            <w:vAlign w:val="bottom"/>
          </w:tcPr>
          <w:p>
            <w:pPr>
              <w:spacing w:after="0" w:line="20" w:lineRule="exact"/>
              <w:rPr>
                <w:sz w:val="1"/>
                <w:szCs w:val="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43,651</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
                <w:szCs w:val="1"/>
                <w:color w:val="auto"/>
              </w:rPr>
              <w:t>17,248</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8.22</w:t>
            </w:r>
          </w:p>
        </w:tc>
        <w:tc>
          <w:tcPr>
            <w:tcW w:w="1220" w:type="dxa"/>
            <w:vAlign w:val="bottom"/>
          </w:tcPr>
          <w:p>
            <w:pPr>
              <w:jc w:val="center"/>
              <w:spacing w:after="0"/>
              <w:rPr>
                <w:sz w:val="20"/>
                <w:szCs w:val="20"/>
                <w:color w:val="auto"/>
              </w:rPr>
            </w:pPr>
            <w:r>
              <w:rPr>
                <w:rFonts w:ascii="Times New Roman" w:cs="Times New Roman" w:eastAsia="Times New Roman" w:hAnsi="Times New Roman"/>
                <w:sz w:val="1"/>
                <w:szCs w:val="1"/>
                <w:color w:val="auto"/>
              </w:rPr>
              <w:t>7/29/2030</w:t>
            </w:r>
          </w:p>
        </w:tc>
      </w:tr>
      <w:tr>
        <w:trPr>
          <w:trHeight w:val="19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jc w:val="center"/>
              <w:spacing w:after="0" w:line="19" w:lineRule="exact"/>
              <w:rPr>
                <w:sz w:val="20"/>
                <w:szCs w:val="20"/>
                <w:color w:val="auto"/>
              </w:rPr>
            </w:pPr>
            <w:r>
              <w:rPr>
                <w:rFonts w:ascii="Times New Roman" w:cs="Times New Roman" w:eastAsia="Times New Roman" w:hAnsi="Times New Roman"/>
                <w:sz w:val="2"/>
                <w:szCs w:val="2"/>
                <w:color w:val="auto"/>
              </w:rPr>
              <w:t>7/30/2020</w:t>
            </w: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jc w:val="center"/>
              <w:spacing w:after="0" w:line="19" w:lineRule="exact"/>
              <w:rPr>
                <w:sz w:val="20"/>
                <w:szCs w:val="20"/>
                <w:color w:val="auto"/>
              </w:rPr>
            </w:pPr>
            <w:r>
              <w:rPr>
                <w:rFonts w:ascii="Times New Roman" w:cs="Times New Roman" w:eastAsia="Times New Roman" w:hAnsi="Times New Roman"/>
                <w:sz w:val="2"/>
                <w:szCs w:val="2"/>
                <w:color w:val="auto"/>
              </w:rPr>
              <w:t>5/11/2020</w:t>
            </w:r>
          </w:p>
        </w:tc>
        <w:tc>
          <w:tcPr>
            <w:tcW w:w="120" w:type="dxa"/>
            <w:vAlign w:val="bottom"/>
            <w:shd w:val="clear" w:color="auto" w:fill="CCEEFF"/>
          </w:tcPr>
          <w:p>
            <w:pPr>
              <w:spacing w:after="0" w:line="20" w:lineRule="exact"/>
              <w:rPr>
                <w:sz w:val="1"/>
                <w:szCs w:val="1"/>
                <w:color w:val="auto"/>
              </w:rPr>
            </w:pPr>
          </w:p>
        </w:tc>
        <w:tc>
          <w:tcPr>
            <w:tcW w:w="1320" w:type="dxa"/>
            <w:vAlign w:val="bottom"/>
            <w:gridSpan w:val="2"/>
            <w:shd w:val="clear" w:color="auto" w:fill="CCEEFF"/>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209,586</w:t>
            </w:r>
          </w:p>
        </w:tc>
        <w:tc>
          <w:tcPr>
            <w:tcW w:w="1340" w:type="dxa"/>
            <w:vAlign w:val="bottom"/>
            <w:gridSpan w:val="2"/>
            <w:shd w:val="clear" w:color="auto" w:fill="CCEEFF"/>
          </w:tcPr>
          <w:p>
            <w:pPr>
              <w:jc w:val="right"/>
              <w:ind w:right="240"/>
              <w:spacing w:after="0" w:line="19" w:lineRule="exact"/>
              <w:rPr>
                <w:sz w:val="20"/>
                <w:szCs w:val="20"/>
                <w:color w:val="auto"/>
              </w:rPr>
            </w:pPr>
            <w:r>
              <w:rPr>
                <w:rFonts w:ascii="Times New Roman" w:cs="Times New Roman" w:eastAsia="Times New Roman" w:hAnsi="Times New Roman"/>
                <w:sz w:val="2"/>
                <w:szCs w:val="2"/>
                <w:color w:val="auto"/>
              </w:rPr>
              <w:t>83,220</w:t>
            </w: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8.22</w:t>
            </w:r>
          </w:p>
        </w:tc>
        <w:tc>
          <w:tcPr>
            <w:tcW w:w="1220" w:type="dxa"/>
            <w:vAlign w:val="bottom"/>
            <w:shd w:val="clear" w:color="auto" w:fill="CCEEFF"/>
          </w:tcPr>
          <w:p>
            <w:pPr>
              <w:jc w:val="center"/>
              <w:spacing w:after="0" w:line="19" w:lineRule="exact"/>
              <w:rPr>
                <w:sz w:val="20"/>
                <w:szCs w:val="20"/>
                <w:color w:val="auto"/>
              </w:rPr>
            </w:pPr>
            <w:r>
              <w:rPr>
                <w:rFonts w:ascii="Times New Roman" w:cs="Times New Roman" w:eastAsia="Times New Roman" w:hAnsi="Times New Roman"/>
                <w:sz w:val="2"/>
                <w:szCs w:val="2"/>
                <w:color w:val="auto"/>
              </w:rPr>
              <w:t>7/29/2030</w:t>
            </w:r>
          </w:p>
        </w:tc>
      </w:tr>
      <w:tr>
        <w:trPr>
          <w:trHeight w:val="201"/>
        </w:trPr>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Vikas Desai</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6/22/2018</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2/28/2018</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4,244</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6/21/2028</w:t>
            </w:r>
          </w:p>
        </w:tc>
      </w:tr>
      <w:tr>
        <w:trPr>
          <w:trHeight w:val="15"/>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
                <w:szCs w:val="1"/>
                <w:color w:val="auto"/>
              </w:rPr>
              <w:t>10/28/2021</w:t>
            </w: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
                <w:szCs w:val="1"/>
                <w:color w:val="auto"/>
              </w:rPr>
              <w:t>10/11/2021</w:t>
            </w:r>
          </w:p>
        </w:tc>
        <w:tc>
          <w:tcPr>
            <w:tcW w:w="120" w:type="dxa"/>
            <w:vAlign w:val="bottom"/>
            <w:shd w:val="clear" w:color="auto" w:fill="CCEEFF"/>
          </w:tcPr>
          <w:p>
            <w:pPr>
              <w:spacing w:after="0" w:line="20" w:lineRule="exact"/>
              <w:rPr>
                <w:sz w:val="1"/>
                <w:szCs w:val="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
                <w:szCs w:val="1"/>
                <w:color w:val="auto"/>
              </w:rPr>
              <w:t>46,975</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
                <w:szCs w:val="1"/>
                <w:color w:val="auto"/>
              </w:rPr>
              <w:t>61,389</w:t>
            </w: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
                <w:szCs w:val="1"/>
                <w:color w:val="auto"/>
              </w:rPr>
              <w:t>4.62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
                <w:szCs w:val="1"/>
                <w:color w:val="auto"/>
              </w:rPr>
              <w:t>10/27/2031</w:t>
            </w:r>
          </w:p>
        </w:tc>
      </w:tr>
      <w:tr>
        <w:trPr>
          <w:trHeight w:val="197"/>
        </w:trPr>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jc w:val="center"/>
              <w:spacing w:after="0" w:line="19" w:lineRule="exact"/>
              <w:rPr>
                <w:sz w:val="20"/>
                <w:szCs w:val="20"/>
                <w:color w:val="auto"/>
              </w:rPr>
            </w:pPr>
            <w:r>
              <w:rPr>
                <w:rFonts w:ascii="Times New Roman" w:cs="Times New Roman" w:eastAsia="Times New Roman" w:hAnsi="Times New Roman"/>
                <w:sz w:val="2"/>
                <w:szCs w:val="2"/>
                <w:color w:val="auto"/>
              </w:rPr>
              <w:t>10/28/2021</w:t>
            </w:r>
          </w:p>
        </w:tc>
        <w:tc>
          <w:tcPr>
            <w:tcW w:w="120" w:type="dxa"/>
            <w:vAlign w:val="bottom"/>
          </w:tcPr>
          <w:p>
            <w:pPr>
              <w:spacing w:after="0" w:line="20" w:lineRule="exact"/>
              <w:rPr>
                <w:sz w:val="1"/>
                <w:szCs w:val="1"/>
                <w:color w:val="auto"/>
              </w:rPr>
            </w:pPr>
          </w:p>
        </w:tc>
        <w:tc>
          <w:tcPr>
            <w:tcW w:w="1240" w:type="dxa"/>
            <w:vAlign w:val="bottom"/>
          </w:tcPr>
          <w:p>
            <w:pPr>
              <w:jc w:val="center"/>
              <w:spacing w:after="0" w:line="19" w:lineRule="exact"/>
              <w:rPr>
                <w:sz w:val="20"/>
                <w:szCs w:val="20"/>
                <w:color w:val="auto"/>
              </w:rPr>
            </w:pPr>
            <w:r>
              <w:rPr>
                <w:rFonts w:ascii="Times New Roman" w:cs="Times New Roman" w:eastAsia="Times New Roman" w:hAnsi="Times New Roman"/>
                <w:sz w:val="2"/>
                <w:szCs w:val="2"/>
                <w:color w:val="auto"/>
              </w:rPr>
              <w:t>10/11/2021</w:t>
            </w:r>
          </w:p>
        </w:tc>
        <w:tc>
          <w:tcPr>
            <w:tcW w:w="120" w:type="dxa"/>
            <w:vAlign w:val="bottom"/>
          </w:tcPr>
          <w:p>
            <w:pPr>
              <w:spacing w:after="0" w:line="20" w:lineRule="exact"/>
              <w:rPr>
                <w:sz w:val="1"/>
                <w:szCs w:val="1"/>
                <w:color w:val="auto"/>
              </w:rPr>
            </w:pPr>
          </w:p>
        </w:tc>
        <w:tc>
          <w:tcPr>
            <w:tcW w:w="1320" w:type="dxa"/>
            <w:vAlign w:val="bottom"/>
            <w:gridSpan w:val="2"/>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75,178</w:t>
            </w:r>
          </w:p>
        </w:tc>
        <w:tc>
          <w:tcPr>
            <w:tcW w:w="1340" w:type="dxa"/>
            <w:vAlign w:val="bottom"/>
            <w:gridSpan w:val="2"/>
          </w:tcPr>
          <w:p>
            <w:pPr>
              <w:jc w:val="right"/>
              <w:ind w:right="240"/>
              <w:spacing w:after="0" w:line="19" w:lineRule="exact"/>
              <w:rPr>
                <w:sz w:val="20"/>
                <w:szCs w:val="20"/>
                <w:color w:val="auto"/>
              </w:rPr>
            </w:pPr>
            <w:r>
              <w:rPr>
                <w:rFonts w:ascii="Times New Roman" w:cs="Times New Roman" w:eastAsia="Times New Roman" w:hAnsi="Times New Roman"/>
                <w:sz w:val="2"/>
                <w:szCs w:val="2"/>
                <w:color w:val="auto"/>
              </w:rPr>
              <w:t>98,294</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4.62</w:t>
            </w:r>
          </w:p>
        </w:tc>
        <w:tc>
          <w:tcPr>
            <w:tcW w:w="1220" w:type="dxa"/>
            <w:vAlign w:val="bottom"/>
          </w:tcPr>
          <w:p>
            <w:pPr>
              <w:jc w:val="center"/>
              <w:spacing w:after="0" w:line="19" w:lineRule="exact"/>
              <w:rPr>
                <w:sz w:val="20"/>
                <w:szCs w:val="20"/>
                <w:color w:val="auto"/>
              </w:rPr>
            </w:pPr>
            <w:r>
              <w:rPr>
                <w:rFonts w:ascii="Times New Roman" w:cs="Times New Roman" w:eastAsia="Times New Roman" w:hAnsi="Times New Roman"/>
                <w:sz w:val="2"/>
                <w:szCs w:val="2"/>
                <w:color w:val="auto"/>
              </w:rPr>
              <w:t>10/27/2031</w:t>
            </w:r>
          </w:p>
        </w:tc>
      </w:tr>
      <w:tr>
        <w:trPr>
          <w:trHeight w:val="19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jc w:val="center"/>
              <w:spacing w:after="0" w:line="19" w:lineRule="exact"/>
              <w:rPr>
                <w:sz w:val="20"/>
                <w:szCs w:val="20"/>
                <w:color w:val="auto"/>
              </w:rPr>
            </w:pPr>
            <w:r>
              <w:rPr>
                <w:rFonts w:ascii="Times New Roman" w:cs="Times New Roman" w:eastAsia="Times New Roman" w:hAnsi="Times New Roman"/>
                <w:sz w:val="2"/>
                <w:szCs w:val="2"/>
                <w:color w:val="auto"/>
              </w:rPr>
              <w:t>9/28/2022</w:t>
            </w: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jc w:val="center"/>
              <w:spacing w:after="0" w:line="19" w:lineRule="exact"/>
              <w:rPr>
                <w:sz w:val="20"/>
                <w:szCs w:val="20"/>
                <w:color w:val="auto"/>
              </w:rPr>
            </w:pPr>
            <w:r>
              <w:rPr>
                <w:rFonts w:ascii="Times New Roman" w:cs="Times New Roman" w:eastAsia="Times New Roman" w:hAnsi="Times New Roman"/>
                <w:sz w:val="2"/>
                <w:szCs w:val="2"/>
                <w:color w:val="auto"/>
              </w:rPr>
              <w:t>10/27/2022</w:t>
            </w:r>
          </w:p>
        </w:tc>
        <w:tc>
          <w:tcPr>
            <w:tcW w:w="120" w:type="dxa"/>
            <w:vAlign w:val="bottom"/>
            <w:shd w:val="clear" w:color="auto" w:fill="CCEEFF"/>
          </w:tcPr>
          <w:p>
            <w:pPr>
              <w:spacing w:after="0" w:line="20" w:lineRule="exact"/>
              <w:rPr>
                <w:sz w:val="1"/>
                <w:szCs w:val="1"/>
                <w:color w:val="auto"/>
              </w:rPr>
            </w:pPr>
          </w:p>
        </w:tc>
        <w:tc>
          <w:tcPr>
            <w:tcW w:w="1320" w:type="dxa"/>
            <w:vAlign w:val="bottom"/>
            <w:gridSpan w:val="2"/>
            <w:shd w:val="clear" w:color="auto" w:fill="CCEEFF"/>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11,748</w:t>
            </w:r>
          </w:p>
        </w:tc>
        <w:tc>
          <w:tcPr>
            <w:tcW w:w="1340" w:type="dxa"/>
            <w:vAlign w:val="bottom"/>
            <w:gridSpan w:val="2"/>
            <w:shd w:val="clear" w:color="auto" w:fill="CCEEFF"/>
          </w:tcPr>
          <w:p>
            <w:pPr>
              <w:jc w:val="right"/>
              <w:ind w:right="240"/>
              <w:spacing w:after="0" w:line="19" w:lineRule="exact"/>
              <w:rPr>
                <w:sz w:val="20"/>
                <w:szCs w:val="20"/>
                <w:color w:val="auto"/>
              </w:rPr>
            </w:pPr>
            <w:r>
              <w:rPr>
                <w:rFonts w:ascii="Times New Roman" w:cs="Times New Roman" w:eastAsia="Times New Roman" w:hAnsi="Times New Roman"/>
                <w:sz w:val="2"/>
                <w:szCs w:val="2"/>
                <w:color w:val="auto"/>
              </w:rPr>
              <w:t>38,456</w:t>
            </w: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11.45</w:t>
            </w:r>
          </w:p>
        </w:tc>
        <w:tc>
          <w:tcPr>
            <w:tcW w:w="1220" w:type="dxa"/>
            <w:vAlign w:val="bottom"/>
            <w:shd w:val="clear" w:color="auto" w:fill="CCEEFF"/>
          </w:tcPr>
          <w:p>
            <w:pPr>
              <w:jc w:val="center"/>
              <w:spacing w:after="0" w:line="19" w:lineRule="exact"/>
              <w:rPr>
                <w:sz w:val="20"/>
                <w:szCs w:val="20"/>
                <w:color w:val="auto"/>
              </w:rPr>
            </w:pPr>
            <w:r>
              <w:rPr>
                <w:rFonts w:ascii="Times New Roman" w:cs="Times New Roman" w:eastAsia="Times New Roman" w:hAnsi="Times New Roman"/>
                <w:sz w:val="2"/>
                <w:szCs w:val="2"/>
                <w:color w:val="auto"/>
              </w:rPr>
              <w:t>9/27/2032</w:t>
            </w:r>
          </w:p>
        </w:tc>
      </w:tr>
      <w:tr>
        <w:trPr>
          <w:trHeight w:val="201"/>
        </w:trPr>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9/28/2022</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10/27/2022</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6,670</w:t>
            </w:r>
            <w:r>
              <w:rPr>
                <w:rFonts w:ascii="Times New Roman" w:cs="Times New Roman" w:eastAsia="Times New Roman" w:hAnsi="Times New Roman"/>
                <w:sz w:val="14"/>
                <w:szCs w:val="14"/>
                <w:color w:val="auto"/>
              </w:rPr>
              <w:t>(4)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9/27/2032</w:t>
            </w: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6/11/2023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6/11/2023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33,845</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255,937</w:t>
            </w:r>
            <w:r>
              <w:rPr>
                <w:rFonts w:ascii="Times New Roman" w:cs="Times New Roman" w:eastAsia="Times New Roman" w:hAnsi="Times New Roman"/>
                <w:sz w:val="14"/>
                <w:szCs w:val="14"/>
                <w:color w:val="auto"/>
              </w:rPr>
              <w:t>(3)</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6/18/2033</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Lundell</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12/21/2023</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12/7/2023</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r>
              <w:rPr>
                <w:rFonts w:ascii="Times New Roman" w:cs="Times New Roman" w:eastAsia="Times New Roman" w:hAnsi="Times New Roman"/>
                <w:sz w:val="14"/>
                <w:szCs w:val="14"/>
                <w:color w:val="auto"/>
              </w:rPr>
              <w:t>(4)</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12/7/2033</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Wuebbels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6/11/2023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6/11/2023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63,297</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316,339</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6/18/2033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1" w:lineRule="exact"/>
        <w:rPr>
          <w:sz w:val="20"/>
          <w:szCs w:val="20"/>
          <w:color w:val="auto"/>
        </w:rPr>
      </w:pPr>
    </w:p>
    <w:p>
      <w:pPr>
        <w:jc w:val="both"/>
        <w:ind w:left="340" w:hanging="332"/>
        <w:spacing w:after="0" w:line="25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 awards were granted pursuant to the Complete Solaria’s 2023 Incentive Equity Plan (the “</w:t>
      </w:r>
      <w:r>
        <w:rPr>
          <w:rFonts w:ascii="Times New Roman" w:cs="Times New Roman" w:eastAsia="Times New Roman" w:hAnsi="Times New Roman"/>
          <w:sz w:val="18"/>
          <w:szCs w:val="18"/>
          <w:b w:val="1"/>
          <w:bCs w:val="1"/>
          <w:color w:val="auto"/>
        </w:rPr>
        <w:t>2023 Plan</w:t>
      </w:r>
      <w:r>
        <w:rPr>
          <w:rFonts w:ascii="Times New Roman" w:cs="Times New Roman" w:eastAsia="Times New Roman" w:hAnsi="Times New Roman"/>
          <w:sz w:val="18"/>
          <w:szCs w:val="18"/>
          <w:color w:val="auto"/>
        </w:rPr>
        <w:t>”) Complete Solaria’s 2022 Stock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Complete Solaria’s 2011 Stock Plan (the “</w:t>
      </w:r>
      <w:r>
        <w:rPr>
          <w:rFonts w:ascii="Times New Roman" w:cs="Times New Roman" w:eastAsia="Times New Roman" w:hAnsi="Times New Roman"/>
          <w:sz w:val="18"/>
          <w:szCs w:val="18"/>
          <w:b w:val="1"/>
          <w:bCs w:val="1"/>
          <w:color w:val="auto"/>
        </w:rPr>
        <w:t>2011 Plan</w:t>
      </w:r>
      <w:r>
        <w:rPr>
          <w:rFonts w:ascii="Times New Roman" w:cs="Times New Roman" w:eastAsia="Times New Roman" w:hAnsi="Times New Roman"/>
          <w:sz w:val="18"/>
          <w:szCs w:val="18"/>
          <w:color w:val="auto"/>
        </w:rPr>
        <w:t>”), Complete Solaria’s 2016 Stock Plan (the “</w:t>
      </w:r>
      <w:r>
        <w:rPr>
          <w:rFonts w:ascii="Times New Roman" w:cs="Times New Roman" w:eastAsia="Times New Roman" w:hAnsi="Times New Roman"/>
          <w:sz w:val="18"/>
          <w:szCs w:val="18"/>
          <w:b w:val="1"/>
          <w:bCs w:val="1"/>
          <w:color w:val="auto"/>
        </w:rPr>
        <w:t>2016 Plan</w:t>
      </w:r>
      <w:r>
        <w:rPr>
          <w:rFonts w:ascii="Times New Roman" w:cs="Times New Roman" w:eastAsia="Times New Roman" w:hAnsi="Times New Roman"/>
          <w:sz w:val="18"/>
          <w:szCs w:val="18"/>
          <w:color w:val="auto"/>
        </w:rPr>
        <w:t>”) and Complete Solaria’s 2006 Stock Plan (the “</w:t>
      </w:r>
      <w:r>
        <w:rPr>
          <w:rFonts w:ascii="Times New Roman" w:cs="Times New Roman" w:eastAsia="Times New Roman" w:hAnsi="Times New Roman"/>
          <w:sz w:val="18"/>
          <w:szCs w:val="18"/>
          <w:b w:val="1"/>
          <w:bCs w:val="1"/>
          <w:color w:val="auto"/>
        </w:rPr>
        <w:t>2006 Plan</w:t>
      </w:r>
      <w:r>
        <w:rPr>
          <w:rFonts w:ascii="Times New Roman" w:cs="Times New Roman" w:eastAsia="Times New Roman" w:hAnsi="Times New Roman"/>
          <w:sz w:val="18"/>
          <w:szCs w:val="18"/>
          <w:color w:val="auto"/>
        </w:rPr>
        <w:t>”). As is described in greater detail below in the “Employee Benefit Plans” section, the 2016 Plan and 2006 Plan were assumed by Complete Solaria from Solaria in connection with the Complete Solar and Solaria Merger.</w:t>
      </w:r>
    </w:p>
    <w:p>
      <w:pPr>
        <w:spacing w:after="0" w:line="3"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shares underlying the option award vest in 36 equal monthly installments, subject to the named executive officer’s continued service at each vesting date.</w:t>
      </w:r>
    </w:p>
    <w:p>
      <w:pPr>
        <w:ind w:left="34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shares underlying the option award vest in 60 equal monthly installments, subject to the named executive officer’s continued service at each vesting date.</w:t>
      </w:r>
    </w:p>
    <w:p>
      <w:pPr>
        <w:ind w:left="340" w:hanging="332"/>
        <w:spacing w:after="0" w:line="182" w:lineRule="auto"/>
        <w:tabs>
          <w:tab w:leader="none" w:pos="340" w:val="left"/>
        </w:tabs>
        <w:numPr>
          <w:ilvl w:val="0"/>
          <w:numId w:val="4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20% of the total shares underlying the option award vest on the one-year anniversary of the vesting commencement date, thereafter 1/60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total shares underlying the option award vest in 60 equal monthly installments.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Each of Complete Solaria’s named executive officers is an at-will employee. Each officer is currently party to an employment agreement setting forth their terms of employment. The employment agreements with each named executive officer provides that if such officer’s employment is terminated for any reason other than cause (as defined in the employment agreement), death or disability, or if such officer resigns for good reason (as defined in the employment agreement), and provided that in either case such termination constitutes a separation from service (as defined in the employment agreement) and the separation is not on or within 12 months following a change of control, then subject to such officer executing a release agreement in Complete Solaria’s favor, and continuing to comply with all of his obligations to Complete Solaria and its affiliates, he will receive the following benefits: (a) payment of such officer’s earned but unpaid base salary; (b) payment of such officer of any unpaid bonus, with respect to the fiscal year immediately preceding the fiscal year in which such termination or such resignation occurs; (c) payment to such officer of any vested benefits to which he may be entitled under any applicable plans and programs of the Company; (d) a severance payment equal to six months of such officer’s then base salary plus a pro rata portion of such officer’s bonus with respect to the fiscal year in which such termination or such resignation occurs; (e) if such officer timely and properly elects to continue group health care coverage under the Consolidated Omnibus Budget Reconciliation Act of 1985(“</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payment of such officer’s COBRA premium expenses until the earliest of (i) the six-month anniversary of the termination date; (ii) the date such officer is no longer eligible to receive COBRA continuation coverage; and (iii) the date on which such officer becomes eligible to receive substantially similar coverage from another employer; and (f) the applicable post-termination exercised period for any vested options will extend to the earlier of (i) the six-month anniversary of the termination date, (ii) the expiration date of the option or (iii) earlier termination upon a corporate transaction.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employment agreements with each named executive officer provide that if such officer’s employment is terminated for any reason other than cause (as defined in the employment agreement), death or disability, or if such officer resigns for good reason (as defined in the employment agreement), and provided that in either case such termination constitutes a separation from service (as defined in the employment agreement) and the separation is on or within 12 months following a change of control, then subject to such officer executing a release agreement in Complete Solaria’s favor, and continuing to comply with all of his obligations to Complete Solaria and its affiliates, he will receive the following benefits: (a) payment of such officer’s earned but unpaid base salary; (b) payment of such officer of any unpaid bonus, with respect to the fiscal year immediately preceding the fiscal year in which such termination or such resignation occurs; (c) payment to such officer of any vested benefits to which he may be entitled under any applicable plans and programs of the Company; (d) a severance payment equal to 12 months of such officer’s then base salary plus a pro rata portion of such officer’s bonus with respect to the fiscal year in which such termination or such resignation occurs; (e) if such officer timely and properly elects to continue group health care coverage under COBRA, payment of such officer’s COBRA premium expenses until the earliest of (i) the 12-month anniversary of the termination date; (ii) the date such officer is no longer eligible to receive COBRA continuation coverage; and (iii) the date on which such officer becomes eligible to receive substantially similar coverage from another employer; (f) the applicable post-termination exercised period for any vested options will extend to the earlier of (i) the 12-month anniversary of the termination date, (ii) the expiration date of the option or (iii) earlier termination upon a corporate transaction; and (g) acceleration of 50% of such officer’s remaining unvested outstanding stock options subject to time-based vesting.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the executive compensation program. In general, Complete Solaria seeks to provide a base salary level designed to reflect each executive officer’s scope of responsibility and accountability.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Beginning January 1, 2023, each of our named executive officers was eligible for an annual bonus of 50% of such officer’s annual gross salary, based on criteria determined by our board of directors, including, but not limited to, the satisfaction of minimum performance standards, and the achievement of budgetary and other objectives, set by our board of directors in its sole and absolute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2023, Complete Solaria granted its directors stock options for their contributions to the operations of the business. The following table provides the compensation for each member of the Board for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Earned or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8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8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8"/>
        </w:trPr>
        <w:tc>
          <w:tcPr>
            <w:tcW w:w="586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Thurman J. Rodgers</w:t>
            </w: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ind w:left="940"/>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132,925</w:t>
            </w:r>
          </w:p>
        </w:tc>
        <w:tc>
          <w:tcPr>
            <w:tcW w:w="280" w:type="dxa"/>
            <w:vAlign w:val="bottom"/>
            <w:tcBorders>
              <w:top w:val="single" w:sz="8" w:color="CCEEFF"/>
            </w:tcBorders>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1100" w:type="dxa"/>
            <w:vAlign w:val="bottom"/>
            <w:tcBorders>
              <w:top w:val="single" w:sz="8" w:color="auto"/>
            </w:tcBorders>
            <w:shd w:val="clear" w:color="auto" w:fill="CCEEFF"/>
          </w:tcPr>
          <w:p>
            <w:pPr>
              <w:ind w:left="920"/>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36"/>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132,925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58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Adam Gishen</w:t>
            </w:r>
          </w:p>
        </w:tc>
        <w:tc>
          <w:tcPr>
            <w:tcW w:w="1220" w:type="dxa"/>
            <w:vAlign w:val="bottom"/>
            <w:gridSpan w:val="2"/>
          </w:tcPr>
          <w:p>
            <w:pPr>
              <w:ind w:left="9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89,881</w:t>
            </w:r>
          </w:p>
        </w:tc>
        <w:tc>
          <w:tcPr>
            <w:tcW w:w="2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1320" w:type="dxa"/>
            <w:vAlign w:val="bottom"/>
            <w:gridSpan w:val="2"/>
          </w:tcPr>
          <w:p>
            <w:pPr>
              <w:ind w:left="9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89,881</w:t>
            </w:r>
          </w:p>
        </w:tc>
        <w:tc>
          <w:tcPr>
            <w:tcW w:w="0" w:type="dxa"/>
            <w:vAlign w:val="bottom"/>
          </w:tcPr>
          <w:p>
            <w:pPr>
              <w:spacing w:after="0"/>
              <w:rPr>
                <w:sz w:val="1"/>
                <w:szCs w:val="1"/>
                <w:color w:val="auto"/>
              </w:rPr>
            </w:pPr>
          </w:p>
        </w:tc>
      </w:tr>
      <w:tr>
        <w:trPr>
          <w:trHeight w:val="45"/>
        </w:trPr>
        <w:tc>
          <w:tcPr>
            <w:tcW w:w="5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Antonio R. Alvarez</w:t>
            </w:r>
          </w:p>
        </w:tc>
        <w:tc>
          <w:tcPr>
            <w:tcW w:w="1220" w:type="dxa"/>
            <w:vAlign w:val="bottom"/>
            <w:gridSpan w:val="2"/>
            <w:shd w:val="clear" w:color="auto" w:fill="CCEEFF"/>
          </w:tcPr>
          <w:p>
            <w:pPr>
              <w:ind w:left="9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86,034</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1320" w:type="dxa"/>
            <w:vAlign w:val="bottom"/>
            <w:gridSpan w:val="2"/>
            <w:shd w:val="clear" w:color="auto" w:fill="CCEEFF"/>
          </w:tcPr>
          <w:p>
            <w:pPr>
              <w:ind w:left="9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86,034</w:t>
            </w:r>
          </w:p>
        </w:tc>
        <w:tc>
          <w:tcPr>
            <w:tcW w:w="0" w:type="dxa"/>
            <w:vAlign w:val="bottom"/>
          </w:tcPr>
          <w:p>
            <w:pPr>
              <w:spacing w:after="0"/>
              <w:rPr>
                <w:sz w:val="1"/>
                <w:szCs w:val="1"/>
                <w:color w:val="auto"/>
              </w:rPr>
            </w:pPr>
          </w:p>
        </w:tc>
      </w:tr>
      <w:tr>
        <w:trPr>
          <w:trHeight w:val="48"/>
        </w:trPr>
        <w:tc>
          <w:tcPr>
            <w:tcW w:w="58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Chris Lundell</w:t>
            </w:r>
          </w:p>
        </w:tc>
        <w:tc>
          <w:tcPr>
            <w:tcW w:w="1220" w:type="dxa"/>
            <w:vAlign w:val="bottom"/>
            <w:gridSpan w:val="2"/>
          </w:tcPr>
          <w:p>
            <w:pPr>
              <w:ind w:left="9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86,034</w:t>
            </w:r>
          </w:p>
        </w:tc>
        <w:tc>
          <w:tcPr>
            <w:tcW w:w="2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1320" w:type="dxa"/>
            <w:vAlign w:val="bottom"/>
            <w:gridSpan w:val="2"/>
          </w:tcPr>
          <w:p>
            <w:pPr>
              <w:ind w:left="9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86,034</w:t>
            </w:r>
          </w:p>
        </w:tc>
        <w:tc>
          <w:tcPr>
            <w:tcW w:w="0" w:type="dxa"/>
            <w:vAlign w:val="bottom"/>
          </w:tcPr>
          <w:p>
            <w:pPr>
              <w:spacing w:after="0"/>
              <w:rPr>
                <w:sz w:val="1"/>
                <w:szCs w:val="1"/>
                <w:color w:val="auto"/>
              </w:rPr>
            </w:pPr>
          </w:p>
        </w:tc>
      </w:tr>
      <w:tr>
        <w:trPr>
          <w:trHeight w:val="45"/>
        </w:trPr>
        <w:tc>
          <w:tcPr>
            <w:tcW w:w="5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Devin Whatley</w:t>
            </w:r>
          </w:p>
        </w:tc>
        <w:tc>
          <w:tcPr>
            <w:tcW w:w="1220" w:type="dxa"/>
            <w:vAlign w:val="bottom"/>
            <w:gridSpan w:val="2"/>
            <w:shd w:val="clear" w:color="auto" w:fill="CCEEFF"/>
          </w:tcPr>
          <w:p>
            <w:pPr>
              <w:ind w:left="9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100,461</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1320" w:type="dxa"/>
            <w:vAlign w:val="bottom"/>
            <w:gridSpan w:val="2"/>
            <w:shd w:val="clear" w:color="auto" w:fill="CCEEFF"/>
          </w:tcPr>
          <w:p>
            <w:pPr>
              <w:ind w:left="9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100,461</w:t>
            </w:r>
          </w:p>
        </w:tc>
        <w:tc>
          <w:tcPr>
            <w:tcW w:w="0" w:type="dxa"/>
            <w:vAlign w:val="bottom"/>
          </w:tcPr>
          <w:p>
            <w:pPr>
              <w:spacing w:after="0"/>
              <w:rPr>
                <w:sz w:val="1"/>
                <w:szCs w:val="1"/>
                <w:color w:val="auto"/>
              </w:rPr>
            </w:pPr>
          </w:p>
        </w:tc>
      </w:tr>
      <w:tr>
        <w:trPr>
          <w:trHeight w:val="48"/>
        </w:trPr>
        <w:tc>
          <w:tcPr>
            <w:tcW w:w="58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Ron Pasek</w:t>
            </w:r>
          </w:p>
        </w:tc>
        <w:tc>
          <w:tcPr>
            <w:tcW w:w="1220" w:type="dxa"/>
            <w:vAlign w:val="bottom"/>
            <w:gridSpan w:val="2"/>
          </w:tcPr>
          <w:p>
            <w:pPr>
              <w:ind w:left="9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100,461</w:t>
            </w:r>
          </w:p>
        </w:tc>
        <w:tc>
          <w:tcPr>
            <w:tcW w:w="2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1320" w:type="dxa"/>
            <w:vAlign w:val="bottom"/>
            <w:gridSpan w:val="2"/>
          </w:tcPr>
          <w:p>
            <w:pPr>
              <w:ind w:left="9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100,461</w:t>
            </w:r>
          </w:p>
        </w:tc>
        <w:tc>
          <w:tcPr>
            <w:tcW w:w="0" w:type="dxa"/>
            <w:vAlign w:val="bottom"/>
          </w:tcPr>
          <w:p>
            <w:pPr>
              <w:spacing w:after="0"/>
              <w:rPr>
                <w:sz w:val="1"/>
                <w:szCs w:val="1"/>
                <w:color w:val="auto"/>
              </w:rPr>
            </w:pPr>
          </w:p>
        </w:tc>
      </w:tr>
      <w:tr>
        <w:trPr>
          <w:trHeight w:val="45"/>
        </w:trPr>
        <w:tc>
          <w:tcPr>
            <w:tcW w:w="5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Tidjane Thiam</w:t>
            </w:r>
          </w:p>
        </w:tc>
        <w:tc>
          <w:tcPr>
            <w:tcW w:w="1220" w:type="dxa"/>
            <w:vAlign w:val="bottom"/>
            <w:gridSpan w:val="2"/>
            <w:shd w:val="clear" w:color="auto" w:fill="CCEEFF"/>
          </w:tcPr>
          <w:p>
            <w:pPr>
              <w:ind w:left="9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86,034</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1320" w:type="dxa"/>
            <w:vAlign w:val="bottom"/>
            <w:gridSpan w:val="2"/>
            <w:shd w:val="clear" w:color="auto" w:fill="CCEEFF"/>
          </w:tcPr>
          <w:p>
            <w:pPr>
              <w:ind w:left="9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86,034</w:t>
            </w:r>
          </w:p>
        </w:tc>
        <w:tc>
          <w:tcPr>
            <w:tcW w:w="0" w:type="dxa"/>
            <w:vAlign w:val="bottom"/>
          </w:tcPr>
          <w:p>
            <w:pPr>
              <w:spacing w:after="0"/>
              <w:rPr>
                <w:sz w:val="1"/>
                <w:szCs w:val="1"/>
                <w:color w:val="auto"/>
              </w:rPr>
            </w:pPr>
          </w:p>
        </w:tc>
      </w:tr>
      <w:tr>
        <w:trPr>
          <w:trHeight w:val="48"/>
        </w:trPr>
        <w:tc>
          <w:tcPr>
            <w:tcW w:w="58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J. Anderson</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total shares underlying the option award fully vest on the one-year anniversary of the vesting commencement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Complete Solaria’s compensation committee oversees the compensation policies, plans and programs and reviews and determines compensation to be paid to executive officers, directors and other senior management, as appropriate. The compensation policies followed by Complete Solaria are intended to provide for compensation that is sufficient to attract, motivate and retain executives of Complete Solaria and potential other individuals and to establish an appropriate relationship between executive compensation and the creation of stockholder value.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Complete Solaria’s named executive officers did not participate in, or earn any benefits under, any nonqualified deferred compensation plan sponsored by Complete Solaria during 2023. Complete Solaria’s board of directors may elect to provide officers and other employees with nonqualified deferred compensation benefits in the future if it determines that doing so is in the company’s best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Complete Solaria’s named executive officers did not participate in, or otherwise receive any benefits under, any pension or retirement plan sponsored by Complete Solaria during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Equity-based compensation has been and will continue to be an important foundation in executive compensation packages as Complete Solaria believes it is important to maintain a strong link between executive incentives and the creation of stockholder value. Complete Solaria believes that performance and equity-based compensation can be an important component of the total executive compensation package for maximizing stockholder value while, at the same time, attracting, motivating and retaining high-quality executives. In July 2023, our board of directors adopted the 2023 Incentive Equity Plan (the “</w:t>
      </w:r>
      <w:r>
        <w:rPr>
          <w:rFonts w:ascii="Times New Roman" w:cs="Times New Roman" w:eastAsia="Times New Roman" w:hAnsi="Times New Roman"/>
          <w:sz w:val="18"/>
          <w:szCs w:val="18"/>
          <w:b w:val="1"/>
          <w:bCs w:val="1"/>
          <w:color w:val="auto"/>
        </w:rPr>
        <w:t>2023 Plan</w:t>
      </w:r>
      <w:r>
        <w:rPr>
          <w:rFonts w:ascii="Times New Roman" w:cs="Times New Roman" w:eastAsia="Times New Roman" w:hAnsi="Times New Roman"/>
          <w:sz w:val="18"/>
          <w:szCs w:val="18"/>
          <w:color w:val="auto"/>
        </w:rPr>
        <w:t>”) and the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The 2023 Plan and the ESPP became effective immediately upon the Closing of the Business Combination. Below is a description of the 2023 Plan, the ESPP, 2022 Plan, the 2011 Plan, the 2016 Plan and the 2006 Plan. The 2022 Plan is the successor of the Complete Solar 2021 Stock Plan, which was amended and assumed by Complete Solaria in connection with the Required Transaction. The 2011 Plan is the Complete Solar 2011 Stock Plan that was assumed by Complete Solaria in the Required Transaction.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2016 Plan and the 2006 Plan are the Solaria stock plans that were assumed by Complete Solaria in the Required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Solaria 2023 Incentive Equity Plan</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In July 2023, our board of directors adopted and our stockholders approved the 2023 Incentive Equity Plan (the “</w:t>
      </w:r>
      <w:r>
        <w:rPr>
          <w:rFonts w:ascii="Times New Roman" w:cs="Times New Roman" w:eastAsia="Times New Roman" w:hAnsi="Times New Roman"/>
          <w:sz w:val="18"/>
          <w:szCs w:val="18"/>
          <w:b w:val="1"/>
          <w:bCs w:val="1"/>
          <w:color w:val="auto"/>
        </w:rPr>
        <w:t>2023 Plan</w:t>
      </w:r>
      <w:r>
        <w:rPr>
          <w:rFonts w:ascii="Times New Roman" w:cs="Times New Roman" w:eastAsia="Times New Roman" w:hAnsi="Times New Roman"/>
          <w:sz w:val="18"/>
          <w:szCs w:val="18"/>
          <w:color w:val="auto"/>
        </w:rPr>
        <w:t>”). The 2023 Plan became effective immediately upon the closing.</w:t>
      </w:r>
    </w:p>
    <w:p>
      <w:pPr>
        <w:spacing w:after="0" w:line="15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Any individual who is an employee of Complete Solaria or any of its affiliates, or any person who provides services to Complete Solaria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affiliates, including consultants and members of Complete Solaria’s Board, is eligible to receive awards under the 2023 Plan at the discretion of the plan administrator.</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2023 Plan provides for the grant of incentive stock options (“</w:t>
      </w:r>
      <w:r>
        <w:rPr>
          <w:rFonts w:ascii="Times New Roman" w:cs="Times New Roman" w:eastAsia="Times New Roman" w:hAnsi="Times New Roman"/>
          <w:sz w:val="18"/>
          <w:szCs w:val="18"/>
          <w:b w:val="1"/>
          <w:bCs w:val="1"/>
          <w:color w:val="auto"/>
        </w:rPr>
        <w:t>ISOs</w:t>
      </w:r>
      <w:r>
        <w:rPr>
          <w:rFonts w:ascii="Times New Roman" w:cs="Times New Roman" w:eastAsia="Times New Roman" w:hAnsi="Times New Roman"/>
          <w:sz w:val="18"/>
          <w:szCs w:val="18"/>
          <w:color w:val="auto"/>
        </w:rPr>
        <w:t>”), within the meaning of Section 422 of the Code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employees of any parent or subsidiary, and for the grant of nonstatutory stock options (“</w:t>
      </w:r>
      <w:r>
        <w:rPr>
          <w:rFonts w:ascii="Times New Roman" w:cs="Times New Roman" w:eastAsia="Times New Roman" w:hAnsi="Times New Roman"/>
          <w:sz w:val="18"/>
          <w:szCs w:val="18"/>
          <w:b w:val="1"/>
          <w:bCs w:val="1"/>
          <w:color w:val="auto"/>
        </w:rPr>
        <w:t>NSOs</w:t>
      </w:r>
      <w:r>
        <w:rPr>
          <w:rFonts w:ascii="Times New Roman" w:cs="Times New Roman" w:eastAsia="Times New Roman" w:hAnsi="Times New Roman"/>
          <w:sz w:val="18"/>
          <w:szCs w:val="18"/>
          <w:color w:val="auto"/>
        </w:rPr>
        <w:t>”), stock appreciation rights, restricted stock awards, restricted stock unit awards, performance awards and other forms of awards to employees, directors and consultants, including employees and consultants of Complete Solaria’s affiliates.</w:t>
      </w:r>
    </w:p>
    <w:p>
      <w:pPr>
        <w:spacing w:after="0" w:line="1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Initially, a maximum number of 8,763,322 of shares of Complete Solaria Common Stock may be issued under the 2023 Plan.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the number of shares of Complete Solaria Common Stock reserved for issuance under the 2023 Plan will automatically increase on January 1 of each year, starting on January 1, 2024 and ending on January 1, 2033, in an amount equal to the lesser of (1) 4% of the total number of shares of Complete Solaria’s Common Stock outstanding on December 31 of the preceding year, or (2) a lesser number of shares of Complete Solaria Common Stock determined by Complete Solaria’s Board prior to the date of the increase. The maximum number of shares of Complete Solaria Common Stock that may be issued on the exercise of ISOs under the 2023 Plan is three times the number of shares available for issuance upon the 2023 Plan becoming effective (or 26,289,966 shares).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unused shares subject to stock awards granted under the 2023 Plan that expire, lapse or are terminated, exchanged for or settled in cash, surrendered, repurchased, canceled without having been fully exercised or forfeited, in any case, in a manner that results in Complete Solaria acquiring shares covered by the stock award at a price not greater than the price (as adjusted pursuant to the 2023 Plan) paid by the participant for such shares or not issuing any shares covered by the stock award, will, as applicable, become or again be available for stock award grants under the 2023 Plan.</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to any non-employee director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calendar year, including awards granted and cash fees paid to such non-employee director, will not exceed (1) $1,000,000 in total value or (2) if such non-employee director is first appointed or elected to Complete Solaria’s Board during such calendar year, $1,500,000 in total value, in each case, calculating the value of any equity awards based on the grant date fair value of such equity awards for financial reporting purposes.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Complete Solaria’s Board, or a duly authorized committee thereof, will administer the 2023 Plan and is referred to as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herein. Complete Solaria’s Board may also delegate to one or more of Complete Solaria’s officers the authority to (1) designate employees (other than officers) to receive specified stock awards and (2) determine the number of shares subject to such stock awards. Under the 2023 Plan, the Complete Solaria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under stock option agreements adopted by the plan administrator. The plan administrator determines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for stock options, within the terms and conditions of the 2023 Plan, provided that the exercise price of a stock option generally cannot be less than 100% of the fair market value of a share of Complete Solaria Common Stock on the date of grant. Options granted under the 2023 Plan vest at the rate specified in the stock option agreement as determined by the plan administrator.</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plan administrator determines the term of stock options granted under the 2023 Plan, up to a maximum of 10 years. Unless the terms of an optionholder’s stock option agreement provide otherwise or as otherwise provided by the plan administrator, if an optionholder’s service relationship with Complete Solaria or any of Complete Solaria’s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Complete Solaria or any of Complete Solaria’s affiliates ceases due to death or disability, or an optionholder dies within a certain period following cessation of service, the optionholder or a beneficiary may generally exercise any vested options for a period of 18 months following the date of death, or 12 months following the date of disability. In the event of a termination for cause, options generally terminate upon the termination date. In no event may an option be exercised beyond the expiration of its term.</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Complete Solaria Common Stock issued upon the exercise of a stock option will be determined by the plan administrator and may include (1) cash, check, bank draft or money order, (2) a broker-assisted cashless exercise, (3) the tender of shares of Complete Solaria Common Stock previously owned by the optionholder, (4) a net exercise of the option if it is an NSO or (5) other legal consideration approved by the plan administrator.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Complete Solaria’s Common Stock with respect to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exercisable for the first time by an award holder during any calendar year under all of Complete Solaria’s stock plans may not exceed $100,000. Options or portions thereof that exceed such limit will generally be treated as NSOs. No ISO may be granted to any person who, at the time of the grant, owns or is deemed to own stock possessing more than 10% of Complete Solaria’s total combined voting power or that of any of Complete Solaria’s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under restricted stock unit award agreements adopted by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will generally be granted in consideration for a participant’s services, but may be granted in consideration for any form of legal consideration that may be acceptable to the plan administrator and permissible under applicable law. A restricted stock unit award may be settled by cash, delivery of shares of Complete Solaria Common Stock, a combination of cash and shares of Complete Solaria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under restricted stock award agreements adopted by the plan administrator. A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Complete Solaria ends for any reason, Complete Solaria may receive any or all of the shares of Complete Solaria Common Stock held by the participant that have not vested as of the date the participant terminates service with Complete Solaria through a forfeiture condition or a repurchase right.</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under stock appreciation right agreements adopted by the plan administrator.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 right, which generally cannot be less than 100% of the fair market value of Complete Solaria Common Stock on the date of grant. A stock appreciation right granted under the 2023 Plan vests at the rate specified in the stock appreciation right agreement as determined by the plan administrator. Stock appreciation rights may be settled in cash or shares of Complete Solaria Common Stock or in any other form of payment, as determined by the plan administrator and specified in the stock appreciation right agreement.</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Complete Solaria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Complete Solaria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2023 Plan permits the grant of performance awards that may be settled in stock, cash or other property. Performance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Complete Solaria Common Stock.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The plan administrator may grant other awards based in whole or in part by reference to Complete Solaria’s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will set the number of shares under the stock award (or cash equivalent) and all other terms and conditions of such awards.</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there is a specified type of change in the capital structure of Complete Solaria, such as a stock split,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following applies to stock awards under the 2023 Plan in the event of a corporate transaction (as defined in the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unless otherwise provided in a participant’s stock award agreement or other written agreement with Complete Solaria or one of its affiliates or unless otherwise expressly provided by the plan administrator at the time of grant.</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2023 Plan may be assumed, or continued by any surviving or acquiring corporation (or its parent company), or new awards may be issued by such surviving or acquiring corporation (or its parent company) in substitution of such awards, and any reacquisition or repurchase rights held by Complete Solaria with respect to the stock award may be assigned to Complete Solaria’s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Complete Solaria with respect to such stock awards will lapse (contingent upon the effectiveness of the corporate transaction). Any such stock awards that are held by persons other than current participants will terminate if not exercised (if applicable) prior to the effective time of the corporate transaction, except that any reacquisition or repurchase rights held by Complete Solaria with respect to such stock awards will not terminate and may continue to be exercised notwithstanding the corporate transaction.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Complete Solaria Common Stock in connection with the corporate transaction, over (ii) if applicable, any per share exercise price payable by such holder.</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Complete Solaria’s Board has the authority to amend, suspend, or terminate the 2023 Plan at any time, provided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action does not materially impair the existing rights of any participant without such participant’s written consent. Certain material amendments also require approval of Complete Solaria’s stockholders. No ISOs may be granted after the tenth anniversary of the date the Board adopts the 2023 Plan. No stock awards may be granted under the 2023 Plan while it is suspended or after it is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Solaria 2023 Employee Stock Purchase Plan</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In July 2023, our board of directors adopted and our stockholders approved the 2023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The ESPP became effective immediately upon the closing.</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Complete Solaria’s Board, or a duly authorized committee thereof, will administer the ESPP.</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7" w:name="page88"/>
    <w:bookmarkEnd w:id="87"/>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Limitations</w:t>
      </w:r>
      <w:r>
        <w:rPr>
          <w:rFonts w:ascii="Times New Roman" w:cs="Times New Roman" w:eastAsia="Times New Roman" w:hAnsi="Times New Roman"/>
          <w:sz w:val="18"/>
          <w:szCs w:val="18"/>
          <w:color w:val="auto"/>
        </w:rPr>
        <w:t>. Complete Solaria’s employees and the employees of any of its designated affiliates, as designated by Complete Solaria’s Board,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participate in the ESPP, provided they may have to satisfy one or more of the following service requirements before participating in the ESPP, as determined by the administrator: (1) customary employment with Complete Solaria or one of its affiliates for more than 20 hours per week and five or more months per calendar year or (2) continuous employment with Complete Solaria or one of its affiliates for a minimum period of time, not to exceed two years, prior to the first date of an offering. In addition, Complete Solaria’s Board may also exclude from participation in the ESPP or any offering, employees who are “highly compensated employees” (within the meaning of Section 423(b)(4)(D) of the Code) or a subset of such highly compensated employees. If this proposal is approved by the stockholders, all the employees of Complete Solaria and its related corporations will be eligible to participate in the ESPP following the Closing. An employee may not be granted rights to purchase stock under the ESPP (a) if such employee immediately after the grant would own stock possessing 5% or more of the total combined voting power or value of all classes of Complete Solaria’s capital stock or (b) to the extent that such rights would accrue at a rate that exceeds $25,000 worth of Complete Solaria capital stock for each calendar year that the rights remain outstanding.</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Complete Solaria’s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Complete Solaria’s stock on any purchase date during the offering period is less than or equal to the fair market value of a share of Complete Solaria’s stock on the first day of the offering period, then that offering will terminate immediately, and the participants in such terminated offering will be automatically enrolled in a new offering that begins immediately after such purchase date.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participant may not transfer purchase rights under the ESPP other than by will, the laws of descent and distribution, or as otherwise provided under the ESPP.</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The ESPP permits participants to purchase shares of Complete Solaria Common Stock through payroll deductions.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determined by the administrator, the purchase price of the shares will be 85% of the lower of the fair market value of Complete Solaria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Complete Solaria and its related corporations.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Withdrawal. </w:t>
      </w:r>
      <w:r>
        <w:rPr>
          <w:rFonts w:ascii="Times New Roman" w:cs="Times New Roman" w:eastAsia="Times New Roman" w:hAnsi="Times New Roman"/>
          <w:sz w:val="18"/>
          <w:szCs w:val="18"/>
          <w:color w:val="auto"/>
        </w:rPr>
        <w:t>Participants may withdraw from an offering by delivering a withdrawal form to Complete Solaria and terminating their contributions.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withdrawal may be elected at any time prior to the end of an offering, except as otherwise provided by the Plan Administrator. Upon such withdrawal, Complete Solaria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of Employment. </w:t>
      </w:r>
      <w:r>
        <w:rPr>
          <w:rFonts w:ascii="Times New Roman" w:cs="Times New Roman" w:eastAsia="Times New Roman" w:hAnsi="Times New Roman"/>
          <w:sz w:val="18"/>
          <w:szCs w:val="18"/>
          <w:color w:val="auto"/>
        </w:rPr>
        <w:t>A participant’s rights under any offering under the ESPP will terminate immediately if the participant either (i) is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employed by Complete Solaria or any of its parent or subsidiary companies (subject to any post-employment participation period required by law) or (ii) is otherwise no longer eligible to participate. In such event, Complete Solaria will distribute to the participant his or her accumulated but unused contributions, without interest.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of certain specified significant corporate transactions, such as a merger or change in control, a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may assume, continue, or substitute each outstanding purchase right. If the successor corporation does not assume, continue, or substitute for the outstanding purchase rights, the offering in progress will be shortened and the participants’ accumulated contributions will be used to purchase shares of Complete Solaria Common Stock within ten business days (or such other period specified by the plan administrator) prior to the corporate transaction, and the participants’ purchase rights will terminate immediately thereafter.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8" w:name="page89"/>
    <w:bookmarkEnd w:id="88"/>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Complete Solaria’s Board has the authority to amend, suspend, or terminate the ESPP, at any time and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certain types of amendments will require the approval of Complete Solaria’s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Complete Solaria’s Board in accordance with the terms of the ESPP.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Solaria 2022 Stock Plan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Complete Solaria’s board of directors adopted, and Complete Solaria’s stockholders approved, the 2022 Plan in October 2022 in connection with the Required Transaction. The 2022 Plan amends and restates Complete Solar’s 2021 Stock Plan.</w:t>
      </w:r>
    </w:p>
    <w:p>
      <w:pPr>
        <w:spacing w:after="0" w:line="1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The 2022 Plan provides for the grant of incentive stock options (“</w:t>
      </w:r>
      <w:r>
        <w:rPr>
          <w:rFonts w:ascii="Times New Roman" w:cs="Times New Roman" w:eastAsia="Times New Roman" w:hAnsi="Times New Roman"/>
          <w:sz w:val="18"/>
          <w:szCs w:val="18"/>
          <w:b w:val="1"/>
          <w:bCs w:val="1"/>
          <w:color w:val="auto"/>
        </w:rPr>
        <w:t>ISOs</w:t>
      </w:r>
      <w:r>
        <w:rPr>
          <w:rFonts w:ascii="Times New Roman" w:cs="Times New Roman" w:eastAsia="Times New Roman" w:hAnsi="Times New Roman"/>
          <w:sz w:val="18"/>
          <w:szCs w:val="18"/>
          <w:color w:val="auto"/>
        </w:rPr>
        <w:t>”) and nonstatutory stock options to purchase shares of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Solaria common stock and restricted stock awards (collectively, “</w:t>
      </w: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18"/>
          <w:szCs w:val="18"/>
          <w:color w:val="auto"/>
        </w:rPr>
        <w:t>”). ISOs may be granted only to Complete Solaria employees and the employees of any parent corporation or subsidiary corporation. All other awards may be granted to Complete Solaria employees, non-employee directors and consultants and the employees and consultants of Complete Solaria affiliates. Complete Solaria has granted stock options and restricted stock awards under the 2022 Plan. As of December 31, 2022, 1,413,851 shares of Complete Solaria common stock were issuable pursuant to outstanding options, restricted stock awards, and other purchase rights and 918,55 shares of Complete Solaria common stock were available for future issuance under the 2022 Plan.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2022 Plan will terminate when the 2023 Plan becomes effective upon the consummation of the Business Combination. However, any outstanding awards granted under the 2022 Plan will remain outstanding, subject to the terms of Complete Solaria’s 2022 Plan and award agreements, until such outstanding options are exercised or until any awards terminate or expire by their terms.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 stock award granted under the 2022 Plan expires or otherwise terminates without being exercised in full, or is settled in cash, the shares of Complete Solaria common stock not acquired pursuant to the stock award again will become available for subsequent issuance under the 2022 Plan (in the event that the 2023 Plan does not become effective as described in the preceding paragraph). In addition, the following types of shares of Complete Solaria common stock under the 2022 Plan may become available for the grant of new stock awards under the 2022 Plan: (1) shares that are forfeited to or repurchased by Complete Solaria prior to becoming fully vested; (2) shares retained to satisfy income or employment withholding taxes; (3) shares retained to pay the exercise or purchase price of a stock award; or (4) shares surrendered pursuant to an option exchange program.</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Complete Solaria’s board of directors, or a duly authorized committee thereof, has the authority to administer the 2022 Plan.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Solaria’s board of directors may also delegate to one or more officers the authority to (1) designate employees (other than other officers or directors) to be recipients of certain stock awards, and (2) grant stock awards to such individuals within parameters specified by the Board. Subject to the terms of the 2022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 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plan administrator. The plan administrator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price for a stock option, provided that the exercise price of a stock option generally cannot be less than 100% of the fair market value of Complete Solaria common stock on the date of grant. Options granted under the 2022 Plan vest at the rate specified by the plan administrator.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9" w:name="page90"/>
    <w:bookmarkEnd w:id="8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plan administrator determines the term of stock options granted under the 2022 Plan, up to a maximum of ten years. Unless the terms of an optionholder’s stock option agreement provide otherwise, if an optionholder’s service relationship with us, or any of Complete Solaria’s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If an optionholder’s service relationship with Complete Solaria or any of its affiliates ceases due to disability or death, or an optionholder dies within 3 months following cessation of service, the optionholder or a beneficiary may generally exercise any vested options for a period of 12 months following such disability or death. In the event of a termination for cause, options generally terminate immediately upon the termination of the individual for cause. In no event may an option be exercised beyond the expiration of its term.</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common stock issued upon the exercise of a stock option will be determined by the plan administrator and may include: (1) cash; (2) check; (3) to the extent permitted under applicable laws, a promissory note; (4) cancellation of indebtedness; (5) other previously owned Complete Solaria shares; (6) a cashless exercise; (7) such other consideration and method of payment permitted under applicable laws; or (8) any combination of the foregoing methods of payment.</w:t>
      </w:r>
    </w:p>
    <w:p>
      <w:pPr>
        <w:spacing w:after="0" w:line="1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Tax Limitations on Incentive Stock Options</w:t>
      </w:r>
      <w:r>
        <w:rPr>
          <w:rFonts w:ascii="Times New Roman" w:cs="Times New Roman" w:eastAsia="Times New Roman" w:hAnsi="Times New Roman"/>
          <w:sz w:val="18"/>
          <w:szCs w:val="18"/>
          <w:color w:val="auto"/>
        </w:rPr>
        <w:t>. The aggregate fair market value, determined at the time of grant, of Complete Solaria common stock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ISOs that are exercisable for the first time by an optionholder during any calendar year under all Complete Solaria stock plans may not exceed $100,000. Options or portions thereof that exceed such limit will generally be treated as NSOs. No ISO may be granted to any person who, at the time of the grant, owns or is deemed to own stock possessing more than 10% of the total combined voting power of Complete Solaria or that of any of its affiliates unless (1) the option exercise price is at least 110% of the fair market value of the stock subject to the option on the date of grant and (2) the term of the ISO does not exceed five years from the date of grant.</w:t>
      </w:r>
    </w:p>
    <w:p>
      <w:pPr>
        <w:spacing w:after="0" w:line="18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Incentive Stock Option Limit</w:t>
      </w:r>
      <w:r>
        <w:rPr>
          <w:rFonts w:ascii="Times New Roman" w:cs="Times New Roman" w:eastAsia="Times New Roman" w:hAnsi="Times New Roman"/>
          <w:sz w:val="18"/>
          <w:szCs w:val="18"/>
          <w:color w:val="auto"/>
        </w:rPr>
        <w:t>. The maximum number of shares of Complete Solaria common stock that may be issued upon the exercise of ISOs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2022 Plan is 6,677,960 shares plus, to the extent permitted by applicable law, any shares that again become available for issuance under the 2022 Plan.</w:t>
      </w:r>
    </w:p>
    <w:p>
      <w:pPr>
        <w:spacing w:after="0" w:line="1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plan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permissible consideration for restricted stock awards are the same as apply to stock options. Common stock acquired under a restricted stock award may, but need not, be subject to a share repurchase option in Complete Solaria’s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Complete Solaria upon the participant’s cessation of continuous service for any reason.</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that there is a specified type of change in Complete Solaria’s capital structure, including without limitation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or recapitalization, extraordinary divided payable in a form other than shares in an amount that has a material effect on the fair market value of the common stock, or any increase or decrease in the number of issued shares effected without receipt of consideration by Complete Solaria, appropriate adjustments will be made to (1) the class and maximum number of shares reserved for issuance under the 2022 Plan, and (2) the class and number of shares and price per share of stock (including any repurchase price per share) subject to outstanding stock awards.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2022 Plan provides that in the event of certain specified significant corporate transactions, unless otherwise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award agreement or other written agreement between Complete Solaria and the award holder, each outstanding award (vested or unvested) will be treated as the plan administrator determines, including (without limitation) taking one or more of the following actions with respect to each stock award, contingent upon the closing or completion of the transaction: (1) arranging for the assumption, continuation or substitution of the stock award by a successor corporation, (2) arranging for the assignment of any reacquisition or repurchase rights held by Complete Solaria in respect of Complete Solaria common stock issued pursuant to the stock award to a successor corporation, or (3) canceling the stock award in exchange for a cash payment, or no payment, as determined by the plan administrator (including a payment equal to the excess, if any, of the fair market value of the shares as of the closing date of such corporate transaction over any exercise or purchase price payable by the holder (which payment may be delayed to the same extent that payment of consideration to the holders of Complete Solaria common stock in connection with the transaction is delayed as a result of any escrow, holdback, earnout or similar contingencies). The plan administrator is not obligated to treat all stock awards or portions thereof in the same manner, and the plan administrator may take different actions with respect to the vested and unvested portions of a stock award.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a significant corporate transaction is generally the consummation of (1) a transfer of all or substantially all of Complete Solaria’s assets, (2) the consummation of a transaction, or series of related transactions, in which any person becomes the beneficial owners of more than 50% of Complete Solaria’s then-outstanding capital stock, or (3) a merger, consolidation or other capital reorganization or business combination transaction of Complete Solaria with our into another corporation, entity or person.</w:t>
      </w:r>
    </w:p>
    <w:p>
      <w:pPr>
        <w:spacing w:after="0" w:line="17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generally may not transfer stock awards under the 2022 Plan other than by will, the laws of descent and distribution 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provided under the 2022 Plan.</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Complete Solaria’s board of directors has the authority to amend, suspend or terminate the 2022 Plan, provided that,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exceptions, such action does not impair the existing rights of any participant without such participant’s written consent. Certain material amendments also require the approval of Complete Solaria’s stockholders. Unless terminated sooner by Complete Solaria’s board of directors, the 2022 Plan will automatically terminate in October, 2032. No stock awards may be granted under the 2022 Plan while it is suspended or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Solar 2011 Stock Plan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Complete Solar’s board of directors adopted the 2011 Plan in January 2011 and was amended from to time by Complete Solar’s board of directors and its stockholders. The 2011 Plan was terminated in November, 2021 in connection with Complete Solaria’s adoption of the 2022 Plan, and no new awards may be granted under it. The 2011 Plan was assumed by Complete Solaria in connection with the Required Transaction. Outstanding awards granted under the 2011 Plan remain outstanding, subject to the terms of the 2011 Plan and award agreements, until such outstanding options are exercised or terminate or expire by their terms. As of December 31, 2022, options to purchase 3,542,418 shares of Complete Solaria’s common stock were outstanding under the 2011 Plan.</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Complete Solaria’s board of directors or a duly authorized committee of the board of directors administers the 2011 Plan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under it.</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Capitalization Adjustments</w:t>
      </w:r>
      <w:r>
        <w:rPr>
          <w:rFonts w:ascii="Times New Roman" w:cs="Times New Roman" w:eastAsia="Times New Roman" w:hAnsi="Times New Roman"/>
          <w:sz w:val="18"/>
          <w:szCs w:val="18"/>
          <w:color w:val="auto"/>
        </w:rPr>
        <w:t>. In the event that any change is made in, or other events occur with respect to, our common stock subject to the 2011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stock award, such as certain mergers, consolidations, reorganizations, recapitalizations, dividends, stock splits, or other similar transactions, appropriate adjustments will be made to the classes, number of shares subject to, and price per share and repurchase price, if applicable, of any outstanding stock awards.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of a sale of all or substantially all of our assets or our merger, consolidation or other capital reorganization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transaction with or into another corporation, entity or person, our 2011 Plan provides that any surviving or acquiring corporation (or parent thereof) may assume or substitute such outstanding awards and any reacquisition or repurchase rights may be assigned to such surviving or acquiring corporation (or parent thereof), or such awards may be terminated in exchange for a payment of cash, securities and/or other property equal to the excess of the fair market value of the portion of the stock subject to such awards vested and exercisable as of immediately prior to the consummation of such corporate transaction. If the surviving or acquiring corporation (or parent thereof) does not assume or substitute outstanding awards in the corporate transaction, or exchange such awards for a payment, then each such outstanding award shall terminate upon consummation of the corporate transaction.</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(as defined in the 2011 Plan), a stock award may be subject to additional acceleration of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exercisability upon or after a change in control, as may be provided in the stock award agreement or in any other written agreement between us and a participant. In the absence of such a provision, no such acceleration will occur.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Amendment of Awards</w:t>
      </w:r>
      <w:r>
        <w:rPr>
          <w:rFonts w:ascii="Times New Roman" w:cs="Times New Roman" w:eastAsia="Times New Roman" w:hAnsi="Times New Roman"/>
          <w:sz w:val="18"/>
          <w:szCs w:val="18"/>
          <w:color w:val="auto"/>
        </w:rPr>
        <w:t>. The plan administrator has the authority to modify outstanding stock awards under our 2011 Plan; provided that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or modification may impair the rights of any participant with respect to awards granted prior to such action without such participant’s written consent.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Solaria 2016 Stock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Solaria’s board of directors adopted, and Solaria’s stockholders approved, the 2016 Plan, in May 2016 and July 2016, respectively. Complete Solaria assumed the 2016 Plan in connection with the Required Transaction. The 2016 Plan was terminated in November 2022 in connection with the Required Transaction, and no new awards may be granted under it. Outstanding awards granted under the 2016 Plan remain outstanding, subject to the terms of the 2016 Plan and award agreements, until such outstanding options are exercised or terminate or expire by their terms. As of December 31, 2022, options to purchase 34,212 shares of Complete Solaria’s common stock were outstanding under the 2016 Plan.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Complete Solaria’s board of directors or a duly authorized committee administers the 2016 Plan and the awards granted under it.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Capitalization Adjustments</w:t>
      </w:r>
      <w:r>
        <w:rPr>
          <w:rFonts w:ascii="Times New Roman" w:cs="Times New Roman" w:eastAsia="Times New Roman" w:hAnsi="Times New Roman"/>
          <w:sz w:val="18"/>
          <w:szCs w:val="18"/>
          <w:color w:val="auto"/>
        </w:rPr>
        <w:t>. In the event that any change is made in, or other events occur with respect to, Complete Solaria’s common stock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2016 Plan or any stock award, such as certain mergers, consolidations, reorganizations, recapitalizations, dividends, stock splits, or other similar transactions, appropriate adjustments will be made to the classes, number of shares subject to, and the price per share, if applicable, of any outstanding stock awards.</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(as defined in the 2016 Plan), our 2016 Plan provides that unless otherwise provided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agreement between us and any participant or unless otherwise expressly provided by the board of directors at the time of grant of an award, any surviving or acquiring corporation (or parent thereof) may assume, continue or substitute such outstanding awards and any reacquisition or repurchase rights may be assigned to such surviving or acquiring corporation (or parent thereof). If the surviving or acquiring corporation (or parent thereof) does not assume, continue or substitute outstanding awards in the corporate transaction, then the board of directors may provide for the accelerated vesting (in whole or in part) of any or all awards or may cancel any award for such consideration, if any, as the board of directors may consider appropriate.</w:t>
      </w:r>
    </w:p>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Amendment of Awards</w:t>
      </w:r>
      <w:r>
        <w:rPr>
          <w:rFonts w:ascii="Times New Roman" w:cs="Times New Roman" w:eastAsia="Times New Roman" w:hAnsi="Times New Roman"/>
          <w:sz w:val="18"/>
          <w:szCs w:val="18"/>
          <w:color w:val="auto"/>
        </w:rPr>
        <w:t>. The plan administrator has the authority to modify outstanding stock awards under our 2016 Plan; provided that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or modification may impair the rights of any participant with respect to awards granted prior to such action without such participant’s written consent.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Solaria 2006 Stock Plan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Solaria’s board of directors adopted, and Solaria’s stockholders approved, the 2006 Plan, in February 2006 and August 2006, respectively, and it was amended and restated from to time by Solaria’s board of directors and its stockholders. The 2006 Plan was terminated in February 2016 in connection with Solaria’s adoption of the 2016 Plan, and no new awards may be granted under it. Complete Solaria assumed the outstanding awards granted pursuant to the 2006 Plan in connection with the Required Transaction. Outstanding awards granted under the 2006 Plan remain outstanding, subject to the terms of the 2006 Plan and award agreements, until such outstanding options are exercised or terminate or expire by their terms. As of December 31, 2022, options to purchase 34,212 shares of Complete Solaria’s common stock were outstanding under the 2006 Plan.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Complete Solaria’s board of directors or a duly authorized committee administers the 2006 Plan and the awards granted under it.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Capitalization Adjustments</w:t>
      </w:r>
      <w:r>
        <w:rPr>
          <w:rFonts w:ascii="Times New Roman" w:cs="Times New Roman" w:eastAsia="Times New Roman" w:hAnsi="Times New Roman"/>
          <w:sz w:val="18"/>
          <w:szCs w:val="18"/>
          <w:color w:val="auto"/>
        </w:rPr>
        <w:t>. In the event that any change is made in, or other events occur with respect to, our common stock subject to the 2006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stock award, such as certain mergers, consolidations, reorganizations, recapitalizations, dividends, stock splits, or other similar transactions affecting the shares subject to the 2006 Plan, appropriate adjustments will be made to the class and number of shares subject to, and the price per share, if applicable, of any outstanding stock awards.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2" w:name="page93"/>
    <w:bookmarkEnd w:id="92"/>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(as defined in the 2006 Plan), our 2006 Plan provides that any successor corporation (or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will assume or substitute such outstanding awards and any reacquisition or repurchase rights may be assigned to such surviving or acquiring corporation (or parent thereof). If the surviving or acquiring corporation (or parent thereof) does not assume or substitute outstanding awards in the corporate transaction, then the vesting of outstanding awards held by participants will accelerate in full and any repurchase rights held by us with respect to such awards will lapse, contingent upon the effectiveness of such transaction. Notwithstanding the foregoing, to the extent that stock awards will terminate if not exercised prior to the effective time of a corporate transaction, our board may provide that such awards will be canceled for a payment equal to the excess, if any, of the value of the property the holder would have received upon exercise of such award over any exercise price payable.</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with respect to awards (and, if applicable, shares of restricted stock acquired pursuant to such awards) granted to non-employee directors that are assumed or substituted for, if on or following the date of such assumption or substitution such individual’s status as a director is involuntarily terminated, such individual shall fully vest in and have the right to exercise awards as to all of the shares subject thereto.</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Also, with respect to awards (and, if applicable, shares of restricted stock acquired pursuant to such awards) granted to participants that are assumed or substituted for, if either (x) such participant remains continuously employed by us or our successor through the one-year anniversary of such change in control or (y) such participant’s employment is involuntarily terminated without cause (as such term is defined in the 2006 Plan), or such participant’s duties are material diminished, in either case at any time prior to the one-year anniversary of such change in control, such individual will vest into such awards on an accelerated basis as if such individual had provided an additional 12 months of continuous service, such individual shall fully vest in and have the right to exercise awards as to all of the shares subject thereto.</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Amendment of Awards</w:t>
      </w:r>
      <w:r>
        <w:rPr>
          <w:rFonts w:ascii="Times New Roman" w:cs="Times New Roman" w:eastAsia="Times New Roman" w:hAnsi="Times New Roman"/>
          <w:sz w:val="18"/>
          <w:szCs w:val="18"/>
          <w:color w:val="auto"/>
        </w:rPr>
        <w:t>. The plan administrator has the authority to modify outstanding stock awards under our 2006 Plan; provided that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or modification may impair the rights of any participant with respect to awards granted prior to such action without such participant’s written consent.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Complete Solaria provides benefits to its named executive officers on the same basis as provided to all of its employees, including health, dental and vision insurance; life and disability insurance; and a tax-qualified Section 401(k) plan. Complete Solaria does not maintain any executive-specific benefit or perquisite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Complete Solaria’s directors and executive officers may adopt written plans, known as Rule 10b5-1 plans, in which they will contract with a broker to buy or sell shares of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Complete Solaria’s directors and executive officers also may buy or sell additional shares outside of a Rule 10b5-1 plan when they are not in possession of material nonpublic information, subject to compliance with the terms of our insider trading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Complete Solaria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than the compensation arrangements for our directors and executive officers, which are described in the section titled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below is a description of transactions since January 1, 2021 to which we were a party, in which:</w:t>
      </w:r>
    </w:p>
    <w:p>
      <w:pPr>
        <w:spacing w:after="0" w:line="207"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2, 2021, simultaneously with the closing of the IPO, FACT completed the private sale of an aggregate of 6,266,667 FACT Private Placement Warrants to the Sponsor at a purchase price of $1.50 per FACT Private Placement Warrant, generating gross proceeds to FACT of $9.4 million.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FACT Private Placement Warrant is exercisable for one whole share of Complete Solaria Common Stock at a price of $11.50 per share, subject to adjustment. A portion of the proceeds from the sale of the private placement warrants to the Sponsor was added to the proceeds from the IPO held in the Trust Account. The FACT Private Placement Warrants are non-redeemable for cash and exercisable on a cashless basis so long as they are held by the Sponsor or its permitted transferees.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FACT entered into a Sponsor Support Agreement with the Sponsor, the parties thereto, including the FACT Initial Shareholders (together, the “</w:t>
      </w:r>
      <w:r>
        <w:rPr>
          <w:rFonts w:ascii="Times New Roman" w:cs="Times New Roman" w:eastAsia="Times New Roman" w:hAnsi="Times New Roman"/>
          <w:sz w:val="18"/>
          <w:szCs w:val="18"/>
          <w:b w:val="1"/>
          <w:bCs w:val="1"/>
          <w:color w:val="auto"/>
        </w:rPr>
        <w:t>Sponsor Signatories</w:t>
      </w:r>
      <w:r>
        <w:rPr>
          <w:rFonts w:ascii="Times New Roman" w:cs="Times New Roman" w:eastAsia="Times New Roman" w:hAnsi="Times New Roman"/>
          <w:sz w:val="18"/>
          <w:szCs w:val="18"/>
          <w:color w:val="auto"/>
        </w:rPr>
        <w:t>”, and Complete Solaria, pursuant to which the Sponsor Signatories agreed to, among other things:</w:t>
      </w:r>
    </w:p>
    <w:p>
      <w:pPr>
        <w:spacing w:after="0" w:line="176"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favor of the Business Combination Agreement and the transactions contemplated thereby;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redeem their FACT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Closing, at each of the first three annual meetings of the stockholders of Complete Solaria vote all of their shares of Complete Solaria Common Stock in favor of Mr. Thiam for election to the board of directors of Complete Solaria;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bound by certain other agreements and covenants related to the Business Combination, including vesting and forfeiture restrictions with respect to certain shares held by the Sponsor.</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Sponsor Support Agreement was entered into as an inducement for FACT and Complete Solaria to enter into the Business Combination Agreement, and consideration was not provided to the Sponsor Signatories in exchange for entering into the Sponsor Support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At Closing, Complete Solaria, the Sponsor, the Sponsor Key Holders (as defined in the Lock-Up Agreement) and Complete Solaria Key Holders (as defined in the Lock-Up Agreement), entered into the Lock-Up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Lock-Up Agreement contains certain restrictions on transfer with respect to securities of Complete Solaria held by the Sponsor, Sponsor Key Holders and Complete Solaria Key Holders immediately following the Closing (including shares of Complete Solaria Common Stock, Complete Solaria Private Warrants and any shares of Complete Solaria Common Stock issuable upon the exercise, conversion or settlement of derivative securities and promissory notes). Such restrictions began at the Closing and end on the earlier of (x) the twelve month anniversary of the Closing and (y) the date on which the volume weighted average price of Complete Solaria Common Stock equals or exceeds $12.00 per share (as adjusted for stock splits, stock dividends, reorganizations, recapitalizations and the like) for any twenty trading days within any thirty consecutive trading day period beginning after the date that is 180 calendar days after the Closing and ending 365 calendar days following the Closing.</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working capital lending arrangements between the Sponsor and third party investors, certain restrictions on transfer on the Class B Ordinary Shares (or shares into which such Class B Ordinary Shares convert), solely to be transferred by the Sponsor to such investors, were or shall be reduced to the three month anniversary of the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Fees to China Bridge Capital</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2021, FACT entered into an agreement with CBC, an affiliate of Edward Zeng, who is a member of the FACT board of directors, pursuant to which CBC agreed to provide advisory and investment banking services to FACT in connection with a potential business combination. Under amendment subsequent agreement, dated June 3, 2022, which supersedes the previous agreement among the parties, FACT agreed to pay CBC a customary advisory fee that would be negotiated at the time of the business combination. Mr. Gishen, on behalf of FACT, Mr. Zeng, in his capacity as a representative of CBC, are holding ongoing negotiations regarding the amount of the advisory fee payable to CBC under its June 2022 letter agreement with FACT. Prior the execution of the Original Business Combination Agreement, the FACT Special Committee and FACT Board approved a potential fee arrangement between FACT and CBC. The June 2022 agreement between FACT and CBC may be terminated by FACT or CBC at any time, with or without cause.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business combination, the Sponsor, and certain of FACT’s officers and directors, loaned FACT funds (“</w:t>
      </w:r>
      <w:r>
        <w:rPr>
          <w:rFonts w:ascii="Times New Roman" w:cs="Times New Roman" w:eastAsia="Times New Roman" w:hAnsi="Times New Roman"/>
          <w:sz w:val="18"/>
          <w:szCs w:val="18"/>
          <w:b w:val="1"/>
          <w:bCs w:val="1"/>
          <w:color w:val="auto"/>
        </w:rPr>
        <w:t>Working Capital Loans</w:t>
      </w:r>
      <w:r>
        <w:rPr>
          <w:rFonts w:ascii="Times New Roman" w:cs="Times New Roman" w:eastAsia="Times New Roman" w:hAnsi="Times New Roman"/>
          <w:sz w:val="18"/>
          <w:szCs w:val="18"/>
          <w:color w:val="auto"/>
        </w:rPr>
        <w:t>”). After the closing of the business combination, FACT repaid the Working Capital Loans. After giving effect to the April 2022 FACT Note, June 2022 FACT Note and December 2022 FACT Note described below, up to $1.325 million of additional Working Capital Loans were convertible into Private Placement Warrants of the post business combination entity at a price of $1.50 per warrant at the option of the lender. Such warrants are identical to the Private Placement Warrants. As of December 31, 2021 and 2020, FACT had no borrowings under the Working Capital Loans.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1, 2022, FACT issued the April 2022 FACT Note. The proceeds of the April 2022 FACT Note, which was drawn down from time to time until FACT consummated the initial business combination, were used for general working capital purposes. The April 2022 FACT Note bore no interest and was payable in full upon the earlier to occur of (i) 24 months from the closing of the IPO (or such later date as may be extended in accordance with the terms of our amended and restated memorandum and articles of association) or (ii) the closing of the business combination. A failure to pay the principal within five business days of the date specified above or the commencement of a voluntary or involuntary bankruptcy action would have been deemed an event of default, in which case the April 2022 FACT Note may have been accelerated. Prior to FACT’s first payment of all or any portion of the principal balance of the April 2022 FACT Note in cash, the Sponsor had the option to convert all, but not less than all, of the principal balance of the April 2022 FACT Note into Working Capital Warrants, each warrant exercisable for one ordinary share of FACT at an exercise price of $1.50 per share. The terms of the Working Capital Warrants are identical to the warrants issued by FACT to the Sponsor in a private placement that was consummated in connection with the IPO. The Sponsor is entitled to certain registration rights relating to the Working Capital Warrants. The issuance of the April 2022 FACT Note was made pursuant to the exemption from registration contained in Section 4(a)(2) of the Securities Act.</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6, 2022, FACT issued the June 2022 FACT Note. The proceeds of the June 2022 FACT Note, which was drawn down from time to time until FACT consummated the initial business combination, were used for general working capital purposes. The June 2022 FACT Note bore no interest and is payable in full upon the earlier to occur of (i) 24 months from the closing of the IPO (or such later date as may be extended in accordance with the terms of our amended and restated memorandum and articles of association) or (ii) the closing of the business combination. A failure to pay the principal within five business days of the date specified above or the commencement of a voluntary or involuntary bankruptcy action would have been deemed an event of default, in which case the June 2022 FACT Note would have been accelerated. Prior to FACT’s first payment of all or any portion of the principal balance of the June 2022 FACT Note in cash, the Sponsor had the option to convert all, but not less than all, of the principal balance of the June 2022 FACT Note into Working Capital Warrants, each warrant exercisable for one ordinary share of FACT at an exercise price of $1.50 per share. The terms of the Working Capital Warrants were identical to the warrants issued by FACT to the Sponsor in a private placement that was consummated in connection with the IPO. The Sponsor is entitled to certain registration rights relating to the Working Capital Warrants. The issuance of the June 2022 FACT Note was made pursuant to the exemption from registration contained in Section 4(a)(2) of the Securities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On December 14, 2022, FACT issued the December 2022 FACT Note. The proceeds of the December 2022 FACT Note, which were drawn down from time to time until FACT consummated the initial business combination, were used for general working capital purposes. The December 2022 FACT Note bore no interest and was payable in full upon the earlier to occur of (i) 24 months from the closing of our IPO (or such later date as may be extended in accordance with the terms of our Articles of Association) or (ii) the closing of the business combination. A failure to pay the principal within five business days of the date specified above or the commencement of a voluntary or involuntary bankruptcy action would have been deemed an event of default, in which case the December 2022 FACT Note may have been accelerated. Prior to FACT’s first payment of all or any portion of the principal balance of the December 2022 FACT Note in cash, the payees thereunder had the option to convert all, but not less than all, of the principal balance of the December 2022 FACT Note into Working Capital Warrants, each warrant exercisable for one ordinary share of FACT at an exercise price of $1.50 per share. The terms of the Working Capital Warrants are identical to the warrants issued by FACT to the Sponsor in a private placement that was consummated in connection with the IPO. The payees under the December 2022 FACT Note are entitled to certain registration rights relating to the Working Capital Warrants. The issuance of the December 2022 FACT Note was made pursuant to the exemption from registration contained in Section 4(a)(2) of the Securities Act.</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28, 2023, FACT issued the February 2023 FACT Note. The proceeds of the February 2023 FACT Note, $1,600,000 of which was drawn down on or about the date thereof, $400,000 of which was drawn down, in accordance with the schedule set forth therein when FACT chose to extend the date by which it would consummate the initial business combination beyond June 2, 2023, and $100,000 of which was drawn down on an as-needed basis with the mutual consent of FACT and the Sponsor, was used for general working capital purposes. The February 2023 FACT Note bore no interest and was payable in full upon the consummation of a business combination. A failure to pay the principal within five business days of the date specified above or the commencement of a voluntary or involuntary bankruptcy action would have been deemed an event of default, in which case the February 2023 FACT Note may have been accelerated. The issuance of the February 2023 FACT Note was made pursuant to the exemption from registration contained in Section 4(a)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of the Securities Act.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31, 2023, FACT issued the May 2023 FACT Note. The proceeds of the May 2023 FACT Note were used for general working capital purposes. The May 2023 FACT Note bore no interest and was payable in full upon the consummation of a business combination. A failure to pay the principal within five business days of the date specified above or the commencement of a voluntary or involuntary bankruptcy action would have been deemed an event of default, in which case the May 2023 FACT Note may have been accelerated. The issuance of the May 2023 FACT Note was made pursuant to the exemption from registration contained in Section 4(a)(2)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Service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FACT agreed to pay the Sponsor up to $10,000 per month for office space and administrative support services. These were paid on a monthly basis via invoices, and there was no amount due under the Administrative Services Agreement as of December 31, 2021. For the years ended December 31, 2021 and 2022, FACT paid the Sponsor $2,114 and $0, respectively, in expenses in connection with such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Complete Solaria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Solaria 2022 Note Financing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Beginning on October 3, 2022, Complete Solar entered into the Complete Solaria Subscription Agreements with certain investors pursuant to which such investors purchased the 2022 Convertible Notes. In addition, the Rodgers Massey Revocable Living Trust purchased a convertible note from Complete Solaria in an amount equal to approximately $6.7 million (the “</w:t>
      </w:r>
      <w:r>
        <w:rPr>
          <w:rFonts w:ascii="Times New Roman" w:cs="Times New Roman" w:eastAsia="Times New Roman" w:hAnsi="Times New Roman"/>
          <w:sz w:val="18"/>
          <w:szCs w:val="18"/>
          <w:b w:val="1"/>
          <w:bCs w:val="1"/>
          <w:color w:val="auto"/>
        </w:rPr>
        <w:t>RMRLT Rollover Note</w:t>
      </w:r>
      <w:r>
        <w:rPr>
          <w:rFonts w:ascii="Times New Roman" w:cs="Times New Roman" w:eastAsia="Times New Roman" w:hAnsi="Times New Roman"/>
          <w:sz w:val="18"/>
          <w:szCs w:val="18"/>
          <w:color w:val="auto"/>
        </w:rPr>
        <w:t>”), in consideration for Rodgers Massey Revocable Living Trust’s former investment in Solaria, which were assumed and cancelled by Complete Solaria. The RMRLT Rollover Note and the 2022 Convertible Notes accrue interest at a rate of 5% per annum. Immediately prior to the Closing, the RMRLT Rollover Note and the 2022 Convertible Notes converted into that number of shares of common stock of Complete Solaria equal to (x) the principal amount together with all accrued interest of the 2022 Notes divided by 0.75, divided by (y) the price of a share of common stock of Complete Solaria used to determine the conversion ratio in the Business Combination Agreement. In addition, the Sponsor transferred to the holders of 2022 Convertible Notes a pro rata percentage of (i) 666,667 Founder Shares and (ii) 484,380 Private Placement Warrants held by the Sponsor.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RMRLT Rollover Note and the 2022 Convertible Notes with related persons.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Private</w:t>
            </w:r>
          </w:p>
        </w:tc>
      </w:t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Placement</w:t>
            </w:r>
          </w:p>
        </w:tc>
      </w:tr>
      <w:tr>
        <w:trPr>
          <w:trHeight w:val="245"/>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6"/>
        </w:trPr>
        <w:tc>
          <w:tcPr>
            <w:tcW w:w="7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Rodgers Massey Revocable Living Trust(1)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6,723,179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1,039,988(6)</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Rodgers Massey Revocable Living Trust(1)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4,000,000</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616,482(7)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48,470</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Rodgers Massey Revocable Living Trust(1)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3,500,000</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543,449(8)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42,411</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Rodgers Massey Revocable Living Trust(1)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3,500,000</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528,490(9)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42,411</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Zeng(2).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2,400,000</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372,237(10)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29,081</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Tidjane Thiam(3)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155,270(11)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12,177</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NextG Tech Limited(4)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900,000</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135,897(12)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10,905</w:t>
            </w: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Adam Gishen(5)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15,526(13)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line="282"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Thurman J. “TJ” Rodgers is the Chief Executive Officer of Complete Solaria, a member of Complete Solaria’s board of directors, and trustee of the Rodgers Massey Revocable Living Trust. The Rodgers Massey Revocable Living Trust is a 5% holder of Complete Solaria’s capital Stock.</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Zeng was a director of FACT until the Closing of the Business Combination.</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Tidjane Thiam was the Executive Chairman of FACT until the Closing of the Business Combination and is a director of Complete Solaria.</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NextG is an affiliate of Edward Zeng, a former director of FACT.</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Gishen was the Chief Executive Officer of FACT and is a director of Complete Solaria.</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927,860 shares of Complete Solaria common stock and 112,128 Founder Shares.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549,771 shares of Complete Solaria common stock and 66,711 Founder Shares.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485,077 shares of Complete Solaria common stock and 58,372 Founder Shares.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470,118 shares of Complete Solaria common stock and 58,372 Founder Shares.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332,211 shares of Complete Solaria common stock and 40,026 Founder Shares.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138,593 shares of Complete Solaria common stock and 16,677 Founder Shares.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120,887 shares of Complete Solaria common stock and 15,010 Founder Shares.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13,859 shares of Complete Solaria common stock and 1,667 Founder Shares.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holders of 2022 Convertible Notes are entitled to receive, on a pro rata basis, up to an additional (i) 333,333 shares of Complete Solaria Common Stock, at a purchase price of $0.0001 per share, if within the first 12 months following the Closing Date, the volume weighted average price of Complete Solaria Common Stock equals or exceeds $12.50 per share for a period of at least 20 days out of 30 consecutive days on which the shares of Complete Solaria Common Stock are traded on a stock exchange, and (ii) 333,333 shares of Complete Solaria Common Stock, at a purchase price of $0.0001 per share, if within the first 12 months following the Closing Date, the volume weighted average price of Complete Solaria Common Stock equals or exceeds $15.00 per share for a period of at least 20 days out of 30 consecutive days on which the shares of Complete Solaria Common Stock are traded on a stock exchange,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Support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3, 2022, FACT, Complete Solar and certain stockholders of Complete Solar, entered into the Complete Solar Stockholder Support Agreement, whereby each of the parties thereto agreed to, among other things, vote to adopt and approve, upon the effectiveness of the Registration Statement, the Business Combination and all other documents and transactions contemplated thereby. Additionally, certain stockholders of Complete Solar agreed, among other things, to effect the Complete Solar Preferred Conversion, not to transfer any of their shares of Complete Solar common stock and Complete Solar preferred stock (or enter into any arrangement with respect thereto), subject to certain customary exceptions, or enter into any voting arrangement that is inconsistent with the Complete Solar Stockholder Support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Solar and Solaria Merger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3, 2022, Complete Solar and Solaria entered into a Required Transaction Merger Agreement to form Complete Solaria. Pursuant to the Required Transaction Merger Agreement, Solaria was acquired by Complete Solar Holding Corporation and Complete Solar Midco, LLC, by means of a statutory merger of Complete Solar Merger Sub, Inc., with and into Solaria, pursuant to which Solaria would survive and become a wholly-owned subsidiary of Complete Solar Midco, LLC an indirect wholly-owned Subsidiary of Complete Solar Holding Corporation.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Required Transaction, certain stockholders of Complete Solar who were formerly holders of securities of Solaria have a right to appoint Antonio R. Alvarez, Thurman J. Rodgers and Steven J. Gomo to the Board of Directors of Complete Solaria. Thurman J. Rodgers is trustee of the Rodgers Massey Revocable Living Trust, which is a 5% holder of Complete Solaria Capital Stock. Further, Vikas Desai and Arnaud Lepert were offered employment with Complete Solaria. Equity and other compensation, termination, change in control and other arrangements for these individuals are described in the section titled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Required Transaction, the following Solaria security holders, entities affiliated with Park West Asset Management LLC; Rodgers Massey Revocable Living Trust; South Lake One, LLC; and Eastern Win Development Holdings Limited, received equity consideration such that each currently holds more than 5% of Complete Solaria’s outstanding capital stock.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Required Transaction, the following Complete Solar stockholders, Ecosystem Integrity Fund II, L.P. and The Libra Foundation, each holds more than 5% of Complete Solaria’s outstanding capital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Solar Preferred Stock Financings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March 2022 through April 2022, Complete Solar issued and sold an aggregate of 2,660,797 shares of its Series D-1 Preferred Stock for a cash purchase price of $4.9733 per share, 62,498 shares of its Series D-2 Preferred Stock for a cash purchase price of $1.8650 per share, and 48,256 shares of its Series D-3 Preferred Stock for a cash purchase price of $1.5542 per share (together, the “</w:t>
      </w:r>
      <w:r>
        <w:rPr>
          <w:rFonts w:ascii="Times New Roman" w:cs="Times New Roman" w:eastAsia="Times New Roman" w:hAnsi="Times New Roman"/>
          <w:sz w:val="18"/>
          <w:szCs w:val="18"/>
          <w:b w:val="1"/>
          <w:bCs w:val="1"/>
          <w:color w:val="auto"/>
        </w:rPr>
        <w:t>Complete Solar Series D Preferred Stock</w:t>
      </w:r>
      <w:r>
        <w:rPr>
          <w:rFonts w:ascii="Times New Roman" w:cs="Times New Roman" w:eastAsia="Times New Roman" w:hAnsi="Times New Roman"/>
          <w:sz w:val="18"/>
          <w:szCs w:val="18"/>
          <w:color w:val="auto"/>
        </w:rPr>
        <w:t>”), for aggregate gross proceeds of $13.4 million. Each share of Complete Solar’s Series D Preferred Stock was cancelled in exchange for the right to receive shares of the Complete Solaria’s Common Stock upon the Closing.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January 2020, Complete Solar issued and sold an aggregate of 2,800,283 shares of its Series C-1 Preferred Stock for a cash purchase price of $2.6497 per share for aggregate gross proceeds of $7.4 million (the “</w:t>
      </w:r>
      <w:r>
        <w:rPr>
          <w:rFonts w:ascii="Times New Roman" w:cs="Times New Roman" w:eastAsia="Times New Roman" w:hAnsi="Times New Roman"/>
          <w:sz w:val="18"/>
          <w:szCs w:val="18"/>
          <w:b w:val="1"/>
          <w:bCs w:val="1"/>
          <w:color w:val="auto"/>
        </w:rPr>
        <w:t>Complete Solar Series C Preferred Stock</w:t>
      </w:r>
      <w:r>
        <w:rPr>
          <w:rFonts w:ascii="Times New Roman" w:cs="Times New Roman" w:eastAsia="Times New Roman" w:hAnsi="Times New Roman"/>
          <w:sz w:val="18"/>
          <w:szCs w:val="18"/>
          <w:color w:val="auto"/>
        </w:rPr>
        <w:t>”). Each share of Complete Solar’s Series C-1 Preferred Stock was cancelled in exchange for the right to receive shares of the Complete Solaria’s Common Stock upon the Closing.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participation in the foregoing transactions by Complete Solaria’s directors, executive officers, and holders of more than 5% of any class of Complete Solaria’s capital stock as of the date of such transactions: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Solar Preferred Stock Transactions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Series C-1</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Series D-1</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Stockholder</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Libra Foundation(1)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1,301,791</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158,448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3,947,507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Ecosystem Integrity Fund II, L.P.(2)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628,524</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672,280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4,675,791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Libra Foundation is a 5% holder of Complete Solaria capital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Ecosystem Integrity Fund II, L.P. is a 5% holder of Complete Solaria capital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Solaria Preferred Stock Financings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June 2019 through July 2020, Solaria issued and sold an aggregate of 5,367,134 shares of its Series E-1 Preferred Stock for a cash purchase price of $9.17 per share (the “</w:t>
      </w:r>
      <w:r>
        <w:rPr>
          <w:rFonts w:ascii="Times New Roman" w:cs="Times New Roman" w:eastAsia="Times New Roman" w:hAnsi="Times New Roman"/>
          <w:sz w:val="18"/>
          <w:szCs w:val="18"/>
          <w:b w:val="1"/>
          <w:bCs w:val="1"/>
          <w:color w:val="auto"/>
        </w:rPr>
        <w:t>Solaria Series E Preferred Stock</w:t>
      </w:r>
      <w:r>
        <w:rPr>
          <w:rFonts w:ascii="Times New Roman" w:cs="Times New Roman" w:eastAsia="Times New Roman" w:hAnsi="Times New Roman"/>
          <w:sz w:val="18"/>
          <w:szCs w:val="18"/>
          <w:color w:val="auto"/>
        </w:rPr>
        <w:t>”), for aggregate gross proceeds of $47.5 million. Shares of Solaria’s Series E Preferred Stock were exchanged for shares in Complete Solaria pursuant to the terms of the Required Transaction.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Solaria Preferred Stock Transactions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8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Series E-1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Stockholder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Rodgers Massey Revocable Living Trust(1)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2,363,776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680" w:type="dxa"/>
            <w:vAlign w:val="bottom"/>
            <w:gridSpan w:val="3"/>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Rodgers Massey Revocable Living</w:t>
            </w:r>
          </w:p>
        </w:tc>
        <w:tc>
          <w:tcPr>
            <w:tcW w:w="5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Trust is a 5% holder of Complete Solaria capital stock.</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Solaria previously entered into certain Simple Agreements for Future Equity (“</w:t>
      </w:r>
      <w:r>
        <w:rPr>
          <w:rFonts w:ascii="Times New Roman" w:cs="Times New Roman" w:eastAsia="Times New Roman" w:hAnsi="Times New Roman"/>
          <w:sz w:val="18"/>
          <w:szCs w:val="18"/>
          <w:b w:val="1"/>
          <w:bCs w:val="1"/>
          <w:color w:val="auto"/>
        </w:rPr>
        <w:t>SAFEs</w:t>
      </w:r>
      <w:r>
        <w:rPr>
          <w:rFonts w:ascii="Times New Roman" w:cs="Times New Roman" w:eastAsia="Times New Roman" w:hAnsi="Times New Roman"/>
          <w:sz w:val="18"/>
          <w:szCs w:val="18"/>
          <w:color w:val="auto"/>
        </w:rPr>
        <w:t>”) to raise funding. In connection with the Required Transaction, the outstanding Solaria SAFEs were assumed by and assigned to Complete Solaria and converted into Complete Solaria stock. The SAFE dated December 24, 2020 and amended February 23, 2021, by and between Solaria and Rodgers Massey Revocable Living Trust, for a purchase amount of $2,000,000, converted to 453,981 shares of Complete Solaria stock at a price per share of $4.405464. The SAFE dated March 3, 2022 and amended March 11, 2022, by and between Solaria and Rodgers Massey Revocable Living Trust, for a purchase amount of $2,000,000, converted to 453,981 shares of Complete Solaria stock at a price per share of $4.405464. Thurman J. “TJ” Rodgers is the Chief Executive Officer, a member of Complete Solaria’s board of directors, and trustee of the Rodgers Massey Revocable Living Trust. The Rodgers Massey Revocable Living Trust is a 5% holder of Complete Solaria’s capital Stock. The SAFE dated March 12, 2021, by and between Solaria and entities affiliated with Park West Asset Management LLC, for a total purchase amount of $17,500,000. Park West Investors Master Fund, Limited invested $15,500,000, which converted into 3,518,358 shares Complete Solaria stock at a price per share of $4.405464. Park West Partners International, Limited invested $2,000,000, which converted into 453,981 shares of Complete Solaria stock at a price per share of $4.405464. The entities affiliated with Park West Asset Management LLC are a 5% holder of Complete Solaria’s capital stock.</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31, 2024, we entered into the First SAFE with the Rodgers Massey Freedom and Free Markets Charitable Trust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in connection with the Purchaser investing $1.5 million in us. The First SAFE was initially convertible into shares of our common stock, par value $0.0001 per share, upon the initial closing of a bona fide transaction or series of transactions with the principal purpose of raising capital, pursuant to which we have issued and sold common stock in an equity financing at a per share conversion price which was equal to the lower of (i) (a) $53.54 million divided by (b) our capitalization immediately prior to such Equity Financing (such conversion price, the “</w:t>
      </w:r>
      <w:r>
        <w:rPr>
          <w:rFonts w:ascii="Times New Roman" w:cs="Times New Roman" w:eastAsia="Times New Roman" w:hAnsi="Times New Roman"/>
          <w:sz w:val="18"/>
          <w:szCs w:val="18"/>
          <w:b w:val="1"/>
          <w:bCs w:val="1"/>
          <w:color w:val="auto"/>
        </w:rPr>
        <w:t>SAFE Price</w:t>
      </w:r>
      <w:r>
        <w:rPr>
          <w:rFonts w:ascii="Times New Roman" w:cs="Times New Roman" w:eastAsia="Times New Roman" w:hAnsi="Times New Roman"/>
          <w:sz w:val="18"/>
          <w:szCs w:val="18"/>
          <w:color w:val="auto"/>
        </w:rPr>
        <w:t>”), and (ii) 80% of the price per share of our common stock sold in the Equity Financing. If we consummated a change of control prior to the termination of the First SAFE, the Purchaser will would have been automatically entitled to receive a portion of the proceeds of such liquidity event equal to the greater of (i) $1.5 million and (ii) the amount payable on the number of shares of our common stock equal to (a) $1.5 million divided by (b)(1) $53.54 million divided by (2) our capitalization immediately prior to such liquidity event (the “</w:t>
      </w:r>
      <w:r>
        <w:rPr>
          <w:rFonts w:ascii="Times New Roman" w:cs="Times New Roman" w:eastAsia="Times New Roman" w:hAnsi="Times New Roman"/>
          <w:sz w:val="18"/>
          <w:szCs w:val="18"/>
          <w:b w:val="1"/>
          <w:bCs w:val="1"/>
          <w:color w:val="auto"/>
        </w:rPr>
        <w:t>Liquidity Price</w:t>
      </w:r>
      <w:r>
        <w:rPr>
          <w:rFonts w:ascii="Times New Roman" w:cs="Times New Roman" w:eastAsia="Times New Roman" w:hAnsi="Times New Roman"/>
          <w:sz w:val="18"/>
          <w:szCs w:val="18"/>
          <w:color w:val="auto"/>
        </w:rPr>
        <w:t>”), subject to certain adjustments as set forth in the First SAFE. The First SAFE was convertible into a maximum of 1,431,297 shares of our common stock, assuming a per share conversion price of $1.05, which is the product of (i) $1.31, the closing price of our common stock on January 31, 2024, multiplied by (ii) 80%.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15, 2024, we entered into the Second SAFE with the Purchaser in connection with the Purchaser investing $3.5 million in us. The Second SAFE was initially convertible into shares of our common stock upon the initial closing of an Equity Financing at a per share conversion price which was equal to the lower of (i) the SAFE Price, and (ii) 80% of the price per share of our common stock sold in the Equity Financing. If we consummated a change of control prior to the termination of the Second SAFE, the Purchaser would have been automatically entitled to receive an amount equal to the greater of (i) $3.5 million and (ii) the amount payable on the number of shares of our common stock equal to $3.5 million divided by the Liquidity Price, subject to certain adjustments as set forth in the Second SAFE. The Second SAFE was convertible into a maximum of 3,707,627 shares of our common stock, assuming a per share conversion price of $0.94, which is the product of (i) $1.18, the closing price of our common stock on February 15, 2024, multiplied by (ii) 80%.</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21, 2024, we entered into an amendment to each of our First SAFE and Second SAFE with the Rodgers Massey Freedom and Free Markets Charitable Trust to convert the invested amounts into shares of our common stock. The conversion share price was $0.36, calculated as the product of (i) $0.45, the closing price of our common stock on April 19, 2024, multiplied by (ii) 80%. The First SAFE and Second SAFE converted into 4,166,667 and 9,722,222 shares of our common stock, respectively.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13, 2024, we entered into the Rodgers Group SAFE with the Rodgers Group in connection with the Rodgers Group investment of $1,000,000. The Rodgers Group SAFE is convertible into shares of Common Stock upon the initial closing of a bona fide transaction or series of transactions with the principal purpose of raising capital, pursuant to which we issue and sell Common Stock in an equity financing at a per share conversion price which is equal to 50% of the price per share of common stock sold in the Equity Financing. If we consummate a change of control prior to the termination of the Rodgers Group SAFE, the Rodgers Group will be automatically entitled to receive a portion of the proceeds of such liquidity event equal to $1,000,000, subject to certain adjustments as set forth in the Rodgers Group SAFE. The Rodgers Group SAFE is convertible into a maximum of 2,750,000 shares of common stock, assuming a per share conversion price of $0.275, which is the product of (i) $0.55, the closing price of the common stock on May 13, 2024, multiplied by (ii) 50%. Thurman J. Rodgers is a trustee of the Rodgers Group, the Executive Chairman of our board of directors, and our Chief Executive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Complete Solaria issued warrants to purchase shares of its capital stock to certain holders of 5% of its capital stock. The following table summarizes the participation in the foregoing transactions by Complete Solaria’s holders of more than 5% of any class of Complete Solaria’s capital stock as of the date of such transactions:</w:t>
      </w:r>
    </w:p>
    <w:tbl>
      <w:tblPr>
        <w:tblLayout w:type="fixed"/>
        <w:tblInd w:w="0" w:type="dxa"/>
        <w:tblCellMar>
          <w:top w:w="0" w:type="dxa"/>
          <w:left w:w="0" w:type="dxa"/>
          <w:bottom w:w="0" w:type="dxa"/>
          <w:right w:w="0" w:type="dxa"/>
        </w:tblCellMar>
      </w:tblPr>
      <w:tr>
        <w:trPr>
          <w:trHeight w:val="195"/>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00"/>
              <w:spacing w:after="0" w:line="195" w:lineRule="exact"/>
              <w:rPr>
                <w:sz w:val="20"/>
                <w:szCs w:val="20"/>
                <w:color w:val="auto"/>
              </w:rPr>
            </w:pPr>
            <w:r>
              <w:rPr>
                <w:rFonts w:ascii="Times New Roman" w:cs="Times New Roman" w:eastAsia="Times New Roman" w:hAnsi="Times New Roman"/>
                <w:sz w:val="18"/>
                <w:szCs w:val="18"/>
                <w:b w:val="1"/>
                <w:bCs w:val="1"/>
                <w:color w:val="auto"/>
              </w:rPr>
              <w:t>Series C</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Preferred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Stockholder</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Libra Foundation(1)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358,341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Ecosystem Integrity Fund II, L.P.(2)</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Libra Foundation is a 5% holder of Complete Solaria capital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Ecosystem Integrity Fund II, L.P. is a 5% holder of Complete Solaria capital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Assignment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On October 5, 2023, Complete Solaria entered into an assignment and acceptance agreement (the “</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with Rodgers Massey Revocable Living Trust and other parties. Pursuant to the terms of the Assignment Agreement, among other things, Rodgers Massey Revocable Living Trust assumed $1,500,000 of the aggregate $5,000,000 in revolving loans outstanding for Complete Solaria under that certain Loan Agreement. Thurman J. “TJ” Rodgers is the Executive Chairman of Complete Solaria’s board of directors, and trustee of the Rodgers Massey Revocable Living Trust. The Rodgers Massey Revocable Living Trust is a 5% holder of Complete Solaria’s capital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Agreements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18, 2023, the Company entered into separate common stock purchase agreements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 with the Rodgers Massey Freedom and Free Markets Charitable Trust and the Rodgers Massey Revocable Living Trust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Pursuant to the terms of the Purchase Agreements, each Purchaser purchased 1,838,235 shares of common stock of the Company, par value $0.0001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per share of $1.36, representing an aggregate purchase price of $4,999,999.20. The Purchasers paid for the Shares in cash. Thurman J. “TJ” Rodgers is the Chief Executive Officer, Executive Chairman of Complete Solaria’s board of directors and is a trustee of the Rodgers Massey Freedom and Free Markets Charitable Trust and the Rodgers Massey Revocable Living Trust. Rodgers Massey Revocable Living Trust is a 5% holder of Complete Solaria’s capital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 2024, we entered into the Exchange Agreement with Carlyle and Kline Hill, pursuant to which, among other things, we agreed to issue (i) convertible notes to Carlyle and Kline Hill and (ii) shares of Common Stock to Kline Hill. For more details, see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Recent Developments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Exchange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Purchase Agreements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 2024, the Company entered into the Purchase Agreements with Kline Hill. Pursuant to the terms of the Purchase Agreements, Kline Hill purchased an aggregate of 1,500,000 shares of Common Stock in consideration for the cancellation of indebtedness owed to Kline Hill. Kline Hill is a 5% holder of Complete Solaria’s capital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Note Financing</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 2024, we entered into Note Purchase Agreements and the Exchange Agreement (together the “</w:t>
      </w:r>
      <w:r>
        <w:rPr>
          <w:rFonts w:ascii="Times New Roman" w:cs="Times New Roman" w:eastAsia="Times New Roman" w:hAnsi="Times New Roman"/>
          <w:sz w:val="18"/>
          <w:szCs w:val="18"/>
          <w:b w:val="1"/>
          <w:bCs w:val="1"/>
          <w:color w:val="auto"/>
        </w:rPr>
        <w:t>July 2024 Purchase Agreement</w:t>
      </w:r>
      <w:r>
        <w:rPr>
          <w:rFonts w:ascii="Times New Roman" w:cs="Times New Roman" w:eastAsia="Times New Roman" w:hAnsi="Times New Roman"/>
          <w:sz w:val="18"/>
          <w:szCs w:val="18"/>
          <w:color w:val="auto"/>
        </w:rPr>
        <w:t>”), pursuant to which we issued to certain accredited investors and qualified institutional buyers approximately $50.0 million in aggregate principal amount in a convertible promissory note (the “</w:t>
      </w:r>
      <w:r>
        <w:rPr>
          <w:rFonts w:ascii="Times New Roman" w:cs="Times New Roman" w:eastAsia="Times New Roman" w:hAnsi="Times New Roman"/>
          <w:sz w:val="18"/>
          <w:szCs w:val="18"/>
          <w:b w:val="1"/>
          <w:bCs w:val="1"/>
          <w:color w:val="auto"/>
        </w:rPr>
        <w:t>July 2024 Notes</w:t>
      </w:r>
      <w:r>
        <w:rPr>
          <w:rFonts w:ascii="Times New Roman" w:cs="Times New Roman" w:eastAsia="Times New Roman" w:hAnsi="Times New Roman"/>
          <w:sz w:val="18"/>
          <w:szCs w:val="18"/>
          <w:color w:val="auto"/>
        </w:rPr>
        <w:t>”). The July 2024 Notes accrue at a rate of interest of 12.0% which will be payable semiannually in arrears on January 1 and July 1 of each year, beginning on July 1, 2025. The July 2024 Notes are convertible at the option of the holders at any time prior to the payment of the payment of the principal amount of such convertible note in full. Upon conversion of any convertible note, the Company will satisfy its conversion obligation by delivering shares of Common Stock and paying cash in respect of any fractional shares. The conversion rate for the convertible notes is initially equal to 595.2381 shares of common stock per $1,000 principal amount due under the convertible notes, which is equivalent to an initial conversion price of approximately $1.68 per share of Common Stock and represents a premium of approximately 50.0% above the last reported sale price of the Common Stock on the Nasdaq Global Market on June 28, 2024. The conversion rate shall be subject to adjustment from time to time pursuant to the terms of the convertible notes. The following table summarizes the participation in the July 2024 Note Financing by Complete Solaria’s holders of more than 5% of any class of Complete Solaria’s capital stock as of the date of such transactions: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4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45"/>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Stockholder</w:t>
            </w:r>
          </w:p>
        </w:tc>
        <w:tc>
          <w:tcPr>
            <w:tcW w:w="5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Rodgers Massey Revocable Living Trust</w:t>
            </w:r>
          </w:p>
        </w:tc>
        <w:tc>
          <w:tcPr>
            <w:tcW w:w="5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CRSEF Solis Holdings, L.L.C.</w:t>
            </w:r>
          </w:p>
        </w:tc>
        <w:tc>
          <w:tcPr>
            <w:tcW w:w="5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Kline Hill Partners Opportunity IV SPV LLC</w:t>
            </w:r>
          </w:p>
        </w:tc>
        <w:tc>
          <w:tcPr>
            <w:tcW w:w="5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1,993,183</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Kline Hill Partners IV SPV LLC</w:t>
            </w:r>
          </w:p>
        </w:tc>
        <w:tc>
          <w:tcPr>
            <w:tcW w:w="5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1,993,183</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Kline Hill Partners Fund LP</w:t>
            </w:r>
          </w:p>
        </w:tc>
        <w:tc>
          <w:tcPr>
            <w:tcW w:w="5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3,986,365</w:t>
            </w:r>
          </w:p>
        </w:tc>
      </w:tr>
      <w:tr>
        <w:trPr>
          <w:trHeight w:val="655"/>
        </w:trPr>
        <w:tc>
          <w:tcPr>
            <w:tcW w:w="44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jc w:val="right"/>
              <w:ind w:right="409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Complete Solaria has entered into employment agreements with certain of its executive officers. For more information regarding these agreements with Complete Solaria’s named executive officers, see the section titled “</w:t>
      </w:r>
      <w:r>
        <w:rPr>
          <w:rFonts w:ascii="Times New Roman" w:cs="Times New Roman" w:eastAsia="Times New Roman" w:hAnsi="Times New Roman"/>
          <w:sz w:val="18"/>
          <w:szCs w:val="18"/>
          <w:i w:val="1"/>
          <w:iCs w:val="1"/>
          <w:color w:val="auto"/>
        </w:rPr>
        <w:t>Executive and Director Compensation-Employment Arrangements with 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Grants to Directors and Executive Officers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Complete Solaria has granted stock options to certain of its directors and executive officers. For more information regarding the stock options and stock awards granted to Complete Solaria’s directors and named executive officers, see the section titled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Complete Solaria entered into new indemnification agreements with the directors and officers of Complete Solaria following the Business Combination.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Complete Solaria’s certificate of incorporation contains provisions limiting the liability of directors, and Complete Solaria’s amended and restated bylaws provide that Complete Solaria will indemnify each of its directors and officers to the fullest extent permitted under Delaware law. Complete Solaria’s amended and restated certificate of incorporation and amended and restated bylaws also provide the Complete Solaria’s Board with discretion to indemnify Complete Solaria’s employees and other agents when determined appropriate by Complete Solaria’s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Complete Solaria Board adopted a written related person transactions policy that sets forth Complete Solaria’s policies and procedures regarding the identification, review, consideration and oversight of “related person transactions.” For purposes of the Complete Solaria policy only, a “related person transaction” is a transaction, arrangement or relationship (or any series of similar transactions, arrangements or relationships) in which the Complete Solaria or any of its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Complete Solaria’s voting securities, an officer with knowledge of a proposed transaction, must present information regarding the proposed related person transaction to the Complete Solaria’s audit committee (or, where review by the Complete Solaria’s audit committee would be inappropriate, to another independent body of the Board) for review. To identify related person transactions in advance, the Complete Solaria will rely on information supplied by Complete Solaria’s executive officers, directors and certain significant stockholders. In considering a related person transaction, Complete Solaria’s audit committee will take into account the relevant available facts and circumstances, which may include, but are not limited to:</w:t>
      </w:r>
    </w:p>
    <w:p>
      <w:pPr>
        <w:spacing w:after="0" w:line="187"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Complete Solaria;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related person’s interest in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and terms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recommendation with respect to the proposed related person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is on terms comparable to those that could be obtained in an arm’s length transaction.</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Complete Solaria’s audit committee will approve only those transactions that it determines are fair to us and in Complete Solaria’s best interests. All of the transactions described above were entered into prior to the adoption of such policy.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our common stock as of July 16, 2024 by:</w:t>
      </w:r>
    </w:p>
    <w:p>
      <w:pPr>
        <w:spacing w:after="0" w:line="22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the outstanding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and director;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Complete Solaria as a group.</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are deemed outstanding, while such shares are not deemed outstanding for purposes of computing percentage ownership of any other person.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13G or 13D filed with the SEC. Unless otherwise indicated in the footnotes to this table and subject to community property laws where applicable, we believe that all persons named in the table have sole voting and investment power with respect to all shares of our common stock beneficially owned by them. Applicable percentages are based on 50,881,169 shares of common stock outstanding as of July 16, 2024, adjusted as required by rules promulgated by the SEC.</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16"/>
        </w:trPr>
        <w:tc>
          <w:tcPr>
            <w:tcW w:w="86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45"/>
        </w:trPr>
        <w:tc>
          <w:tcPr>
            <w:tcW w:w="8640" w:type="dxa"/>
            <w:vAlign w:val="bottom"/>
            <w:gridSpan w:val="4"/>
            <w:vMerge w:val="continue"/>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16"/>
        </w:trPr>
        <w:tc>
          <w:tcPr>
            <w:tcW w:w="85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5% or Greater Stockholders: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40" w:type="dxa"/>
            <w:vAlign w:val="bottom"/>
            <w:shd w:val="clear" w:color="auto" w:fill="CCEEFF"/>
          </w:tcPr>
          <w:p>
            <w:pPr>
              <w:spacing w:after="0"/>
              <w:rPr>
                <w:sz w:val="22"/>
                <w:szCs w:val="22"/>
                <w:color w:val="auto"/>
              </w:rPr>
            </w:pPr>
          </w:p>
        </w:tc>
        <w:tc>
          <w:tcPr>
            <w:tcW w:w="8500" w:type="dxa"/>
            <w:vAlign w:val="bottom"/>
            <w:gridSpan w:val="3"/>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Ecosystem Integrity Fund II, L.P.</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8,399,653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500" w:type="dxa"/>
            <w:vAlign w:val="bottom"/>
            <w:gridSpan w:val="3"/>
          </w:tcPr>
          <w:p>
            <w:pPr>
              <w:ind w:left="40"/>
              <w:spacing w:after="0" w:line="256" w:lineRule="exact"/>
              <w:rPr>
                <w:sz w:val="20"/>
                <w:szCs w:val="20"/>
                <w:color w:val="auto"/>
              </w:rPr>
            </w:pPr>
            <w:r>
              <w:rPr>
                <w:rFonts w:ascii="Times New Roman" w:cs="Times New Roman" w:eastAsia="Times New Roman" w:hAnsi="Times New Roman"/>
                <w:sz w:val="18"/>
                <w:szCs w:val="18"/>
                <w:color w:val="auto"/>
              </w:rPr>
              <w:t>Thurman J. (T.J.) Rodgers</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10,758,657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56"/>
        </w:trPr>
        <w:tc>
          <w:tcPr>
            <w:tcW w:w="140" w:type="dxa"/>
            <w:vAlign w:val="bottom"/>
            <w:shd w:val="clear" w:color="auto" w:fill="CCEEFF"/>
          </w:tcPr>
          <w:p>
            <w:pPr>
              <w:spacing w:after="0"/>
              <w:rPr>
                <w:sz w:val="22"/>
                <w:szCs w:val="22"/>
                <w:color w:val="auto"/>
              </w:rPr>
            </w:pPr>
          </w:p>
        </w:tc>
        <w:tc>
          <w:tcPr>
            <w:tcW w:w="8500" w:type="dxa"/>
            <w:vAlign w:val="bottom"/>
            <w:gridSpan w:val="3"/>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Entities affiliated with Edward Zeng</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5,523,612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500" w:type="dxa"/>
            <w:vAlign w:val="bottom"/>
            <w:gridSpan w:val="3"/>
          </w:tcPr>
          <w:p>
            <w:pPr>
              <w:ind w:left="40"/>
              <w:spacing w:after="0" w:line="256" w:lineRule="exact"/>
              <w:rPr>
                <w:sz w:val="20"/>
                <w:szCs w:val="20"/>
                <w:color w:val="auto"/>
              </w:rPr>
            </w:pPr>
            <w:r>
              <w:rPr>
                <w:rFonts w:ascii="Times New Roman" w:cs="Times New Roman" w:eastAsia="Times New Roman" w:hAnsi="Times New Roman"/>
                <w:sz w:val="18"/>
                <w:szCs w:val="18"/>
                <w:color w:val="auto"/>
              </w:rPr>
              <w:t>Entities affiliated with Park West Asset Management LLC</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3,017,383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6"/>
        </w:trPr>
        <w:tc>
          <w:tcPr>
            <w:tcW w:w="140" w:type="dxa"/>
            <w:vAlign w:val="bottom"/>
            <w:shd w:val="clear" w:color="auto" w:fill="CCEEFF"/>
          </w:tcPr>
          <w:p>
            <w:pPr>
              <w:spacing w:after="0"/>
              <w:rPr>
                <w:sz w:val="22"/>
                <w:szCs w:val="22"/>
                <w:color w:val="auto"/>
              </w:rPr>
            </w:pPr>
          </w:p>
        </w:tc>
        <w:tc>
          <w:tcPr>
            <w:tcW w:w="8500" w:type="dxa"/>
            <w:vAlign w:val="bottom"/>
            <w:gridSpan w:val="3"/>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Entities affiliated with Polar Asset Management Partners Inc.</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4,556,106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500" w:type="dxa"/>
            <w:vAlign w:val="bottom"/>
            <w:gridSpan w:val="3"/>
          </w:tcPr>
          <w:p>
            <w:pPr>
              <w:ind w:left="40"/>
              <w:spacing w:after="0" w:line="256" w:lineRule="exact"/>
              <w:rPr>
                <w:sz w:val="20"/>
                <w:szCs w:val="20"/>
                <w:color w:val="auto"/>
              </w:rPr>
            </w:pPr>
            <w:r>
              <w:rPr>
                <w:rFonts w:ascii="Times New Roman" w:cs="Times New Roman" w:eastAsia="Times New Roman" w:hAnsi="Times New Roman"/>
                <w:sz w:val="18"/>
                <w:szCs w:val="18"/>
                <w:color w:val="auto"/>
              </w:rPr>
              <w:t>Entities Affiliated with Meteora</w:t>
            </w:r>
            <w:r>
              <w:rPr>
                <w:rFonts w:ascii="Times New Roman" w:cs="Times New Roman" w:eastAsia="Times New Roman" w:hAnsi="Times New Roman"/>
                <w:sz w:val="29"/>
                <w:szCs w:val="29"/>
                <w:color w:val="auto"/>
                <w:vertAlign w:val="superscript"/>
              </w:rPr>
              <w:t>(7)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56"/>
        </w:trPr>
        <w:tc>
          <w:tcPr>
            <w:tcW w:w="140" w:type="dxa"/>
            <w:vAlign w:val="bottom"/>
            <w:shd w:val="clear" w:color="auto" w:fill="CCEEFF"/>
          </w:tcPr>
          <w:p>
            <w:pPr>
              <w:spacing w:after="0"/>
              <w:rPr>
                <w:sz w:val="22"/>
                <w:szCs w:val="22"/>
                <w:color w:val="auto"/>
              </w:rPr>
            </w:pPr>
          </w:p>
        </w:tc>
        <w:tc>
          <w:tcPr>
            <w:tcW w:w="8500" w:type="dxa"/>
            <w:vAlign w:val="bottom"/>
            <w:gridSpan w:val="3"/>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Entities Affiliated with the Carlyle Group</w:t>
            </w:r>
            <w:r>
              <w:rPr>
                <w:rFonts w:ascii="Times New Roman" w:cs="Times New Roman" w:eastAsia="Times New Roman" w:hAnsi="Times New Roman"/>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10,888,864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40" w:type="dxa"/>
            <w:vAlign w:val="bottom"/>
            <w:shd w:val="clear" w:color="auto" w:fill="CCEEFF"/>
          </w:tcPr>
          <w:p>
            <w:pPr>
              <w:spacing w:after="0"/>
              <w:rPr>
                <w:sz w:val="22"/>
                <w:szCs w:val="22"/>
                <w:color w:val="auto"/>
              </w:rPr>
            </w:pPr>
          </w:p>
        </w:tc>
        <w:tc>
          <w:tcPr>
            <w:tcW w:w="8500" w:type="dxa"/>
            <w:vAlign w:val="bottom"/>
            <w:gridSpan w:val="3"/>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William J. Anderson</w:t>
            </w:r>
            <w:r>
              <w:rPr>
                <w:rFonts w:ascii="Times New Roman" w:cs="Times New Roman" w:eastAsia="Times New Roman" w:hAnsi="Times New Roman"/>
                <w:sz w:val="29"/>
                <w:szCs w:val="29"/>
                <w:color w:val="auto"/>
                <w:vertAlign w:val="superscript"/>
              </w:rPr>
              <w:t>(9)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1,782,772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500" w:type="dxa"/>
            <w:vAlign w:val="bottom"/>
            <w:gridSpan w:val="3"/>
          </w:tcPr>
          <w:p>
            <w:pPr>
              <w:ind w:left="40"/>
              <w:spacing w:after="0" w:line="256" w:lineRule="exact"/>
              <w:rPr>
                <w:sz w:val="20"/>
                <w:szCs w:val="20"/>
                <w:color w:val="auto"/>
              </w:rPr>
            </w:pPr>
            <w:r>
              <w:rPr>
                <w:rFonts w:ascii="Times New Roman" w:cs="Times New Roman" w:eastAsia="Times New Roman" w:hAnsi="Times New Roman"/>
                <w:sz w:val="18"/>
                <w:szCs w:val="18"/>
                <w:color w:val="auto"/>
              </w:rPr>
              <w:t>Antonio R. Alvarez</w:t>
            </w:r>
            <w:r>
              <w:rPr>
                <w:rFonts w:ascii="Times New Roman" w:cs="Times New Roman" w:eastAsia="Times New Roman" w:hAnsi="Times New Roman"/>
                <w:sz w:val="29"/>
                <w:szCs w:val="29"/>
                <w:color w:val="auto"/>
                <w:vertAlign w:val="superscript"/>
              </w:rPr>
              <w:t>(10)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277,070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8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Daniel Foley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500" w:type="dxa"/>
            <w:vAlign w:val="bottom"/>
            <w:gridSpan w:val="3"/>
          </w:tcPr>
          <w:p>
            <w:pPr>
              <w:ind w:left="40"/>
              <w:spacing w:after="0" w:line="256" w:lineRule="exact"/>
              <w:rPr>
                <w:sz w:val="20"/>
                <w:szCs w:val="20"/>
                <w:color w:val="auto"/>
              </w:rPr>
            </w:pPr>
            <w:r>
              <w:rPr>
                <w:rFonts w:ascii="Times New Roman" w:cs="Times New Roman" w:eastAsia="Times New Roman" w:hAnsi="Times New Roman"/>
                <w:sz w:val="18"/>
                <w:szCs w:val="18"/>
                <w:color w:val="auto"/>
              </w:rPr>
              <w:t>Devin Whatley</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8,399,653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56"/>
        </w:trPr>
        <w:tc>
          <w:tcPr>
            <w:tcW w:w="140" w:type="dxa"/>
            <w:vAlign w:val="bottom"/>
            <w:shd w:val="clear" w:color="auto" w:fill="CCEEFF"/>
          </w:tcPr>
          <w:p>
            <w:pPr>
              <w:spacing w:after="0"/>
              <w:rPr>
                <w:sz w:val="22"/>
                <w:szCs w:val="22"/>
                <w:color w:val="auto"/>
              </w:rPr>
            </w:pPr>
          </w:p>
        </w:tc>
        <w:tc>
          <w:tcPr>
            <w:tcW w:w="8500" w:type="dxa"/>
            <w:vAlign w:val="bottom"/>
            <w:gridSpan w:val="3"/>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Tidjane Thiam</w:t>
            </w:r>
            <w:r>
              <w:rPr>
                <w:rFonts w:ascii="Times New Roman" w:cs="Times New Roman" w:eastAsia="Times New Roman" w:hAnsi="Times New Roman"/>
                <w:sz w:val="29"/>
                <w:szCs w:val="29"/>
                <w:color w:val="auto"/>
                <w:vertAlign w:val="superscript"/>
              </w:rPr>
              <w:t>(11)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3,733,573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500" w:type="dxa"/>
            <w:vAlign w:val="bottom"/>
            <w:gridSpan w:val="3"/>
          </w:tcPr>
          <w:p>
            <w:pPr>
              <w:ind w:left="40"/>
              <w:spacing w:after="0" w:line="256" w:lineRule="exact"/>
              <w:rPr>
                <w:sz w:val="20"/>
                <w:szCs w:val="20"/>
                <w:color w:val="auto"/>
              </w:rPr>
            </w:pPr>
            <w:r>
              <w:rPr>
                <w:rFonts w:ascii="Times New Roman" w:cs="Times New Roman" w:eastAsia="Times New Roman" w:hAnsi="Times New Roman"/>
                <w:sz w:val="18"/>
                <w:szCs w:val="18"/>
                <w:color w:val="auto"/>
              </w:rPr>
              <w:t>Adam Gishen</w:t>
            </w:r>
            <w:r>
              <w:rPr>
                <w:rFonts w:ascii="Times New Roman" w:cs="Times New Roman" w:eastAsia="Times New Roman" w:hAnsi="Times New Roman"/>
                <w:sz w:val="29"/>
                <w:szCs w:val="29"/>
                <w:color w:val="auto"/>
                <w:vertAlign w:val="superscript"/>
              </w:rPr>
              <w:t>(12)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908,284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6"/>
        </w:trPr>
        <w:tc>
          <w:tcPr>
            <w:tcW w:w="140" w:type="dxa"/>
            <w:vAlign w:val="bottom"/>
            <w:shd w:val="clear" w:color="auto" w:fill="CCEEFF"/>
          </w:tcPr>
          <w:p>
            <w:pPr>
              <w:spacing w:after="0"/>
              <w:rPr>
                <w:sz w:val="22"/>
                <w:szCs w:val="22"/>
                <w:color w:val="auto"/>
              </w:rPr>
            </w:pPr>
          </w:p>
        </w:tc>
        <w:tc>
          <w:tcPr>
            <w:tcW w:w="8500" w:type="dxa"/>
            <w:vAlign w:val="bottom"/>
            <w:gridSpan w:val="3"/>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Brian Wuebbels</w:t>
            </w:r>
            <w:r>
              <w:rPr>
                <w:rFonts w:ascii="Times New Roman" w:cs="Times New Roman" w:eastAsia="Times New Roman" w:hAnsi="Times New Roman"/>
                <w:sz w:val="29"/>
                <w:szCs w:val="29"/>
                <w:color w:val="auto"/>
                <w:vertAlign w:val="superscript"/>
              </w:rPr>
              <w:t>(13)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107,564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8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Ronald Pasek</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8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Chris Lundell</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8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25,967,573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850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Less than one percent.</w:t>
            </w:r>
          </w:p>
        </w:tc>
        <w:tc>
          <w:tcPr>
            <w:tcW w:w="5820" w:type="dxa"/>
            <w:vAlign w:val="bottom"/>
            <w:gridSpan w:val="2"/>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60" w:hanging="452"/>
        <w:spacing w:after="0" w:line="282"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directors and executive officers of the Company is c/o Complete Solaria, Inc., 45700 Northport Loop East, Fremont, CA 94538.</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5,832,054 shares held by Ecosystem Integrity Fund II, L.P. of which Mr. Devin Whatley is the managing member of the general partner, (ii) 198,346 shares held by EIF CS SPV LLC and (iii) 2,369,253 shares issuable pursuant to Complete Solaria Warrants exercisable within 60 days of July 16, 2024. The business address of each of Ecosystem Integrity Fund II, L.P., EIF CS SPV LLC and Mr. Whatley is 20 Richelle Court, Lafayette, California 94549.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ind w:left="460" w:right="20" w:hanging="452"/>
        <w:spacing w:after="0" w:line="282"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485,562 shares held by Rodgers Capital, LLC, (ii) 8,842 shares held by Thurman Rodgers, (iii) 9,539,837 shares held by Rodgers Massey Revocable Living Trust and (iv) 724,416 shares issuable pursuant to Complete Solaria Warrants exercisable within 60 days of July 16, 2024.</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NextG Tech Limited, an affiliate of Edward Zeng, a director of FACT until the Closing of the Business Combination. Includes (i) 1,536,903 shares of common stock held by NextG Tech Limited, (ii) 3,585,391 shares held by NextG Tech Limited issuable pursuant to Complete Solaria Warrants exercisable within 60 days of July 16, 2024, (iii) 372,237 shares of common stock held by Mr. Zeng and (iv) 29,081 shares held by Mr. Zeng issuable pursuant to Complete Solaria Warrants exercisable within 60 days of July 16, 2024.</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58"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obtained from a Schedule 13G/A filed by Park West Asset Management LLC on February 14, 2024. Represents shares held by Park West Asset Management LLC, Park West Investors Master Fund, Limited, Park West Partners International, Limited and Peter S. Park. Park West Asset Management LLC is the investment manager to Park West Investors Master Fund, Limited and Park West Partners International, Limited, and Peter S. Park, through one or more affiliated entities, is the controlling manager of Park West Asset Management LLC. The principal business address is c/o Park West Asset Management LLC, 1 Letterman Drive, Building C, Suite C5-900, San Francisco, CA 94129.</w:t>
      </w:r>
    </w:p>
    <w:p>
      <w:pPr>
        <w:spacing w:after="0" w:line="183"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obtained from a Schedule 13G/A filed by Polar Asset Management Partners Inc. on February 12, 2024. Represents shares held by Polar Multi-Strategy Master Fund, a Cayman Islands exempted company (“</w:t>
      </w:r>
      <w:r>
        <w:rPr>
          <w:rFonts w:ascii="Times New Roman" w:cs="Times New Roman" w:eastAsia="Times New Roman" w:hAnsi="Times New Roman"/>
          <w:sz w:val="18"/>
          <w:szCs w:val="18"/>
          <w:b w:val="1"/>
          <w:bCs w:val="1"/>
          <w:color w:val="auto"/>
        </w:rPr>
        <w:t>PMSMF</w:t>
      </w:r>
      <w:r>
        <w:rPr>
          <w:rFonts w:ascii="Times New Roman" w:cs="Times New Roman" w:eastAsia="Times New Roman" w:hAnsi="Times New Roman"/>
          <w:sz w:val="18"/>
          <w:szCs w:val="18"/>
          <w:color w:val="auto"/>
        </w:rPr>
        <w:t>”). PMSMF is under management by Polar Asset Management Partners Inc. (“</w:t>
      </w:r>
      <w:r>
        <w:rPr>
          <w:rFonts w:ascii="Times New Roman" w:cs="Times New Roman" w:eastAsia="Times New Roman" w:hAnsi="Times New Roman"/>
          <w:sz w:val="18"/>
          <w:szCs w:val="18"/>
          <w:b w:val="1"/>
          <w:bCs w:val="1"/>
          <w:color w:val="auto"/>
        </w:rPr>
        <w:t>PAMPI</w:t>
      </w:r>
      <w:r>
        <w:rPr>
          <w:rFonts w:ascii="Times New Roman" w:cs="Times New Roman" w:eastAsia="Times New Roman" w:hAnsi="Times New Roman"/>
          <w:sz w:val="18"/>
          <w:szCs w:val="18"/>
          <w:color w:val="auto"/>
        </w:rPr>
        <w:t>”). PAMPI serves as investment advisor of the Polar Fund and has control and discretion over the shares held by the Polar Fund. As such, PAMPI may be deemed the beneficial owner of the shares held by the Polar Fund. PAMPI disclaims any beneficial ownership of the reported shares other than to the extent of any pecuniary interest therein. The ultimate natural persons who have voting and dispositive power over the shares held by the Polar Fund are Paul Sabourin and Abdalla Ruken, Co-Chief Investment Officers of PAMPI. The address for Polar Asset Management Partners Inc. is 16 York Street, Suite 2900, Toronto, ON, Canada M5J 0E6.</w:t>
      </w:r>
    </w:p>
    <w:p>
      <w:pPr>
        <w:spacing w:after="0" w:line="184"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Meteora Capital, LLC, a Delaware limited liability company (“</w:t>
      </w:r>
      <w:r>
        <w:rPr>
          <w:rFonts w:ascii="Times New Roman" w:cs="Times New Roman" w:eastAsia="Times New Roman" w:hAnsi="Times New Roman"/>
          <w:sz w:val="18"/>
          <w:szCs w:val="18"/>
          <w:b w:val="1"/>
          <w:bCs w:val="1"/>
          <w:color w:val="auto"/>
        </w:rPr>
        <w:t>Meteora</w:t>
      </w:r>
      <w:r>
        <w:rPr>
          <w:rFonts w:ascii="Times New Roman" w:cs="Times New Roman" w:eastAsia="Times New Roman" w:hAnsi="Times New Roman"/>
          <w:sz w:val="18"/>
          <w:szCs w:val="18"/>
          <w:color w:val="auto"/>
        </w:rPr>
        <w:t>”) and Mr. Vik Mittal, with respect to the shares of common stock held by certain funds and managed accounts to which Meteora Capital serves as investment manager (collectively, the “</w:t>
      </w:r>
      <w:r>
        <w:rPr>
          <w:rFonts w:ascii="Times New Roman" w:cs="Times New Roman" w:eastAsia="Times New Roman" w:hAnsi="Times New Roman"/>
          <w:sz w:val="18"/>
          <w:szCs w:val="18"/>
          <w:b w:val="1"/>
          <w:bCs w:val="1"/>
          <w:color w:val="auto"/>
        </w:rPr>
        <w:t>Meteora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Funds</w:t>
      </w:r>
      <w:r>
        <w:rPr>
          <w:rFonts w:ascii="Times New Roman" w:cs="Times New Roman" w:eastAsia="Times New Roman" w:hAnsi="Times New Roman"/>
          <w:sz w:val="18"/>
          <w:szCs w:val="18"/>
          <w:color w:val="auto"/>
        </w:rPr>
        <w:t>”). Mr. Mittal serves as the Managing Member of Meteora Capital. The address of the business office of each of the Meteora Funds and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Mittal is 840 Park Drive East, Boca Raton, FL 33444.</w:t>
      </w:r>
    </w:p>
    <w:p>
      <w:pPr>
        <w:spacing w:after="0" w:line="180" w:lineRule="exact"/>
        <w:rPr>
          <w:rFonts w:ascii="Times New Roman" w:cs="Times New Roman" w:eastAsia="Times New Roman" w:hAnsi="Times New Roman"/>
          <w:sz w:val="18"/>
          <w:szCs w:val="18"/>
          <w:color w:val="auto"/>
        </w:rPr>
      </w:pPr>
    </w:p>
    <w:p>
      <w:pPr>
        <w:jc w:val="both"/>
        <w:ind w:left="460" w:hanging="452"/>
        <w:spacing w:after="0" w:line="268" w:lineRule="auto"/>
        <w:tabs>
          <w:tab w:leader="none" w:pos="4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information obtained from a Schedule 13G filed by The Carlyle Group Inc. on July 11, 2024. The Carlyle Group Inc., which is a publicly traded entity listed on Nasdaq, is the sole shareholder of Carlyle Holdings I GP Inc., which is the sole member of Carlyle Holdings I GP Sub L.L.C., which is the general partner of Carlyle Holdings I L.P., which, with respect to the securities managed by CRSEF Lux GP S.à r.l., is the managing member of CG Subsidiary Holdings L.L.C., which is the managing member of TC Group, L.L.C., which is the general partner of TC Group Sub L.P., which is the sole shareholder of CRSEF Lux GP S.à r.l., which is a general partner of Carlyle CRSEF Solis Aggregator, S.C.Sp. The Carlyle Group Inc. is also the sole member of Carlyle Holdings II GP L.L.C., which is the managing member of Carlyle Holdings II L.L.C., which, with respect to the securities managed by CRSEF Managing GP, L.P., is the managing member of CG Subsidiary Holdings L.L.C., which is the general partner of TC Group Cayman Investment Holdings, L.P., which is the general partner of TC Group Cayman Investment Holdings Sub L.P., which is the sole member of CRSEF GP, L.L.C., which is the general partner of CRSEF Managing GP, L.P., which is also a general partner of Carlyle CRSEF Solis Aggregator, S.C.Sp. Carlyle CRSEF Solis Aggregator, S.C.Sp. is the managing member of CRSEF Solis Holdings, L.L.C. Accordingly, each of the entities named above may be deemed to share beneficial ownership of the securities held of record by CRSEF Solis Holdings, L.L.C. Each of them disclaims any such beneficial ownership of such securities. The principal business office address for each of TC Group Cayman Investment Holdings, L.P. and TC Group Cayman Investment Holdings Sub L.P. is c/o Walkers Corporate Limited, 190 Elgin Avenue, George Town, Grand Cayman KY1-9008. The principal business office address for CRSEF Lux GP S.à r.l. and Carlyle CRSEF Solis Aggregator, S.C.Sp. is c/o The Carlyle Group, 2, avenue Charles de Gaulle, L-1653 Luxembourg, Luxembourg. The principal business office address for each of the remaining Reporting Persons is c/o The Carlyle Group Inc., 1001 Pennsylvania Avenue NW, Suite 220 South, Washington, DC 20004-2505.</w:t>
      </w:r>
    </w:p>
    <w:p>
      <w:pPr>
        <w:spacing w:after="0" w:line="179" w:lineRule="exact"/>
        <w:rPr>
          <w:rFonts w:ascii="Times New Roman" w:cs="Times New Roman" w:eastAsia="Times New Roman" w:hAnsi="Times New Roman"/>
          <w:sz w:val="17"/>
          <w:szCs w:val="17"/>
          <w:color w:val="auto"/>
        </w:rPr>
      </w:pPr>
    </w:p>
    <w:p>
      <w:pPr>
        <w:ind w:left="460" w:hanging="452"/>
        <w:spacing w:after="0" w:line="282"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453,386 shares of common stock, (ii) 1,187,569 shares issuable pursuant to stock options exercisable within 60 days of July 16, 2024 and (iii) 141,817 shares issuable pursuant to Complete Solaria Warrants exercisable within 60 days of July 16, 2024.</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277,070 shares issuable pursuant to stock options exercisable within 60 days of July 16, 2024.</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3,721,456 shares of common stock and (ii) 12,117 shares issuable pursuant to Complete Solaria Warrants exercisable within 60 days of July 16, 2024.</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907,073 shares of common stock and (ii) 1,211 shares issuable pursuant to Complete Solaria Warrants exercisable within 60 days of July 16, 2024.</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107,564 shares issuable pursuant to stock options exercisable within 60 days of July 16,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any or all of the shares of common stock or warrants being offered for resale by this prospectus, which consists of:</w:t>
      </w:r>
    </w:p>
    <w:p>
      <w:pPr>
        <w:spacing w:after="0" w:line="162"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7,518,488 PIPE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8,625,000 Founder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6,266,667 shares of common stock issuable upon the exercise of the Private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4,501,123 shares of common stock pursuant to the Registration Rights Agreement (including shares of common stock issuable upon exercise of convertible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6,266,667 Private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716,668 Working Capital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716,668 shares of common stock issuable upon exercise of Working Capital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6,266,572 Merger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6,266,572 shares of common stock issuable upon the exercise of Merger Warrants.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selling securityholders listed below entered into agreements that restrict the transfer of the shares of our common stock that otherwise may be sold from time to time pursuant to the registration statement of which this prospectus forms part. See the section titled “</w:t>
      </w:r>
      <w:r>
        <w:rPr>
          <w:rFonts w:ascii="Times New Roman" w:cs="Times New Roman" w:eastAsia="Times New Roman" w:hAnsi="Times New Roman"/>
          <w:sz w:val="18"/>
          <w:szCs w:val="18"/>
          <w:i w:val="1"/>
          <w:iCs w:val="1"/>
          <w:color w:val="auto"/>
        </w:rPr>
        <w:t>Certain Relationships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Transactions-Lock-Up Agreement</w:t>
      </w:r>
      <w:r>
        <w:rPr>
          <w:rFonts w:ascii="Times New Roman" w:cs="Times New Roman" w:eastAsia="Times New Roman" w:hAnsi="Times New Roman"/>
          <w:sz w:val="18"/>
          <w:szCs w:val="18"/>
          <w:color w:val="auto"/>
        </w:rPr>
        <w:t>” for further discussion.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used in this prospectus, the term “selling securityholders” includes the selling securityholders listed in the table below, together with any additional selling securityholders listed in a subsequent amendment to this prospectus, and their donees, pledgees, assignees, transferees, distributees and successors-in-interest that receive shares in any non-sale transfer after the date of this prospectus.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provides, as of the date of this prospectus, information regarding the beneficial ownership of our common stock of each selling securityholder, the number of shares of common stock that may be sold by each selling securityholder under this prospectus and that each selling securityholder will beneficially own assuming all securities that may be offered pursuant to this prospectus are sold. 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Except as set forth in the footnotes below, (i) the following table does not include up to 8,625,000 shares of common stock issuable upon exercise of the Public Warrants and (ii) the address of each selling securityholder is 45700 Northport Loop East, Fremont, CA 94538.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ind w:left="34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stockholders’ method of distributing these shares.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Pr>
          <w:p>
            <w:pPr>
              <w:spacing w:after="0"/>
              <w:rPr>
                <w:sz w:val="21"/>
                <w:szCs w:val="21"/>
                <w:color w:val="auto"/>
              </w:rPr>
            </w:pPr>
          </w:p>
        </w:tc>
        <w:tc>
          <w:tcPr>
            <w:tcW w:w="298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8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45"/>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PIPE Investors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Park West Asset</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LLC(1)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2,918,519</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1,600,105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1,318,414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600,105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600,105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Bonomi 2001 Trust(2)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60,177</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21,955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38,222</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11,955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Robinov</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37,953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21,795</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Shares Owned by Thurman John Rodgers(3)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7,786,603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3,019,999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4,766,604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724,416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724,416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Owned By Elias Antoun(4)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167,729</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48,425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119,304</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28,425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28,425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Jon D and Linda W Gruber Trust(5)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Meteora(6)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4,300,000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2,238,488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2,061,512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Polar Multi-Strategy Master Fund(7)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4,423,506</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4,091,753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331,753</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132,600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Sandia(8)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Total-PIPE Investors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21,144,487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12,336,883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8,807,604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1,502,826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1,370,226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132,600</w:t>
            </w: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Holders of Registration Rights Pursuant to Registration Rights Agreement</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CRSEF Solis Holdings, L.L.C.(9)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2,745,879</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2,745,879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Ecosystem Integrity</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Fund(10)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8,399,653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1,886,284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6,513,369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2,369,253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1,886,284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482,969</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William J. Anderson(11)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595,203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141,817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453,386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141,817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141,817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Anderson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531,800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126,710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405,090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126,710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126,710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Adam Gishen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908,284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894,425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13,859</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517,488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517,488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Abhishek Bhatia</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568,262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568,262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343,100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343,100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Edward Zeng(12)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5,988,961</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5,145,514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843,447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3,614,472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3,614,472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Tidjane Thiam</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3,733,573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3,594,980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138,593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2,077,225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2,077,225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Structural Capital</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Investments(13)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1,579,325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1,508,440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70,885</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1,508,440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22,172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1,486,268</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 Hua Yeh</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Joseph Wagman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Brener International Group, LLC</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Rustom Jokhi</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Hastings LLP(14)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440,000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LNQ Advisors, LLC</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340,000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Securities, Inc.</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75,556</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75,556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Interest Solutions, LLC</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Noreen Doyle</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William Janetschek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Nell Cady-Kruse</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Total-Holders of Registration Rights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26,396,496</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17,957,867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8,438,629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10,698,505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8,729,268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1,969,237</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5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Holders of Common Stock Warrants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South Lake One, LLC</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1,357,395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323,422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1,033,973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323,422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323,422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Libra Foundation(15)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1,345,633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320,620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1,025,013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493,687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320,620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173,067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Eastern Win Development Holdings Limited</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1,295,922</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308,775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987,147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308,775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308,775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Floodgate Fund III, L.P., on behalf of itself and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nominee for certain other individuals and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641,794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152,918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488,876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152,918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152,918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John Bertuzzi</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623,600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148,583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475,017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148,583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148,583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Aequanimitas LP</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503,725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120,021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383,704</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120,021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120,021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Saperstein Family Revocable Trust u/t/d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8/3/1989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493,965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117,695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376,270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117,695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117,695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Presidio Partners 2007</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LP(16)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402,408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95,880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306,528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95,880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95,880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5"/>
        </w:trPr>
        <w:tc>
          <w:tcPr>
            <w:tcW w:w="3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99"/>
              </w:rPr>
              <w:t>97</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Pr>
          <w:p>
            <w:pPr>
              <w:spacing w:after="0"/>
              <w:rPr>
                <w:sz w:val="21"/>
                <w:szCs w:val="21"/>
                <w:color w:val="auto"/>
              </w:rPr>
            </w:pPr>
          </w:p>
        </w:tc>
        <w:tc>
          <w:tcPr>
            <w:tcW w:w="29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80" w:type="dxa"/>
            <w:vAlign w:val="bottom"/>
            <w:gridSpan w:val="9"/>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r>
      <w:tr>
        <w:trPr>
          <w:trHeight w:val="194"/>
        </w:trPr>
        <w:tc>
          <w:tcPr>
            <w:tcW w:w="382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500" w:type="dxa"/>
            <w:vAlign w:val="bottom"/>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Percent  Beneficially  Number  Beneficially  Percent</w:t>
            </w:r>
          </w:p>
        </w:tc>
      </w:tr>
      <w:tr>
        <w:trPr>
          <w:trHeight w:val="216"/>
        </w:trPr>
        <w:tc>
          <w:tcPr>
            <w:tcW w:w="38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Owned</w:t>
            </w:r>
          </w:p>
        </w:tc>
      </w:tr>
      <w:tr>
        <w:trPr>
          <w:trHeight w:val="216"/>
        </w:trPr>
        <w:tc>
          <w:tcPr>
            <w:tcW w:w="38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6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After</w:t>
            </w:r>
          </w:p>
        </w:tc>
      </w:tr>
      <w:tr>
        <w:trPr>
          <w:trHeight w:val="245"/>
        </w:trPr>
        <w:tc>
          <w:tcPr>
            <w:tcW w:w="3820" w:type="dxa"/>
            <w:vAlign w:val="bottom"/>
          </w:tcPr>
          <w:p>
            <w:pPr>
              <w:spacing w:after="0"/>
              <w:rPr>
                <w:sz w:val="21"/>
                <w:szCs w:val="21"/>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60" w:type="dxa"/>
            <w:vAlign w:val="bottom"/>
          </w:tcPr>
          <w:p>
            <w:pPr>
              <w:spacing w:after="0"/>
              <w:rPr>
                <w:sz w:val="21"/>
                <w:szCs w:val="21"/>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16"/>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Suvi Sharma</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228,638</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54,477</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174,161</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56,624</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54,477</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Serious Change, LP</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205,738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49,020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156,718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49,020</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49,020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UNIVERSE SOLAR ENERGY HOLDINGS INC.</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201,072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47,909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153,163</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47,909</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47,909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Petunia LLC</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189,608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45,177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144,431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45,177</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45,177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Katerra, Inc.</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182,231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43,419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138,812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43,419</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43,419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GCL SYSTEM INTEGRATION TECHNOLOGY</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PTE. LTD.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156,389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37,262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119,127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37,262</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37,262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Orama Investments, LLC</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143,920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34,291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109,629</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34,291</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34,291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Eric Bowen &amp; Co, LLC</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131,504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31,333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100,171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31,333</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31,333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S Price III Revocable Trust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129,292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30,806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98,486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30,806</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30,806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Dinwoodie-Meservey Family Living Trust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119,137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28,386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90,751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28,386</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28,386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Jasper</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187,057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44,569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142,488</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44,569</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44,569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IRAR Trust FBO John Colton Account # 35-38969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111,537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26,575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84,962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26,575</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26,575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Vandermark Trust UA 9-15-05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102,866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24,509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78,357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24,509</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24,509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Dustin Dunaway</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97,626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23,261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74,365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23,261</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23,261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 Saperstein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86,214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20,542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65,672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20,542</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20,542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Sheridan Dose Investment Company LLC</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83,818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19,971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63,847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19,971</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19,971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Jacobus Saperstein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80,507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19,182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61,325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19,182</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19,182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Unmi Abkin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80,507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19,182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61,325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19,182</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19,182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Stones Investments II, LLC</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71,959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17,145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54,814</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17,145</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17,145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Michael P McCormick Rev Trust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71,959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17,145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54,814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17,145</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17,145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Wheeler</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70,398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16,773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53,625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16,773</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16,773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Atika Capital Partners,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LP(17)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86,350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20,574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65,776</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20,574</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20,574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Genine McCormick Rev Trust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64,763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15,431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49,332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15,431</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15,431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Fenice Investment Group, LLC</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63,295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15,081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48,214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15,081</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15,081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Jusong Wang</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58,978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14,052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44,926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14,052</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14,052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Crossroads Partners, LP</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57,567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13,716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43,851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13,716</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13,716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Venture Lending &amp;</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Leasing(18)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97,794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74,494</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23,300</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Alp Saul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42,269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32,198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10,071</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10,071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Shanghai Sunwise Investment Center (Limited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40,864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9,736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31,128</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9,736</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9,736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The Jim and Patty Rouse Charitable Foundation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37,146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8,850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28,296</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8,850</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8,850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Abhay Maheshwari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36,447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27,763</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8,684</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Alex Derbes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35,979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27,407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8,572</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Miller</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35,979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27,407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8,572</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JDV Consulting</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35,979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27,407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8,572</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Lynyard Investments, LP</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35,979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27,407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8,572</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McCormick Descendants Trust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35,979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27,407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8,572</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SBSW Partners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35,979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27,407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8,572</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Stavros Ginnakopoulos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35,979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27,407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8,572</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N. Stein 2012 Irrevocable Trust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35,979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27,407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8,572</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McOuat-Young 2011 Trust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35,760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8,520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27,240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8,520</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8,520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Nidnudim Israel LTD</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35,741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27,225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8,516</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Malik Franklin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34,663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8,259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26,404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8,259</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8,259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Osman Nalbantoglu</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30,897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7,361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23,536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7,361</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7,361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Albert Luu</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12,928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9,848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3,080</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3,080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Sunstarter Capital LLC</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29,489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22,463</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7,026</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Sigma Partners 7, LP(19)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31,076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7,404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23,672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7,404</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7,404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Fortify Capital Investments, LLC</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28,783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6,858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21,925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6,858</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6,858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3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9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20" w:type="dxa"/>
            <w:vAlign w:val="bottom"/>
            <w:gridSpan w:val="8"/>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r>
      <w:tr>
        <w:trPr>
          <w:trHeight w:val="194"/>
        </w:trPr>
        <w:tc>
          <w:tcPr>
            <w:tcW w:w="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16"/>
        </w:trPr>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16"/>
        </w:trPr>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After</w:t>
            </w:r>
          </w:p>
        </w:tc>
      </w:tr>
      <w:tr>
        <w:trPr>
          <w:trHeight w:val="245"/>
        </w:trPr>
        <w:tc>
          <w:tcPr>
            <w:tcW w:w="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16"/>
        </w:trPr>
        <w:tc>
          <w:tcPr>
            <w:tcW w:w="36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Harvey Felman</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Chandoha and Anderson Revocable Trust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26,203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19,960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Hitesh Shah</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25,185</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19,185</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 Biao</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25,123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19,137</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Suidan and Marie Bathiche Living Trust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24,758</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18,859</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5,899</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Dreams LP</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23,827</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5,677</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Anderson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85,132</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20,284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64,848</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20,284</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20,284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Kireker Family Ventures, LLC</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43,976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34,997</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6,478</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Gibson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82,823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19,734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63,089</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19,734</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19,734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Williams Trading LLC</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41,589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31,680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9,909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6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 &amp; L Wenger 2002 Family Trust Dated June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40" w:type="dxa"/>
            <w:vAlign w:val="bottom"/>
            <w:shd w:val="clear" w:color="auto" w:fill="CCEEFF"/>
          </w:tcPr>
          <w:p>
            <w:pPr>
              <w:spacing w:after="0"/>
              <w:rPr>
                <w:sz w:val="20"/>
                <w:szCs w:val="20"/>
                <w:color w:val="auto"/>
              </w:rPr>
            </w:pPr>
          </w:p>
        </w:tc>
        <w:tc>
          <w:tcPr>
            <w:tcW w:w="2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21, 2002</w:t>
            </w:r>
          </w:p>
        </w:tc>
        <w:tc>
          <w:tcPr>
            <w:tcW w:w="7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183,244</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41,646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141,598</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42,362</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38,311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Zapotosky</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123,474</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29,420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94,054</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31,445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29,420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Briz Trading Corporation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41,700</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34,502</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3,029</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Financing Ltd</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41,700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34,502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Golden Heritage Investments Ltd</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41,700</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34,502</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3,029</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Philippe Steffan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41,700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34,502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Bronfman Family Investment Partnership LLLP</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24,465</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20,147</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1,817</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Bronfman Revocable Living Trust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24,465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20,147</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1,817</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Rosalinde and Arthur Gilbert Foundation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81,555</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67,159</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6,058</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RSZ Trust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13,431</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Edgar Haldeman, Jr.</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326,229</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57,590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268,639</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24,235</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HNVR Technology Investment Partners, L.P.</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163,113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28,794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134,319</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12,117</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HNVR II, LP</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165,159</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28,794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136,365</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12,117</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Foris Ventures, LLC(20)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1,649,597</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287,954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1,361,643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121,176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121,176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Kline Hill Partners Fund</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883,534</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195,412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688,122</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170,396</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170,396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Kyra Robinov</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27,953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21,795</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Georgina Asset Management LLC</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 Point Capital, LLC</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Merchant Capital SPAC Fund I LP</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Rachelle Du Rocher</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Marathon Capital Markets, LLC</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Other stockholders cumulatively holding less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5"/>
        </w:trPr>
        <w:tc>
          <w:tcPr>
            <w:tcW w:w="140" w:type="dxa"/>
            <w:vAlign w:val="bottom"/>
          </w:tcPr>
          <w:p>
            <w:pPr>
              <w:spacing w:after="0"/>
              <w:rPr>
                <w:sz w:val="22"/>
                <w:szCs w:val="22"/>
                <w:color w:val="auto"/>
              </w:rPr>
            </w:pPr>
          </w:p>
        </w:tc>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than 1% of 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492,329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117,286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375,043</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117,286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117,286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6"/>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Total-Holders Merger Warrants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15,397,186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3,599,768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11,797,418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3,329,678</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3,150,413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179,265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63"/>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62,938,169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33,894,518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29,043,651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15,531,009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13,249,907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2,281,102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0"/>
        </w:trPr>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346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Represents less than 1%.</w:t>
            </w: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93" w:lineRule="exact"/>
        <w:rPr>
          <w:sz w:val="20"/>
          <w:szCs w:val="20"/>
          <w:color w:val="auto"/>
        </w:rPr>
      </w:pPr>
    </w:p>
    <w:p>
      <w:pPr>
        <w:jc w:val="both"/>
        <w:ind w:left="460" w:hanging="452"/>
        <w:spacing w:after="0" w:line="256"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51,470 PIPE Shares, 270,729 shares of common stock, 68,583 shares of common stock issuable upon exercise of common stock warrants, and 68,583 common stock warrants held by Park West Partners International, Limited, and (ii) 448,530 PIPE Shares, 2,147,790 shares of common stock, 531,522 shares of common stock issuable upon exercise of common stock warrants, and 531,522 shares of common stock warrants held by Park West Investors Master Fund, Limited. Park West Asset Management LLC, and Peter S. Park, through one or more affiliated entities, is the controlling manager of Park West Asset Management LLC. The principal business address is c/o Park West Asset Management LLC, 1 Letterman Drive, Building C, Suite C5-900, San Francisco, CA 94129.</w:t>
      </w:r>
    </w:p>
    <w:p>
      <w:pPr>
        <w:spacing w:after="0" w:line="187"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PIPE Shares, 43,222 shares of common stock, 11,955 shares of common stock issuable upon exercise of warrants, and 11,955 common stock warrants held by Bonomi 2001 Trust.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8" w:name="page109"/>
    <w:bookmarkEnd w:id="108"/>
    <w:p>
      <w:pPr>
        <w:jc w:val="both"/>
        <w:ind w:left="460" w:hanging="452"/>
        <w:spacing w:after="0" w:line="256"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1,000,000 PIPE Shares, 4,863,367 shares of common stock, 569,770 shares of common stock issuable upon exercise of warrants, and 569,770 common stock warrants held by Rodgers Massey Revocable Living Trust, (ii) 485,562 shares of common stock, 151,881 shares of common stock issuable upon exercise of warrants and 151,881 common stock warrants held by Rodgers Capital, LLC, and (iii) 8,842 shares of common stock, 2,765 shares of common stock issuable upon exercise of warrants, and 2,765 common stock warrants held by Thurman John Rodgers. Voting and investment power over the securities held by the foregoing entities resides with Thurman John Rodgers, who may be deemed to be the beneficial owner of the shares. Thurman John Rodgers is a member of the Company’s Board of Directors and Chairman of the Board.</w:t>
      </w:r>
    </w:p>
    <w:p>
      <w:pPr>
        <w:spacing w:after="0" w:line="187" w:lineRule="exact"/>
        <w:rPr>
          <w:rFonts w:ascii="Times New Roman" w:cs="Times New Roman" w:eastAsia="Times New Roman" w:hAnsi="Times New Roman"/>
          <w:sz w:val="18"/>
          <w:szCs w:val="18"/>
          <w:color w:val="auto"/>
        </w:rPr>
      </w:pPr>
    </w:p>
    <w:p>
      <w:pPr>
        <w:jc w:val="both"/>
        <w:ind w:left="460" w:hanging="452"/>
        <w:spacing w:after="0" w:line="256"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15,938 shares of common stock, 4,985 shares of common stock issuable upon exercise of warrants, and 4,985 common stock warrants held by Elias Antoun, (ii) 5,216 shares of common stock, 1,631 shares of common stock issuable upon exercise of warrants and 1,631 common stock warrants held by IRA Services Trust Company CFBO: Elias Antoun IRA292175, (iii) 69,725 shares of common stock, 21,809 shares of common stock issuable upon exercise of warrants and 21,809 warrants held by Etched Media Corporation, and (vi) 10,000 PIPE Shares and 10,000 shares transferred by the Sponsor for no additional consideration held by Antoun Family Trust. Voting and investment power over the securities held by the foregoing entities resides with Elias Antoun, who may be deemed to be the beneficial owner of the shares.</w:t>
      </w:r>
    </w:p>
    <w:p>
      <w:pPr>
        <w:spacing w:after="0" w:line="187"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and investment power over the securities held by the foregoing entities resides with Jon and Linda Gruber, who may be deemed to be the beneficial owner of the shares.</w:t>
      </w:r>
    </w:p>
    <w:p>
      <w:pPr>
        <w:spacing w:after="0" w:line="157" w:lineRule="exact"/>
        <w:rPr>
          <w:rFonts w:ascii="Times New Roman" w:cs="Times New Roman" w:eastAsia="Times New Roman" w:hAnsi="Times New Roman"/>
          <w:sz w:val="18"/>
          <w:szCs w:val="18"/>
          <w:color w:val="auto"/>
        </w:rPr>
      </w:pPr>
    </w:p>
    <w:p>
      <w:pPr>
        <w:jc w:val="both"/>
        <w:ind w:left="460" w:hanging="452"/>
        <w:spacing w:after="0" w:line="256"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445,916 PIPE Shares, and 413,784 shares of common stock held by Meteora Special Opportunity Fund i, LP, (“</w:t>
      </w:r>
      <w:r>
        <w:rPr>
          <w:rFonts w:ascii="Times New Roman" w:cs="Times New Roman" w:eastAsia="Times New Roman" w:hAnsi="Times New Roman"/>
          <w:sz w:val="18"/>
          <w:szCs w:val="18"/>
          <w:b w:val="1"/>
          <w:bCs w:val="1"/>
          <w:color w:val="auto"/>
        </w:rPr>
        <w:t>MSOF</w:t>
      </w:r>
      <w:r>
        <w:rPr>
          <w:rFonts w:ascii="Times New Roman" w:cs="Times New Roman" w:eastAsia="Times New Roman" w:hAnsi="Times New Roman"/>
          <w:sz w:val="18"/>
          <w:szCs w:val="18"/>
          <w:color w:val="auto"/>
        </w:rPr>
        <w:t>”) (ii) 706,504 PIPE Shares, and 755,596 shares of common stock held by Meteora Capital Partners, LP (“</w:t>
      </w:r>
      <w:r>
        <w:rPr>
          <w:rFonts w:ascii="Times New Roman" w:cs="Times New Roman" w:eastAsia="Times New Roman" w:hAnsi="Times New Roman"/>
          <w:sz w:val="18"/>
          <w:szCs w:val="18"/>
          <w:b w:val="1"/>
          <w:bCs w:val="1"/>
          <w:color w:val="auto"/>
        </w:rPr>
        <w:t>MCP”</w:t>
      </w:r>
      <w:r>
        <w:rPr>
          <w:rFonts w:ascii="Times New Roman" w:cs="Times New Roman" w:eastAsia="Times New Roman" w:hAnsi="Times New Roman"/>
          <w:sz w:val="18"/>
          <w:szCs w:val="18"/>
          <w:color w:val="auto"/>
        </w:rPr>
        <w:t>), and (iii) 1,026,068 PIPE Shares, and 952,132 shares of common stock held by Meteora Select Trading Opportunities Master, LP (“</w:t>
      </w:r>
      <w:r>
        <w:rPr>
          <w:rFonts w:ascii="Times New Roman" w:cs="Times New Roman" w:eastAsia="Times New Roman" w:hAnsi="Times New Roman"/>
          <w:sz w:val="18"/>
          <w:szCs w:val="18"/>
          <w:b w:val="1"/>
          <w:bCs w:val="1"/>
          <w:color w:val="auto"/>
        </w:rPr>
        <w:t>MSTO</w:t>
      </w:r>
      <w:r>
        <w:rPr>
          <w:rFonts w:ascii="Times New Roman" w:cs="Times New Roman" w:eastAsia="Times New Roman" w:hAnsi="Times New Roman"/>
          <w:sz w:val="18"/>
          <w:szCs w:val="18"/>
          <w:color w:val="auto"/>
        </w:rPr>
        <w:t>”). Meteora Capital, LLC (“</w:t>
      </w:r>
      <w:r>
        <w:rPr>
          <w:rFonts w:ascii="Times New Roman" w:cs="Times New Roman" w:eastAsia="Times New Roman" w:hAnsi="Times New Roman"/>
          <w:sz w:val="18"/>
          <w:szCs w:val="18"/>
          <w:b w:val="1"/>
          <w:bCs w:val="1"/>
          <w:color w:val="auto"/>
        </w:rPr>
        <w:t>Meteora</w:t>
      </w:r>
      <w:r>
        <w:rPr>
          <w:rFonts w:ascii="Times New Roman" w:cs="Times New Roman" w:eastAsia="Times New Roman" w:hAnsi="Times New Roman"/>
          <w:sz w:val="18"/>
          <w:szCs w:val="18"/>
          <w:color w:val="auto"/>
        </w:rPr>
        <w:t>”) is the Manager of MSFO, MCP and MSTO and has investment and dispositive power over the shares. Vikas Mittal is the Managing Member of MSOF, MCP, and MSTO and Meteora and may be deemed to have voting and investment control with respect to the shares held by these entities. Each of the parties in this footnote disclaims any beneficial ownership of the reported shares other than to the extent of any pecuniary interest the party may have therein. The business address of these entities and Mr. Mittal is 1200 N Federal Hwy, Ste 200, Boca Raton, Florida 33432.</w:t>
      </w:r>
    </w:p>
    <w:p>
      <w:pPr>
        <w:spacing w:after="0" w:line="182" w:lineRule="exact"/>
        <w:rPr>
          <w:rFonts w:ascii="Times New Roman" w:cs="Times New Roman" w:eastAsia="Times New Roman" w:hAnsi="Times New Roman"/>
          <w:sz w:val="18"/>
          <w:szCs w:val="18"/>
          <w:color w:val="auto"/>
        </w:rPr>
      </w:pPr>
    </w:p>
    <w:p>
      <w:pPr>
        <w:jc w:val="both"/>
        <w:ind w:left="460" w:hanging="452"/>
        <w:spacing w:after="0" w:line="257"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Polar Multi-Strategy Master Fund, a Cayman Islands exempted company (“</w:t>
      </w:r>
      <w:r>
        <w:rPr>
          <w:rFonts w:ascii="Times New Roman" w:cs="Times New Roman" w:eastAsia="Times New Roman" w:hAnsi="Times New Roman"/>
          <w:sz w:val="18"/>
          <w:szCs w:val="18"/>
          <w:b w:val="1"/>
          <w:bCs w:val="1"/>
          <w:color w:val="auto"/>
        </w:rPr>
        <w:t>PMSMF</w:t>
      </w:r>
      <w:r>
        <w:rPr>
          <w:rFonts w:ascii="Times New Roman" w:cs="Times New Roman" w:eastAsia="Times New Roman" w:hAnsi="Times New Roman"/>
          <w:sz w:val="18"/>
          <w:szCs w:val="18"/>
          <w:color w:val="auto"/>
        </w:rPr>
        <w:t>”). PMSMF is under management by Polar Asset Management Partners Inc. (“</w:t>
      </w:r>
      <w:r>
        <w:rPr>
          <w:rFonts w:ascii="Times New Roman" w:cs="Times New Roman" w:eastAsia="Times New Roman" w:hAnsi="Times New Roman"/>
          <w:sz w:val="18"/>
          <w:szCs w:val="18"/>
          <w:b w:val="1"/>
          <w:bCs w:val="1"/>
          <w:color w:val="auto"/>
        </w:rPr>
        <w:t>PAMPI</w:t>
      </w:r>
      <w:r>
        <w:rPr>
          <w:rFonts w:ascii="Times New Roman" w:cs="Times New Roman" w:eastAsia="Times New Roman" w:hAnsi="Times New Roman"/>
          <w:sz w:val="18"/>
          <w:szCs w:val="18"/>
          <w:color w:val="auto"/>
        </w:rPr>
        <w:t>”). PAMPI serves as Investment Advisor to PMSMF and has control and discretion over the shares held by PMSMF. As such, PAMPI may be deemed the beneficial owner of the shares held by PMSMF. PAMPI disclaims any beneficial ownership of the reported shares other than to the extent of any pecuniary interest therein. The ultimate natural persons who have voting and dispositive power over the shares held by PMSMF are Paul Sabourin and Abdalla Ruken, Co-Chief Investment Officers of PAMPI. The business address of PMSMF is c/o Polar Asset Management Partners Inc. is 16 York Street, Suite 2900, Toronto, Ontario, M5J 0E6 Canada.</w:t>
      </w:r>
    </w:p>
    <w:p>
      <w:pPr>
        <w:spacing w:after="0" w:line="186"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127,440 PIPE shares held by Diametric True Alpha Market Neutral Master Fund, LP (ii) 697,680 PIPE shares held by Diametric True Alpha Enhanced Market Neutral Master Fund, LP and (iii) 374,880 PIPE shares held by Pinebridge Partners Master Fund, LP. Voting and investment power over the securities held by the foregoing entities resides with Sandia Investment Management LP (“</w:t>
      </w:r>
      <w:r>
        <w:rPr>
          <w:rFonts w:ascii="Times New Roman" w:cs="Times New Roman" w:eastAsia="Times New Roman" w:hAnsi="Times New Roman"/>
          <w:sz w:val="18"/>
          <w:szCs w:val="18"/>
          <w:b w:val="1"/>
          <w:bCs w:val="1"/>
          <w:color w:val="auto"/>
        </w:rPr>
        <w:t>Sandia</w:t>
      </w:r>
      <w:r>
        <w:rPr>
          <w:rFonts w:ascii="Times New Roman" w:cs="Times New Roman" w:eastAsia="Times New Roman" w:hAnsi="Times New Roman"/>
          <w:sz w:val="18"/>
          <w:szCs w:val="18"/>
          <w:color w:val="auto"/>
        </w:rPr>
        <w:t>”). Sandia Investment Management LLC is the general partner of Sandia. Tim Sichler serves as Founder &amp; CIO of the general partner of Sandia, and in such capacity may be deemed to be the beneficial owner. Each of the parties in this footnote disclaims any beneficial ownership of the reported shares other than to the extent of any pecuniary interest the party may have therein. The business address of these entities and Mr. Sichler is 201 Washington Street, Boston, Massachusetts 02108.</w:t>
      </w:r>
    </w:p>
    <w:p>
      <w:pPr>
        <w:spacing w:after="0" w:line="188"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CRSEF Solis Holdings, L.L.C. holds up to 2,745,879 shares of common stock issuable upon exercise of the warrants in the securities registrable under the Registration Rights Agreement directly. The managing member of CRSEF Solis Holdings, L.L.C., with respect to the common shares held by CRSEF Solis Holdings, L.L.C., is Carlyle CRSEF Solis Aggregator, S.C.Sp., and its general partner is CRSEF Lux GP S.à r.l. The address of these entities is One Vanderbilt Avenue, Suite 3400, New York, NY 10017.</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54"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5,832,054 shares of outstanding common stock held by Ecosystem Integrity Fund II, L.P. (“</w:t>
      </w:r>
      <w:r>
        <w:rPr>
          <w:rFonts w:ascii="Times New Roman" w:cs="Times New Roman" w:eastAsia="Times New Roman" w:hAnsi="Times New Roman"/>
          <w:sz w:val="18"/>
          <w:szCs w:val="18"/>
          <w:b w:val="1"/>
          <w:bCs w:val="1"/>
          <w:color w:val="auto"/>
        </w:rPr>
        <w:t>Fund II</w:t>
      </w:r>
      <w:r>
        <w:rPr>
          <w:rFonts w:ascii="Times New Roman" w:cs="Times New Roman" w:eastAsia="Times New Roman" w:hAnsi="Times New Roman"/>
          <w:sz w:val="18"/>
          <w:szCs w:val="18"/>
          <w:color w:val="auto"/>
        </w:rPr>
        <w:t>”), which is held for itself and as nominee for Ecosystem Integrity Fund II-A, L.P. (“</w:t>
      </w:r>
      <w:r>
        <w:rPr>
          <w:rFonts w:ascii="Times New Roman" w:cs="Times New Roman" w:eastAsia="Times New Roman" w:hAnsi="Times New Roman"/>
          <w:sz w:val="18"/>
          <w:szCs w:val="18"/>
          <w:b w:val="1"/>
          <w:bCs w:val="1"/>
          <w:color w:val="auto"/>
        </w:rPr>
        <w:t>Fund II-A</w:t>
      </w:r>
      <w:r>
        <w:rPr>
          <w:rFonts w:ascii="Times New Roman" w:cs="Times New Roman" w:eastAsia="Times New Roman" w:hAnsi="Times New Roman"/>
          <w:sz w:val="18"/>
          <w:szCs w:val="18"/>
          <w:color w:val="auto"/>
        </w:rPr>
        <w:t>”), (ii) 482,969 shares of common stock issuable pursuant to Complete Solaria Warrants held by Fund II, for itself and as nominee for Fund II-A, exercisable within 60 days of August 1, 2023 at an exercise price of $2.08 per share, (iii) 1,824,243 shares of common stock issuable pursuant to warrants held by Fund II, for itself and as nominee for Fund II-A, exercisable within 60 days of August 1, 2023 at a current exercise price of $11.50 per share, (iv) 198,346 shares of outstanding common stock held by EIF CS SPV, LLC (“</w:t>
      </w:r>
      <w:r>
        <w:rPr>
          <w:rFonts w:ascii="Times New Roman" w:cs="Times New Roman" w:eastAsia="Times New Roman" w:hAnsi="Times New Roman"/>
          <w:sz w:val="18"/>
          <w:szCs w:val="18"/>
          <w:b w:val="1"/>
          <w:bCs w:val="1"/>
          <w:color w:val="auto"/>
        </w:rPr>
        <w:t>SPV</w:t>
      </w:r>
      <w:r>
        <w:rPr>
          <w:rFonts w:ascii="Times New Roman" w:cs="Times New Roman" w:eastAsia="Times New Roman" w:hAnsi="Times New Roman"/>
          <w:sz w:val="18"/>
          <w:szCs w:val="18"/>
          <w:color w:val="auto"/>
        </w:rPr>
        <w:t>”), and (v) 62,041 shares of common stock issuable pursuant to warrants held by SPV exercisable within 60 days of August 1, 2023 at an exercise price of $11.50 per share. EIF Partners II, LLC (“</w:t>
      </w:r>
      <w:r>
        <w:rPr>
          <w:rFonts w:ascii="Times New Roman" w:cs="Times New Roman" w:eastAsia="Times New Roman" w:hAnsi="Times New Roman"/>
          <w:sz w:val="18"/>
          <w:szCs w:val="18"/>
          <w:b w:val="1"/>
          <w:bCs w:val="1"/>
          <w:color w:val="auto"/>
        </w:rPr>
        <w:t>Partners II</w:t>
      </w:r>
      <w:r>
        <w:rPr>
          <w:rFonts w:ascii="Times New Roman" w:cs="Times New Roman" w:eastAsia="Times New Roman" w:hAnsi="Times New Roman"/>
          <w:sz w:val="18"/>
          <w:szCs w:val="18"/>
          <w:color w:val="auto"/>
        </w:rPr>
        <w:t>”) is the general partner of Fund II and Fund II-A and may be deemed to have beneficial ownership over the securities held by Fund II and Fund II-A. Partners II is the managing member of SPV and may be deemed to have beneficial ownership over the securities held by SPV. James Everett and Devin Whatley have investment power and voting power over the securities held by Partners II and therefore may be deemed to share beneficial ownership over such securities.</w:t>
      </w:r>
    </w:p>
    <w:p>
      <w:pPr>
        <w:spacing w:after="0" w:line="189" w:lineRule="exact"/>
        <w:rPr>
          <w:rFonts w:ascii="Times New Roman" w:cs="Times New Roman" w:eastAsia="Times New Roman" w:hAnsi="Times New Roman"/>
          <w:sz w:val="18"/>
          <w:szCs w:val="18"/>
          <w:color w:val="auto"/>
        </w:rPr>
      </w:pPr>
    </w:p>
    <w:p>
      <w:pPr>
        <w:jc w:val="both"/>
        <w:ind w:left="460" w:hanging="452"/>
        <w:spacing w:after="0" w:line="258"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405,090 shares of common stock, 126,710 shares of common stock issuable upon exercise of warrants, and 126,710 common stock warrants held by William Anderson, and (ii) 48,296 shares of common stock, 15,107 shares of common stock issuable upon exercise of warrants and 15,107 common stock warrants held by Risk Allocations Systems, Inc. Voting and investment power over the securities held by Risk Allocations Systems, Inc. resides with William Anderson, who may be deemed to be the beneficial owner of the shares. William Anderson is a member of the Company’s Board of Directors and the Company’s Chief Executive Officer.</w:t>
      </w:r>
    </w:p>
    <w:p>
      <w:pPr>
        <w:spacing w:after="0" w:line="183"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372,237 shares of common stock, and 29,081 common stock warrants held by Edward Zeng, and (ii) 135,897 shares of common stock, and 694,239 common stock warrants held by NextG Tech Limited. Voting and investment power over the securities held by NextG Tech Limited resides with Edward Zeng, who may be deemed to be the beneficial owner of the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90" w:gutter="0" w:footer="0" w:header="0"/>
        </w:sectPr>
      </w:pPr>
    </w:p>
    <w:bookmarkStart w:id="109" w:name="page110"/>
    <w:bookmarkEnd w:id="109"/>
    <w:p>
      <w:pPr>
        <w:jc w:val="both"/>
        <w:ind w:left="460" w:hanging="452"/>
        <w:spacing w:after="0" w:line="273" w:lineRule="auto"/>
        <w:tabs>
          <w:tab w:leader="none" w:pos="4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54,814 shares of common stock, 390,097 common stock warrants and 390,097 shares of common stock issuable upon exercise of warrants held by Structural Capital Investments III, L.P., (ii) 16,071 shares of common stock, 380,351 common stock warrants, and 380,351 shares of common stock issuable upon exercise of warrants held by Structural Capital Investors II, LP, (iii) 93,713 common stock warrants and 93,713 shares of common stock issuable upon exercise of warrants held by Structural Capital Holdings III, L.P., (iv) 166,345 common stock warrants and 166,345 shares of common stock issuable upon exercise of warrants held by Structural Capital Investors II-C, L.P, (v) 172,170 common stock warrants and 172,170 shares of common stock issuable upon exercise of warrants held by Diversified Credit Opportunities Fund I Offshore Investors LP, and (vi) 305,764 common stock warrants and 305,764 shares of common stock issuable upon exercise of warrants held by El Dorado Investment Company.</w:t>
      </w:r>
    </w:p>
    <w:p>
      <w:pPr>
        <w:spacing w:after="0" w:line="171" w:lineRule="exact"/>
        <w:rPr>
          <w:rFonts w:ascii="Times New Roman" w:cs="Times New Roman" w:eastAsia="Times New Roman" w:hAnsi="Times New Roman"/>
          <w:sz w:val="17"/>
          <w:szCs w:val="17"/>
          <w:color w:val="auto"/>
        </w:rPr>
      </w:pPr>
    </w:p>
    <w:p>
      <w:pPr>
        <w:jc w:val="both"/>
        <w:ind w:left="460" w:hanging="452"/>
        <w:spacing w:after="0" w:line="266"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and investment power over the securities is held by Chris Davis, Chief Operations Officer of Paul Hastings LLP, and Brian Sakala, Managing Director, Head of Finance, Paul Hastings LLP, who may be deemed to be the beneficial owners of the shares. The address of the foregoing entity is MetLife Building, 200 Park Ave, New York, NY 10166.</w:t>
      </w:r>
    </w:p>
    <w:p>
      <w:pPr>
        <w:spacing w:after="0" w:line="171" w:lineRule="exact"/>
        <w:rPr>
          <w:rFonts w:ascii="Times New Roman" w:cs="Times New Roman" w:eastAsia="Times New Roman" w:hAnsi="Times New Roman"/>
          <w:sz w:val="18"/>
          <w:szCs w:val="18"/>
          <w:color w:val="auto"/>
        </w:rPr>
      </w:pPr>
    </w:p>
    <w:p>
      <w:pPr>
        <w:jc w:val="both"/>
        <w:ind w:left="460" w:hanging="452"/>
        <w:spacing w:after="0" w:line="259"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Lori D. Mills, Vice President; James Schwaba, Secretary; Amy Freidinger, Treasurer (collectively, “</w:t>
      </w: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18"/>
          <w:szCs w:val="18"/>
          <w:color w:val="auto"/>
        </w:rPr>
        <w:t>”) of The Libra Foundation (“</w:t>
      </w:r>
      <w:r>
        <w:rPr>
          <w:rFonts w:ascii="Times New Roman" w:cs="Times New Roman" w:eastAsia="Times New Roman" w:hAnsi="Times New Roman"/>
          <w:sz w:val="18"/>
          <w:szCs w:val="18"/>
          <w:b w:val="1"/>
          <w:bCs w:val="1"/>
          <w:color w:val="auto"/>
        </w:rPr>
        <w:t>Libra</w:t>
      </w:r>
      <w:r>
        <w:rPr>
          <w:rFonts w:ascii="Times New Roman" w:cs="Times New Roman" w:eastAsia="Times New Roman" w:hAnsi="Times New Roman"/>
          <w:sz w:val="18"/>
          <w:szCs w:val="18"/>
          <w:color w:val="auto"/>
        </w:rPr>
        <w:t>”) has voting power and dispositive power over the securities held by Libra. The Officers have been granted authority by the Libra Board of Directors to vote, direct the voting of, dispose of, or direct the disposition of, any securities held by Libra. The Officers disclaim any beneficial ownership interest in the securities held by Libra. Inclusion of the Officers in this questionnaire is not an admission that they are beneficial owners of the securities for the purposes of Section 16 of the Securities and Exchange Act of 1934, as amended (“</w:t>
      </w:r>
      <w:r>
        <w:rPr>
          <w:rFonts w:ascii="Times New Roman" w:cs="Times New Roman" w:eastAsia="Times New Roman" w:hAnsi="Times New Roman"/>
          <w:sz w:val="18"/>
          <w:szCs w:val="18"/>
          <w:b w:val="1"/>
          <w:bCs w:val="1"/>
          <w:color w:val="auto"/>
        </w:rPr>
        <w:t>The Act</w:t>
      </w:r>
      <w:r>
        <w:rPr>
          <w:rFonts w:ascii="Times New Roman" w:cs="Times New Roman" w:eastAsia="Times New Roman" w:hAnsi="Times New Roman"/>
          <w:sz w:val="18"/>
          <w:szCs w:val="18"/>
          <w:color w:val="auto"/>
        </w:rPr>
        <w:t>”), or for any other purposes.</w:t>
      </w:r>
    </w:p>
    <w:p>
      <w:pPr>
        <w:spacing w:after="0" w:line="183"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298,866 shares of common stock, and 93,484 common stock warrants held by Presidio Partners 2007 LP, and (ii) 7,662 shares of common stock, and 2,396 common stock warrants held by Presidio Partners 2007 (Parallel) LP.</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50,429 shares of common stock, and 15,774 common stock warrants held by Atika Capital Partners, LP, and (ii) 15,347 shares of common stock, and 4,800 common stock warrants held by Atika Offshore Master Fund, Ltd.</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37,247 shares of common stock, and 11,650 common stock warrants held by Venture Lending &amp; Leasing V, LLC, and (ii) 37,247 shares of common stock, and 11,650 common stock warrants held by Venture Lending &amp; Leasing VI, LLC.</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22,059 shares of common stock, and 6,900 common stock warrants held by Sigma Partners 7, LP, (ii) 1,351 shares of common stock, and 422 common stock warrants held by Sigma Associates 7, LP, and (iii) 626 shares of common stock, and 82 common stock warrants held by Sigma Investors 7, LP.</w:t>
      </w:r>
    </w:p>
    <w:p>
      <w:pPr>
        <w:spacing w:after="0" w:line="171" w:lineRule="exact"/>
        <w:rPr>
          <w:rFonts w:ascii="Times New Roman" w:cs="Times New Roman" w:eastAsia="Times New Roman" w:hAnsi="Times New Roman"/>
          <w:sz w:val="18"/>
          <w:szCs w:val="18"/>
          <w:color w:val="auto"/>
        </w:rPr>
      </w:pPr>
    </w:p>
    <w:p>
      <w:pPr>
        <w:jc w:val="both"/>
        <w:ind w:left="460" w:hanging="452"/>
        <w:spacing w:after="0" w:line="257"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Hager, the manager of Foris Ventures (“</w:t>
      </w:r>
      <w:r>
        <w:rPr>
          <w:rFonts w:ascii="Times New Roman" w:cs="Times New Roman" w:eastAsia="Times New Roman" w:hAnsi="Times New Roman"/>
          <w:sz w:val="18"/>
          <w:szCs w:val="18"/>
          <w:b w:val="1"/>
          <w:bCs w:val="1"/>
          <w:color w:val="auto"/>
        </w:rPr>
        <w:t>Foris</w:t>
      </w:r>
      <w:r>
        <w:rPr>
          <w:rFonts w:ascii="Times New Roman" w:cs="Times New Roman" w:eastAsia="Times New Roman" w:hAnsi="Times New Roman"/>
          <w:sz w:val="18"/>
          <w:szCs w:val="18"/>
          <w:color w:val="auto"/>
        </w:rPr>
        <w:t>”), may be deemed to have sole power to vote and dispose of these securities. The Vallejo Ventures Trust U/T/A 2/12/96 (“</w:t>
      </w:r>
      <w:r>
        <w:rPr>
          <w:rFonts w:ascii="Times New Roman" w:cs="Times New Roman" w:eastAsia="Times New Roman" w:hAnsi="Times New Roman"/>
          <w:sz w:val="18"/>
          <w:szCs w:val="18"/>
          <w:b w:val="1"/>
          <w:bCs w:val="1"/>
          <w:color w:val="auto"/>
        </w:rPr>
        <w:t>VVT</w:t>
      </w:r>
      <w:r>
        <w:rPr>
          <w:rFonts w:ascii="Times New Roman" w:cs="Times New Roman" w:eastAsia="Times New Roman" w:hAnsi="Times New Roman"/>
          <w:sz w:val="18"/>
          <w:szCs w:val="18"/>
          <w:color w:val="auto"/>
        </w:rPr>
        <w:t>”), the sole member of Foris, may be deemed to have sole power to vote and dispose of these securities, and L. John Doerr and Ann Doerr, the trustees of VVT, and Barbara Hager, the special trustee of VVT, may be deemed to have shared power to vote and dispose of these securities. Each of L. John Doerr, Ann Doerr, Barbara Hager and VVT disclaim beneficial ownership of the securities held by Foris except to the extent of their pecuniary interest therein. The address for Foris and each other person named in this footnote is c/o Foris Ventures, LLC, 1180 San Carlos Avenue, #717, San Carlos, California 94070.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Complete Solaria’s securities does not purport to be complete and is subject to the Certificate of Incorporation, the Bylaws and the provisions of the DGCL.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authorizes the issuance of 1,010,000,000 shares, consisting of 1,000,000,000 shares of Complete Solaria Common Stock, $0.0001 par value per share, and 10,000,000 shares of Complete Solaria Preferred Stock, $0.0001 par value. As of July 16, 2024, there were 50,881,169 shares of Common Stock issued and outstanding and no preferred shares of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Complete Solaria Common Stock possess all voting power for the election of Complete Solaria’s directors and all other matters requiring stockholder action. Holders of Complete Solaria Common Stock are entitled to one vote per share on matters to be voted on by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Complete Solaria Common Stock are entitled to receive such dividends, if any, as may be declared from time to time by Complete Solaria’s Board in its discretion out of funds legally available therefor. In no event will any stock dividends or stock splits or combinations of stock be declared or made on Complete Solaria Common Stock unless the shares of Complete Solaria Common Stock at the time outstanding are treated equally and identically.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Complete Solaria’s voluntary or involuntary liquidation, dissolution, distribution of assets or winding-up, the holders of Complete Solaria Common Stock will be entitled to receive an equal amount per share of all of Complete Solaria’s assets of whatever kind available for distribution to stockholders, after the rights of the holders of Complete Solaria Preferred Stock have been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holders of Complete Solaria Common Stock have no preemptive rights or other subscription rights and there are no sinking fund or redemption provisions applicable to Complete Solaria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Complete Solaria’s Board has one class of directors and each director generally serves for a term of one year. Unless required by applicable law at the time of election, there is no cumulative voting with respect to the election of directors, with the result that the holders of more than 50% of the shares voted for the election of directors can elect all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Complete Solaria’s Board has authority to issue shares of Complete Solaria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Complete Solaria Preferred Stock could have the effect of decreasing the trading price of the Complete Solaria Common Stock, restricting dividends on Complete Solaria’s capital stock, diluting the voting power of Complete Solaria Common Stock, impairing the liquidation rights of Complete Solaria’s capital stock, or delaying or preventing a change in control of Complete Solaria.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whole Public Warrant and Merger Warrant entitles the registered holder to purchase one share of Complete Solaria Common Stock at a price of $11.50 per share, subject to adjustment as discussed below. The Public Warrants will expire on July 18, 2028 at 5:00 p.m., Eastern Time or earlier upon redemption or liquidation. The Merger Warrants expire on July 18, 2028 at 5:00 p.m., Eastern Time or earlier upon redemption or liquidation. However, no Public Warrants or Merger Warrants will be exercisable for cash unless Complete Solaria has an effective and current registration statement covering the shares of Complete Solaria Common Stock issuable upon exercise of the Public Warrants and Merger Warrants and a current prospectus relating to such shares of Complete Solaria Common Stock. Notwithstanding the foregoing, if a registration statement covering the shares of Complete Solaria Common Stock issuable upon exercise of the Public Warrants is not effective within 60 days from the Closing, warrant holders may, until such time as there is an effective registration statement and during any period when it shall have failed to maintain an effective registration statement, exercise Public Warrants and Merger Warrants on a cashless basis pursuant to an available exemption from registration under the Securities Act.</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warrant agreements, no fractional warrants will be issued upon separation of the units and only whole warrants will trade. Upon the Closing, Complete Solaria separated the units into shares of Complete Solaria Common Stock and Public Warrants, and the Units stopped trading and were delisted from the NYSE.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Private Warrants are identical to the Public Warrants underlying the Units except that (i) each Private Warrant is exercisable for one share of Complete Solaria Common Stock at an exercise price of $11.50 per share, and (ii) such Private Warrants will be exercisable for cash (even if a registration statement covering the shares of Solaria Common Stock issuable upon exercise of such warrants is not effective) or on a cashless basis, at the holder’s option, and will not be redeemable by us, in each case so long as they are still held by the initial purchasers or their affiliates.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Working Capital Warrants are identical to the Private Warrants.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Complete Solaria may redeem the outstanding warrants (except as described herein with respect to the Private Warrants and Working Capital Warrants):</w:t>
      </w:r>
    </w:p>
    <w:p>
      <w:pPr>
        <w:spacing w:after="0" w:line="162"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the number of shares determined by reference to the table set forth below based on the redemption date and the “fair market value” of Complete Solaria Common Stock;</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share sub-divisions, share capitalizations, reorganizations, recapitalizations and the like);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share sub-divisions, share capitalizations, reorganizations, recapitalizations and the like and as described above adjacent to the caption “Exercise Price”), the Private Warrants must also concurrently be called for redemption on the same terms as the outstanding public warrants, as described above.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Public Warrants are exercised prior to the date specified in the notice of redemption. On and after the redemption date, a record holder of a Public Warrant will have no further rights except to receive the redemption price for such holder’s warrant upon surrender of such warrant.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Complete Solaria Common Stock may fall below the $18.00 redemption trigger price (as adjusted for share sub-divisions, share capitalizations, reorganizations, recapitalizations and the like and as described below) as well as the $11.50 (for whole shares) warrant exercise price after the redemption notice is issued.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numbers in the table below represent the number of shares of Complete Solaria Common Stock that a warrant holder will receive upon such cashless exercise in connection with a redemption by us pursuant to this redemption feature, based on the “fair market value” of shares of Complete Solaria Common Stock on the corresponding redemption date (assuming holders elect to exercise their warrants and such warrants are not redeemed for $0.10 per warrant), determined for these purposes based on volume-weighted average price of shares of Complete Solaria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share prices set forth in the column headings of the table below will be adjusted as of any date on which the number of shares issuable upon exercise of a warrant or the exercise price of the warrant is adjusted as set forth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Redemption Date (period to expiration</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Fair Market Value of Common Stock</w:t>
            </w: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28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 warrants)</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$10.00</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$11.00</w:t>
            </w:r>
          </w:p>
        </w:tc>
        <w:tc>
          <w:tcPr>
            <w:tcW w:w="2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$12.00</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$13.00</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$17.00</w:t>
            </w:r>
          </w:p>
        </w:tc>
        <w:tc>
          <w:tcPr>
            <w:tcW w:w="220" w:type="dxa"/>
            <w:vAlign w:val="bottom"/>
          </w:tcPr>
          <w:p>
            <w:pPr>
              <w:spacing w:after="0"/>
              <w:rPr>
                <w:sz w:val="21"/>
                <w:szCs w:val="21"/>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$18.00</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0.257</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0.277</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0.294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0.252</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0.272</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0.291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0.246</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0.268</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0.287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0.241</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0.263</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0.283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0.235</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0.258</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0.279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0.228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0.252</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0.274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0.221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0.246</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0.269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0.213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0.239</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0.263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0.205</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0.232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0.257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0.196</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0.224</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0.250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0.185</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0.214</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0.242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0.173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0.204</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0.233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0.161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0.193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0.223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0.146</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0.179</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0.211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0.242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0.130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0.164</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0.197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0.111</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0.146</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0.181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0.090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0.162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0.199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0.065</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0.099</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0.137</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0.178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0.259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0.034</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0.065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0.104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0.197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0.243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xml:space="preserve">- </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0.042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0.179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0.233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Complete Solaria shares outstanding immediately after giving effect to such exercise.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Closing, Complete Solaria, the Sponsor, certain equityholders of Complete Solaria and certain of their respective affiliates, as applicable, and the other parties thereto, entered into the A&amp;R Registration Rights Agreement, pursuant to which Complete Solaria granted customary registration rights to the other parties thereto, including to register for resale, pursuant to Rule 415 under the Securities Act, certain securities of Complete Solaria held by the other parties thereto.</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A&amp;R Registration Rights Agreement, Complete Solaria filed with the SEC a registration statement registering the resale of such Registrable Securities (as defined therein) and such registration statement was declared effective by the SEC. The parties to the A&amp;R Registration Rights Agreement have been granted certain demand underwritten offering registration rights and piggyback registration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Among other things, the Governing Documents:</w:t>
      </w:r>
    </w:p>
    <w:p>
      <w:pPr>
        <w:spacing w:after="0" w:line="225" w:lineRule="exact"/>
        <w:rPr>
          <w:sz w:val="20"/>
          <w:szCs w:val="20"/>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Complete Solaria Board to issue up to 10,000,000 shares of preferred stock, with any rights, preferences and privileges as they may designate, including the right to approve an acquisition or other change of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Complete Solaria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Complete Solaria’s stockholders may be called by the chairperson of the Complete Solaria Board, the chief executive officer or by the Complete Solaria Board pursuant to a resolution adopted by a majority of the total number of authorized directors;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66 2/3% of all of the then-outstanding capital stock entitled to vote generally in the election of directors. The combination of these provisions will make it more difficult for the existing stockholders to replace the Complete Solaria Board as well as for another party to obtain control of Complete Solaria by replacing the Complete Solaria Board. Because the Complete Solaria Board has the power to retain and discharge its officers, these provisions could also make it more difficult for existing stockholders or another party to effect a change in management. In addition, the authorization of undesignated preferred stock makes it possible for the Complete Solaria Board to issue preferred stock with voting or other rights or preferences that could impede the success of any attempt to change our control.</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Complete Solaria Board and its policies and to discourage coercive takeover practices and inadequate takeover bids. These provisions are also designed to reduce Complete Solaria’s vulnerability to hostile takeovers and to discourage certain tactics that may be used in proxy fights. However, such provisions could have the effect of discouraging others from making tender offers for Complete Solaria’s shares and may have the effect of delaying changes in our control or management. As a consequence, these provisions may also inhibit fluctuations in the market price of Complete Solaria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Complete Solaria opted out of Section 203 of the DGCL. However, the Certificate of Incorporation contains similar provisions providing that Complete Solaria may not engage in certain “business combinations” with any “interested stockholder” for a three-year period following the time that the stockholder became an interested stockholder, unless:</w:t>
      </w:r>
    </w:p>
    <w:p>
      <w:pPr>
        <w:spacing w:after="0" w:line="176" w:lineRule="exact"/>
        <w:rPr>
          <w:sz w:val="20"/>
          <w:szCs w:val="20"/>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Complete Solaria Board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Complete Solaria’s voting stock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consummation of the transaction, the business combination is approved by the Complete Solaria Board and authorized at an annual or special meeting of stockholders, and not by written consent, by the affirmative vote of at least 66 2/3% of the outstanding voting stock which is not owned by the interested stockholder.</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An interested stockholder is a person who, together with its affiliates and associates, owns or, within three years prior to the determination of interested stockholder status, did own 20% or more of Complete Solaria’s outstanding voting stock. These provisions may encourage companies interested in acquiring Complete Solaria to negotiate in advance with the Complete Solaria Board because the stockholder approval requirement would be avoided if the board of directors approves either the business combination or the transaction which results in the stockholder becoming an interested stockholder. These provisions also may have the effect of preventing changes in the Complete Solaria Board and may make it more difficult to accomplish transactions which stockholders may otherwise deem to be in their best interests.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w:t>
      </w:r>
    </w:p>
    <w:p>
      <w:pPr>
        <w:spacing w:after="0" w:line="180"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Complete Solaria’s behalf;</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of breach of a fiduciary duty owed by any of Complete Solaria’s directors, officers, or other employees to Complete Solaria or its stockholders;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Complete Solaria or any of Complete Solaria’s directors, officers or other employees arising out of or pursuant to any provision of the DGCL, the Certificate of Incorporation or the Bylaws;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the Certificate of Incorporation or the Bylaws (including any right, obligation, or remedy thereunder);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5" w:name="page116"/>
    <w:bookmarkEnd w:id="115"/>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DGCL confers jurisdiction to the Court of Chancery of the State of Delaware;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Complete Solaria or any of Complete Solaria’s directors, officers, or other employees that is governed by the internal affairs doctrine, in all cases to the fullest extent permitted by law and subject to the court’s having personal jurisdiction over the indispensable parties named as defendants.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choice of forum provision would not apply to suits brought to enforce a duty or liability created by the Exchange Act or any other claim for which the federal courts have exclusive jurisdiction, or the Securities Act. The Certificate of Incorporation further provides that, unless Complete Solaria consents in writing to the selection of an alternative forum, to the fullest extent permitted by law, the federal district courts of the United States of America will be the exclusive forum for resolving any complaint asserting a cause of action arising under the Securities Act. However,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the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Additionally, the Certificate of Incorporation provides that any person or entity holding, owning or otherwise acquiring any interest in any of Complete Solaria’s securities shall be deemed to have notice of and consented to these provisions. Investors also cannot waive compliance with the federal securities laws and the rules and regulations thereunder.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Continental Stock Transfer &amp; Trust Company is the transfer agent for Complete Solaria Common Stock and the warrant agent for Complete Solaria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 and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and Public Warrants are listed on Nasdaq under the symbols “CSLR” and “CSLRW,”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generally applicable to the ownership and disposition of our common stock and the exercise, disposition and lapse of our Warrants. The common stock and the Warrants are referred to collectively herein as our securities. All prospective holders of our securities should consult their tax advisors with respect to the U.S. federal, state, local and non-U.S. tax consequences of the ownership and disposition of our securities.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ownership and disposition of our securities. This summary is based upon current provisions of the Code, existing U.S. Treasury Regulations promulgated thereunder, published administrative pronouncements and rulings of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ownership or disposition of our securities.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non-income U.S.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S corporations, and certain former U.S. citizens or long-term residents.</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generally will depend upon the status of the partner and the activities of the partnership. Such partners and partnerships should consult their tax advisors regarding the tax consequences of the ownership and disposition of our securities.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ind w:left="66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or deemed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 </w:t>
      </w:r>
      <w:r>
        <w:rPr>
          <w:rFonts w:ascii="Times New Roman" w:cs="Times New Roman" w:eastAsia="Times New Roman" w:hAnsi="Times New Roman"/>
          <w:sz w:val="18"/>
          <w:szCs w:val="18"/>
          <w:i w:val="1"/>
          <w:iCs w:val="1"/>
          <w:color w:val="auto"/>
        </w:rPr>
        <w:t>- Tax Considerations Applicable to U.S. Holders - Gain or Loss on Sale, Taxable Exchange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Provided certain holding period requirements are met, dividends we pay to a non-corporate U.S. Holder generally will constitute “qualified dividends” that under current law will be subject to tax at long-term capital gains rates.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Common Stock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disposed of exceeds one year at the time of disposition. The amount of gain or loss recognized generally will be equal to the difference between (1) the sum of the amount of cash and the fair market value of any property received in such disposition and (2) the U.S. Holder’s adjusted tax basis in its common stock disposed of. A U.S. Holder’s adjusted tax basis in its common stock generally will equal the U.S. Holder’s acquisition cost for such common stock (or, in the case of common stock received upon exercise of a Warrant, the U.S. Holder’s initial basis for such common stock, as discussed below), less any prior distributions treated as a return of capital. Long-term capital gains recognized by non-corporate U.S. Holders generally are eligible under current law for reduced rates of tax. If the U.S. Holder’s holding period for the common stock disposed of is one year or less at the time of disposition, any gain on a taxable disposition of our common stock would be subject to short-term capital gain treatment and would be taxed at ordinary income tax rates. The deductibility of capital losses is subject to limitations.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the exercise of a Warrant for cash. The U.S. Holder’s initial tax basis in the shares of our common stock received upon exercise of the Warrant generally will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a non-realization event, or a tax-free recapitalization. U.S. holders are urged to consult their tax advisors as to the consequences of an exercise of a Warrant on a cashless basis, including with respect to their holding period and tax basis in the common stock received upon exercise of the Warrant.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a U.S. Holder will recognize taxable gain or loss in an amount equal to the difference between (1) the amount realized upon such disposition and (2) the U.S. Holder’s adjusted tax basis in the Warrant. A U.S. Holder’s adjusted tax basis in its Warrants generally will equal the U.S. Holder’s acquisition cost of the Warrant, increased by the amount of any constructive distributions included in income by such U.S. Holder (as described below under “</w:t>
      </w:r>
      <w:r>
        <w:rPr>
          <w:rFonts w:ascii="Times New Roman" w:cs="Times New Roman" w:eastAsia="Times New Roman" w:hAnsi="Times New Roman"/>
          <w:sz w:val="18"/>
          <w:szCs w:val="18"/>
          <w:i w:val="1"/>
          <w:iCs w:val="1"/>
          <w:color w:val="auto"/>
        </w:rPr>
        <w:t>Tax Considerations Applicable to U.S. Holders - Possible Constructive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Such gain or loss generally will be treated as long-term capital gain or loss if the Warrant is held by the U.S. Holder for more than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such disposition or expiration.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Warrant expires unexercised, a U.S. Holder generally will recognize a capital loss equal to such holder’s adjusted tax basis in the Warrant. Any such loss generally will be a capital loss and will be long-term capital loss if the Warrant is held for more than one year. The deductibility of capital losses is subject to certain limitations.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 w:cs="Times New Roman" w:eastAsia="Times New Roman" w:hAnsi="Times New Roman"/>
          <w:sz w:val="18"/>
          <w:szCs w:val="18"/>
          <w:i w:val="1"/>
          <w:iCs w:val="1"/>
          <w:color w:val="auto"/>
        </w:rPr>
        <w:t>Description of Capital Stock - Warrants</w:t>
      </w:r>
      <w:r>
        <w:rPr>
          <w:rFonts w:ascii="Times New Roman" w:cs="Times New Roman" w:eastAsia="Times New Roman" w:hAnsi="Times New Roman"/>
          <w:sz w:val="18"/>
          <w:szCs w:val="18"/>
          <w:color w:val="auto"/>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Such constructive distribution would be subject to tax as described above under “</w:t>
      </w:r>
      <w:r>
        <w:rPr>
          <w:rFonts w:ascii="Times New Roman" w:cs="Times New Roman" w:eastAsia="Times New Roman" w:hAnsi="Times New Roman"/>
          <w:sz w:val="18"/>
          <w:szCs w:val="18"/>
          <w:i w:val="1"/>
          <w:iCs w:val="1"/>
          <w:color w:val="auto"/>
        </w:rPr>
        <w:t>Tax Considerations Applicable to U.S. Holders - Taxation of Distributions</w:t>
      </w:r>
      <w:r>
        <w:rPr>
          <w:rFonts w:ascii="Times New Roman" w:cs="Times New Roman" w:eastAsia="Times New Roman" w:hAnsi="Times New Roman"/>
          <w:sz w:val="18"/>
          <w:szCs w:val="18"/>
          <w:color w:val="auto"/>
        </w:rPr>
        <w:t>” in the same manner as if such U.S. Holder received a cash distribution from us on common stock equal to the fair market value of such increased interest.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distributions paid to a U.S. Holder and to the proceeds of the sale or other disposition of our shares of our securities,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such U.S. Holder is subject to backup withholding (and such notification has not been withdrawn). 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general, any distributions (including constructive distributions) we make to a non-U.S. Holder of shares on our common stock, to the extent paid or deemed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 </w:t>
      </w:r>
      <w:r>
        <w:rPr>
          <w:rFonts w:ascii="Times New Roman" w:cs="Times New Roman" w:eastAsia="Times New Roman" w:hAnsi="Times New Roman"/>
          <w:sz w:val="18"/>
          <w:szCs w:val="18"/>
          <w:i w:val="1"/>
          <w:iCs w:val="1"/>
          <w:color w:val="auto"/>
        </w:rPr>
        <w:t>-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Applicable to Non-U.S. Holders - Possible Constructive Distributions</w:t>
      </w:r>
      <w:r>
        <w:rPr>
          <w:rFonts w:ascii="Times New Roman" w:cs="Times New Roman" w:eastAsia="Times New Roman" w:hAnsi="Times New Roman"/>
          <w:sz w:val="18"/>
          <w:szCs w:val="18"/>
          <w:color w:val="auto"/>
        </w:rPr>
        <w:t>”), it is possible that this tax would be withheld from any amount owed to a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-Tax Considerations Applicable to Non-U.S. Holders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Gain on Sale, Exchange or Other Taxable Disposition of Common Stock and Warrants</w:t>
      </w:r>
      <w:r>
        <w:rPr>
          <w:rFonts w:ascii="Times New Roman" w:cs="Times New Roman" w:eastAsia="Times New Roman" w:hAnsi="Times New Roman"/>
          <w:sz w:val="18"/>
          <w:szCs w:val="18"/>
          <w:color w:val="auto"/>
        </w:rPr>
        <w:t>” below. In addition, if we determine that we are likely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 “United States real property holding corporation” (see the section entitled “-</w:t>
      </w:r>
      <w:r>
        <w:rPr>
          <w:rFonts w:ascii="Times New Roman" w:cs="Times New Roman" w:eastAsia="Times New Roman" w:hAnsi="Times New Roman"/>
          <w:sz w:val="18"/>
          <w:szCs w:val="18"/>
          <w:i w:val="1"/>
          <w:iCs w:val="1"/>
          <w:color w:val="auto"/>
        </w:rPr>
        <w:t>Tax Considerations Applicable to Non-U.S. Holders - Gain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Exchange or Other Taxable Disposition of Common Stock and Warrants</w:t>
      </w:r>
      <w:r>
        <w:rPr>
          <w:rFonts w:ascii="Times New Roman" w:cs="Times New Roman" w:eastAsia="Times New Roman" w:hAnsi="Times New Roman"/>
          <w:sz w:val="18"/>
          <w:szCs w:val="18"/>
          <w:color w:val="auto"/>
        </w:rPr>
        <w:t>” below), we will withhold 15% of any distribution that exceeds our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accumulated earnings and profits.</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generally will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U.S. federal income tax treatment of a non-U.S. Holder’s exercise of a Warrant generally will correspond to the U.S. federal income tax treatment of the exercise of a Warrant by a U.S. Holder, as described under “ </w:t>
      </w:r>
      <w:r>
        <w:rPr>
          <w:rFonts w:ascii="Times New Roman" w:cs="Times New Roman" w:eastAsia="Times New Roman" w:hAnsi="Times New Roman"/>
          <w:sz w:val="18"/>
          <w:szCs w:val="18"/>
          <w:i w:val="1"/>
          <w:iCs w:val="1"/>
          <w:color w:val="auto"/>
        </w:rPr>
        <w:t>- Tax Considerations Applicable to U.S. Holders - Exercise of a Warrant</w:t>
      </w:r>
      <w:r>
        <w:rPr>
          <w:rFonts w:ascii="Times New Roman" w:cs="Times New Roman" w:eastAsia="Times New Roman" w:hAnsi="Times New Roman"/>
          <w:sz w:val="18"/>
          <w:szCs w:val="18"/>
          <w:color w:val="auto"/>
        </w:rPr>
        <w:t xml:space="preserve">” above, although to the extent a cashless exercise results in a taxable exchange, the tax consequences to the non-U.S. Holder would be the same as those described below in “ </w:t>
      </w:r>
      <w:r>
        <w:rPr>
          <w:rFonts w:ascii="Times New Roman" w:cs="Times New Roman" w:eastAsia="Times New Roman" w:hAnsi="Times New Roman"/>
          <w:sz w:val="18"/>
          <w:szCs w:val="18"/>
          <w:i w:val="1"/>
          <w:iCs w:val="1"/>
          <w:color w:val="auto"/>
        </w:rPr>
        <w:t>- Tax Considerations Applicable to Non-U.S. Holders - Gain on Sale, Exchange or Other Taxable Disposition of Common Stock and Warrants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Common Stock and Warrants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or Warrants or an expiration or redemption of our Warrants, unless:</w:t>
      </w:r>
    </w:p>
    <w:p>
      <w:pPr>
        <w:spacing w:after="0" w:line="162" w:lineRule="exact"/>
        <w:rPr>
          <w:sz w:val="20"/>
          <w:szCs w:val="20"/>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(i) the non-U.S. Holder has owned, actually or constructively, more than 5% of our common stock at any time within the relevant period or (ii) provided that our Warrants are regularly traded on an established securities market, the non-U.S. Holder has owned, actually or constructively, more than 5% of our Warrants at any time within the within the relevant period. It is unclear how a non-U.S. Holder’s ownership of Warrants will affect the determination of whether the non-U.S. Holder owns more than 5% of our common stock. In addition, special rules may apply in the case of a disposition of warrants if our common stock is considered to be regularly traded, but our Warrants are not considered to be regularly traded. There can be no assurance that our common stock or Warrants will or will not be treated as regularly traded on an established securities market for this purpose.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generally will be subject to a flat 30% U.S. federal income tax. Non-U.S. Holders are urged to consult their tax advisors regarding possible eligibility for benefits under income tax treaties.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common stock or Warrants, as applicable, will be subject to tax at generally applicable U.S. federal income tax rates. In addition, a buyer of our common stock or Warrants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 w:cs="Times New Roman" w:eastAsia="Times New Roman" w:hAnsi="Times New Roman"/>
          <w:sz w:val="18"/>
          <w:szCs w:val="18"/>
          <w:i w:val="1"/>
          <w:iCs w:val="1"/>
          <w:color w:val="auto"/>
        </w:rPr>
        <w:t>Description of Capital Stock - Warrants</w:t>
      </w:r>
      <w:r>
        <w:rPr>
          <w:rFonts w:ascii="Times New Roman" w:cs="Times New Roman" w:eastAsia="Times New Roman" w:hAnsi="Times New Roman"/>
          <w:sz w:val="18"/>
          <w:szCs w:val="18"/>
          <w:color w:val="auto"/>
        </w:rPr>
        <w:t>.” An adjustment that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A non-U.S. Holder would be subject to U.S. federal income tax withholding as described above under “</w:t>
      </w:r>
      <w:r>
        <w:rPr>
          <w:rFonts w:ascii="Times New Roman" w:cs="Times New Roman" w:eastAsia="Times New Roman" w:hAnsi="Times New Roman"/>
          <w:sz w:val="18"/>
          <w:szCs w:val="18"/>
          <w:i w:val="1"/>
          <w:iCs w:val="1"/>
          <w:color w:val="auto"/>
        </w:rPr>
        <w:t>Tax Considerations Applicable to Non-U.S. Holders - 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Distributions</w:t>
      </w:r>
      <w:r>
        <w:rPr>
          <w:rFonts w:ascii="Times New Roman" w:cs="Times New Roman" w:eastAsia="Times New Roman" w:hAnsi="Times New Roman"/>
          <w:sz w:val="18"/>
          <w:szCs w:val="18"/>
          <w:color w:val="auto"/>
        </w:rPr>
        <w:t>” under that section in the same manner as if such non-U.S. Holder received a cash distribution from us on common stock equal to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such increased interest.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Sections 1471 through 1474 of the Code (commonly referred to as the “</w:t>
      </w:r>
      <w:r>
        <w:rPr>
          <w:rFonts w:ascii="Times New Roman" w:cs="Times New Roman" w:eastAsia="Times New Roman" w:hAnsi="Times New Roman"/>
          <w:sz w:val="18"/>
          <w:szCs w:val="18"/>
          <w:b w:val="1"/>
          <w:bCs w:val="1"/>
          <w:color w:val="auto"/>
        </w:rPr>
        <w:t>Foreign Account Tax Compliance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and Treasury Regulations and administrative guidance promulgated thereunder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The U.S. Treasury Department has released proposed regulations which, if finalized in their present form, would eliminate the federal withholding tax of 30% applicable to the gross proceeds of a disposition of our securities.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the proceeds from a sale or other disposition of our securities.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registering the issuance by us of up to 21,874,907 shares of common stock consisting of (i) up to 6,266,667 shares of common stock that are issuable upon the exercise of Private Warrants, (ii) up to 8,625,000 shares of common stock that are issuable upon the exercise of Public Warrants, (iii) up to 716,668 shares of common stock that are issuable upon the exercise of Working Capital Warrants, and (vi) up to 6,266,572 shares of common stock that are issuable upon the exercise of Merger Warrants.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named in this prospectus, or their permitted transferees, of (i) up to an aggregate of 33,894,518 shares of common stock, consisting of: (a) up to 7,518,488 PIPE Shares, (b) up to 8,625,000 Founder Shares, (c) up to 6,266,667 shares of common stock issuable upon the exercise of the Private Warrants, (d) up to 4,501,123 shares of common stock pursuant to the Registration Rights Agreement (including shares issuable upon exercise of convertible securities), (e) up to 716,668 shares of common stock issuable upon the exercise of Working Capital Warrants, and (f) up to 6,266,572 shares of common stock issuable upon the exercise of Merger Warrants and (ii) up to 13,249,907 Warrants, consisting of (a) up to 6,266,667 Private Warrants, (b) up to 716,668 Working Capital Warrants and (c) up to 6,266,572 Merger Warrants.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shares of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87"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 through the writing or settlement of options or other hedging transaction, whether through an options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2" w:name="page123"/>
    <w:bookmarkEnd w:id="122"/>
    <w:p>
      <w:pPr>
        <w:jc w:val="both"/>
        <w:ind w:left="66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any securities that qualify for sale pursuant to Rule 144 may be sold under Rule 144 rather than pursuant to this prospectus.</w:t>
      </w:r>
    </w:p>
    <w:p>
      <w:pPr>
        <w:spacing w:after="0" w:line="22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a selling securityholder that is an entity may elect to make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at our option, file a prospectus supplement in order to permit the distributees to use the prospectus to resell the securities acquired in the distribution.</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 dealer or other financial institution, may effect sales of the pledged securities pursuant to this prospectus (as supplemented or amended to reflect such transaction).</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securityholders against certain liabilities, including liabilities under the Securities Act and state securities laws, relating to the registration of the Warrants or shares offered by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Cooley LLP, Palo Alto, California.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Complete Solaria, Inc. as of December 31, 2023 and 2022, and for each of the two years in the period ended December 31, 2023,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Complete Solaria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https://www.completesolaria.com/, at which you may access these materials free of charge as soon as reasonably practicable after they are electronically filed with, or furnished to, the SEC. The information contained in, or that can be accessed through, our website is not part of this prospectus.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02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432"/>
        </w:trPr>
        <w:tc>
          <w:tcPr>
            <w:tcW w:w="102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COMPLETE SOLARIA, INC.</w:t>
            </w:r>
          </w:p>
        </w:tc>
        <w:tc>
          <w:tcPr>
            <w:tcW w:w="100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31, 2024 and December 31,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Income (Loss) as of March 31, 2024 and April 2,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Stockholders’ Deficit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as of March 31, 2024 and April 2,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16"/>
        </w:trPr>
        <w:tc>
          <w:tcPr>
            <w:tcW w:w="102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COMPLETE SOLARIA, INC.</w:t>
            </w:r>
          </w:p>
        </w:tc>
        <w:tc>
          <w:tcPr>
            <w:tcW w:w="10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F-35</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F-36</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F-37</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F-38</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F-39</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F-41</w:t>
            </w:r>
          </w:p>
        </w:tc>
      </w:tr>
      <w:tr>
        <w:trPr>
          <w:trHeight w:val="655"/>
        </w:trPr>
        <w:tc>
          <w:tcPr>
            <w:tcW w:w="2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020" w:type="dxa"/>
            <w:vAlign w:val="bottom"/>
            <w:tcBorders>
              <w:top w:val="single" w:sz="8" w:color="CCEEFF"/>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color w:val="auto"/>
              </w:rPr>
              <w:t>F-1</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as of March 31,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2,593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20,939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26,281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5,776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3,829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40,850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47,322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24,893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27,870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payable,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29,365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28,657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debt with CS Solis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35,840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33,280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SAFE Agreements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9,409</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3,416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125,929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124,135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Authorized 1,000,000,000 and 1,000,000,000 shares as of March 31, 2024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 issued and outstanding 49,096,537 and 49,065,361 shares as of March 31, 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279,332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277,965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(364,516)</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(354,928)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40,850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47,322</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 and April 2,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Thirteen-Weeks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7,757</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13,827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1,618</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5,093</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9,827</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15,273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(3,568)</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1,519</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loss from continuing operations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(9,588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loss from discontinued operations, net of taxes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(7,805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from continuing operations per share attributable to common stockholders,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from discontinued operations per share attributable to common stockholders, basic and diluted</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 stockholders’, basic and diluted</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49,077,330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25,200,347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11"/>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Thirteen-Weeks Ended March 31, 2024</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640" w:type="dxa"/>
            <w:vAlign w:val="bottom"/>
          </w:tcPr>
          <w:p>
            <w:pPr>
              <w:spacing w:after="0"/>
              <w:rPr>
                <w:sz w:val="16"/>
                <w:szCs w:val="16"/>
                <w:color w:val="auto"/>
              </w:rPr>
            </w:pPr>
          </w:p>
        </w:tc>
        <w:tc>
          <w:tcPr>
            <w:tcW w:w="1980" w:type="dxa"/>
            <w:vAlign w:val="bottom"/>
            <w:tcBorders>
              <w:right w:val="single" w:sz="8" w:color="auto"/>
            </w:tcBorders>
            <w:gridSpan w:val="5"/>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Redeemable</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1"/>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98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59"/>
        </w:trPr>
        <w:tc>
          <w:tcPr>
            <w:tcW w:w="2640" w:type="dxa"/>
            <w:vAlign w:val="bottom"/>
          </w:tcPr>
          <w:p>
            <w:pPr>
              <w:spacing w:after="0"/>
              <w:rPr>
                <w:sz w:val="22"/>
                <w:szCs w:val="22"/>
                <w:color w:val="auto"/>
              </w:rPr>
            </w:pPr>
          </w:p>
        </w:tc>
        <w:tc>
          <w:tcPr>
            <w:tcW w:w="198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80" w:type="dxa"/>
            <w:vAlign w:val="bottom"/>
          </w:tcPr>
          <w:p>
            <w:pPr>
              <w:spacing w:after="0"/>
              <w:rPr>
                <w:sz w:val="22"/>
                <w:szCs w:val="22"/>
                <w:color w:val="auto"/>
              </w:rPr>
            </w:pPr>
          </w:p>
        </w:tc>
        <w:tc>
          <w:tcPr>
            <w:tcW w:w="14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37"/>
        </w:trPr>
        <w:tc>
          <w:tcPr>
            <w:tcW w:w="2640" w:type="dxa"/>
            <w:vAlign w:val="bottom"/>
          </w:tcPr>
          <w:p>
            <w:pPr>
              <w:spacing w:after="0"/>
              <w:rPr>
                <w:sz w:val="20"/>
                <w:szCs w:val="20"/>
                <w:color w:val="auto"/>
              </w:rPr>
            </w:pPr>
          </w:p>
        </w:tc>
        <w:tc>
          <w:tcPr>
            <w:tcW w:w="11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49,065,361</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277,965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(354,928)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31,176</w:t>
            </w:r>
          </w:p>
        </w:tc>
        <w:tc>
          <w:tcPr>
            <w:tcW w:w="42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(9,588)</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(9,588)</w:t>
            </w: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03"/>
        </w:trPr>
        <w:tc>
          <w:tcPr>
            <w:tcW w:w="264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right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6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49,096,537</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279,332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6"/>
                <w:szCs w:val="16"/>
                <w:color w:val="auto"/>
              </w:rPr>
              <w:t>(364,516</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(85,079</w:t>
            </w:r>
            <w:r>
              <w:rPr>
                <w:rFonts w:ascii="Times New Roman" w:cs="Times New Roman" w:eastAsia="Times New Roman" w:hAnsi="Times New Roman"/>
                <w:sz w:val="29"/>
                <w:szCs w:val="29"/>
                <w:color w:val="auto"/>
                <w:vertAlign w:val="superscript"/>
              </w:rPr>
              <w:t>)</w:t>
            </w:r>
          </w:p>
        </w:tc>
      </w:tr>
      <w:tr>
        <w:trPr>
          <w:trHeight w:val="21"/>
        </w:trPr>
        <w:tc>
          <w:tcPr>
            <w:tcW w:w="2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34,311,133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155,630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6,959,618</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34,997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(85,373)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(50,349)</w:t>
            </w: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recapitalization</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(34,311,133)</w:t>
            </w: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(155,630)</w:t>
            </w:r>
          </w:p>
        </w:tc>
        <w:tc>
          <w:tcPr>
            <w:tcW w:w="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12,972,811</w:t>
            </w:r>
          </w:p>
        </w:tc>
        <w:tc>
          <w:tcPr>
            <w:tcW w:w="42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155,627</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155,630</w:t>
            </w:r>
          </w:p>
        </w:tc>
      </w:tr>
      <w:tr>
        <w:trPr>
          <w:trHeight w:val="27"/>
        </w:trPr>
        <w:tc>
          <w:tcPr>
            <w:tcW w:w="2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Balance as of December 31, 2022,</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adjusted</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19,932,429</w:t>
            </w:r>
          </w:p>
        </w:tc>
        <w:tc>
          <w:tcPr>
            <w:tcW w:w="42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190,624</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(85,373)</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105,281</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137,452</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(23,514)</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(23,514)</w:t>
            </w:r>
          </w:p>
        </w:tc>
      </w:tr>
      <w:tr>
        <w:trPr>
          <w:trHeight w:val="203"/>
        </w:trPr>
        <w:tc>
          <w:tcPr>
            <w:tcW w:w="26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4"/>
        </w:trPr>
        <w:tc>
          <w:tcPr>
            <w:tcW w:w="26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April 2, 2023, as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8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20,069,881</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191,701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line="278" w:lineRule="exact"/>
              <w:rPr>
                <w:sz w:val="20"/>
                <w:szCs w:val="20"/>
                <w:color w:val="auto"/>
              </w:rPr>
            </w:pPr>
            <w:r>
              <w:rPr>
                <w:rFonts w:ascii="Times New Roman" w:cs="Times New Roman" w:eastAsia="Times New Roman" w:hAnsi="Times New Roman"/>
                <w:sz w:val="17"/>
                <w:szCs w:val="17"/>
                <w:color w:val="auto"/>
              </w:rPr>
              <w:t>(108,887</w:t>
            </w:r>
            <w:r>
              <w:rPr>
                <w:rFonts w:ascii="Times New Roman" w:cs="Times New Roman" w:eastAsia="Times New Roman" w:hAnsi="Times New Roman"/>
                <w:sz w:val="32"/>
                <w:szCs w:val="32"/>
                <w:color w:val="auto"/>
                <w:vertAlign w:val="superscript"/>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82,845</w:t>
            </w:r>
          </w:p>
        </w:tc>
      </w:tr>
      <w:tr>
        <w:trPr>
          <w:trHeight w:val="20"/>
        </w:trPr>
        <w:tc>
          <w:tcPr>
            <w:tcW w:w="2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2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w w:val="95"/>
              </w:rPr>
              <w:t>F-4</w:t>
            </w: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as of March 31, 2024 and April 2,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from continuing operations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net of tax</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from continuing operations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1,008</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reserve for excess and obsolete inventory</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forward purchase agreement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5,578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(7,246)</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debt in CS Solis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5,280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(2,599)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(4,946)</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(16,116)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(16,278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from continuing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 from continuing operations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notes payable,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14,102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 of notes payable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SAFE agreements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4,726</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15,554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6,416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F-5</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Complete Solaria, Inc. (the “Company” or “Complete Solaria”)is a residential solar installer headquartered in Fremont, California, which was formed through Complete Solar Holding Corporation’s acquisition of The Solaria Corporation (“Solaria”).</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Complete Solar, Inc. (“Complete Solar”) was incorporated in Delaware on February 22, 2010. Through February 2022, the Company operated as a single legal entity as Complete Solar, Inc.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The capitalization structure was not changed because of the Reorganization as all shares of Complete Solar, Inc common stock and preferred stock were exchanged on a one for one basis with shares of Complete Solar Holdings common stock and preferred stock. The Reorganization was accounted for as a change in reporting entity for entities under common control. The historical assets and liabilities of Complete Solar, Inc. were transferred to Complete Solar Holdings at their carrying value, and there were no changes to net income, other comprehensive income (loss), or any related per share amounts reported in the unaudited condensed consolidated financial statements requiring retrospective application.</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2022, the Company entered into a business combination agreement, as amended on December 26, 2022 and January 17, 2023 (“Original Business Combination Agreement”) and as amended on May 26, 2023 (“Amended and Restated Business Combination Agreement”), with Jupiter Merger Sub I Corp., a Delaware corporation and a wholly owned subsidiary of Freedom Acquisition I Corp. (“FACT”) (“First Merger Sub”), Jupiter Merger Sub II LLC, a Delaware limited liability company and a wholly owned subsidiary of FACT (“Second Merger Sub”), Complete Solar Holding Corporation, a Delaware corporation, and Solaria, a Delaware corporation.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transactions contemplated by the Amended and Restated Business Combination Agreement were consummated on July 18, 2023 (“Closing Date”). Following the consummation of the Merger on the Closing Date, FACT changed its name to “Complete Solaria, Inc.”</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part of the transactions contemplated by the Amended and Restated Business Combination Agreement, FACT effected a deregistration under the Cayman Islands Companies Act and a domestication under Section 388 of the Delaware’s General Corporation Law (the “DGCL” or “Domestication”). On the Closing Date, following the Domestication, First Merger Sub merged with and into Complete Solaria, with Complete Solaria surviving such merger as a wholly owned subsidiary of FACT (the “First Merger”), and immediately following the First Merger, Complete Solaria merged with and into Second Merger Sub, with Second Merger Sub surviving as a wholly owned subsidiary of FACT (the “Second Merger”), and Second Merger Sub changed its name to CS, LLC, and immediately following the Second Merger, Solaria merged with and into a newly formed Delaware limited liability company and wholly-owned subsidiary of FACT and changed its name to The Solaria Corporation LLC (“Third Merger Sub”), with Third Merger Sub surviving as a wholly-owned subsidiary of FACT (the “Additional Merger”, and together with the First Merger and the Second Merger, the “Mergers”).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closing of the Mergers: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the Company’s capital stock, inclusive of shares converted from the 2022 Convertible Notes, issued and outstanding immediately prior to the Closing (“Legacy Complete Solaria Capital Stock”) were cancelled and exchanged into an aggregate of 25,494,332 shares of Complete Solaria Common Stock.</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(i) Meteora Special Opportunity Fund I, LP (“MSOF”), Meteora Capital Partners, LP (“MCP”) and Meteora Select Trading Opportunities Master, LP (“MSTO”) (with MSOF, MCP, and MSTO collectively as “Meteora”); (ii) Polar Multi-Strategy Master Fund (“Polar”), and (iii) Diametric True Alpha Market Neutral Master Fund, LP, Diametric True Alpha Enhanced Market Neutral Master Fund, LP, and Pinebridge Partners Master Fund, LP (collectively, “Sandia”) (together, the “FPA Funding PIPE Investors”) entered into separate subscription agreements (the “FPA Funding Amount PIPE Subscription Agreements”) pursuant to which, the FPA Funding PIPE Investors subscribed for on the Closing Date, an aggregate of 6,300,000 shares of FACT Class A Ordinary Shares, less, in the case of Meteora, 1,161,512 FACT Class A Ordinary Shares purchased by Meteora separately from third parties through a broker in the open market (“Recycled Shares”) in connection with the Forward Purchase Agreements (“FPAs”). Subsequent to the Closing Date, Complete Solaria entered into an additional FPA Funding PIPE Subscription Agreement with Meteora, to subscribe for and purchase, and Complete Solaria agreed to issue and sell, an aggregate of 420,000 shares of Complete Solaria Common Stock. The Company issued shares of Complete Solaria Common Stock underlying the FPAs as of the latter of the closing of the Mergers or execution of the FPAs.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both"/>
        <w:ind w:left="660" w:hanging="328"/>
        <w:spacing w:after="0" w:line="261"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certain investors (the “PIPE Investors”) purchased from the Company an aggregate of 1,570,000 shares of Complete Solaria Common Stock (the “PIPE Shares”) for a purchase price of $10.00 per share, for aggregate gross proceeds of $15.7 million (the “PIPE Financing”), including $3.5 million that was funded prior to the Closing Date, pursuant to subscription agreements (the “Subscription Agreements”). At the time of the PIPE Financing, Complete Solaria issued an additional 60,000 shares to certain investors as an incentive to participate in the PIPE Financing.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around the Closing Date, pursuant to the New Money PIPE Subscription Agreements, certain investors affiliated with the New Money PIPE Subscription Agreements (“New Money PIPE Investors”) agreed to subscribe for and purchase, and Complete Solaria agreed to issue and sell to the New Money PIPE Investors an aggregate of 120,000 shares of Complete Solaria Common Stock for a purchase price of $5.00 per share, for aggregate gross proceeds of $0.6 million. Pursuant to its New Money PIPE Subscription Agreement, Complete Solaria issued an additional 60,000 shares of Complete Solaria Common Stock in consideration of certain services provided by it in the structuring of its FPA and the transactions described therein.</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Closing, Complete Solaria issued an additional 193,976 shares of Complete Solaria Common Stock to the sponsors for reimbursing sponsors’ transfer to certain counterparties and issued an additional 150,000 shares of Complete Solaria Common Stock to an FPA investor for services provided in connection with the Mergers.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holders of 23,256,504 of the originally issued 34,500,000 FACT Class A Ordinary shares exercised their rights to redeem those shares for cash, and immediately prior to the Closing there were 11,243,496 FACT Class A Ordinary Shares that remained outstanding. At the Closing, holders of 7,784,739 shares of Class A common stock of FACT exercised their rights to redeem those shares for cash, for an aggregate of approximately $82.2 million which was paid to such holders at Closing. The remaining FACT Class A Ordinary Share converted, on a one-for-one basis, into one share of Complete Solaria Common Stock.</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FACT Class B Ordinary Share converted, on a one-for-one basis, into one share of Complete Solaria Common Stock.</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2022, Complete Solar Holdings acquired Solaria and changed its name to Complete Solaria, Inc. On August 18, 2023, the Company entered into a Non-Binding Letter of Intent to sell certain of Complete Solaria’s North American solar panel assets to Maxeon, Inc. (“Maxeon”). In October 2023, the Company completed the sale of its solar panel business to Maxeon. Refer to Note 1(b) – Divestiture and Note 7 – Divestiture.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Divestiture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2023, the Company completed the sale of its solar panel business to Maxeon, pursuant to the terms of the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 As of December 31, 2023, the Company sold all its Maxeon shares and recorded a loss of $4.2 million in its unaudited condensed consolidated statements of operations and comprehensive loss within loss from continuing operations.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divestiture represented a strategic shift in Complete Solaria’s business and qualified as held for sale and as a discontinued operation. Based on the held for sale classification of the assets, the Company reduced the carrying value of the disposal group to its fair value, less its cost to sell and recorded an impairment loss associated with the held for sale intangible assets and goodwill. As a result, the Company classified the results of its solar panel business in discontinued operations in its unaudited condensed consolidated statements of operations and comprehensive loss for all periods presented. The cash flows related to discontinued operations were segregated from continuing operations within the unaudited condensed consolidated statements of cash flows for all periods presented. Unless otherwise noted, discussion within the notes to the unaudited condensed consolidated financial statements relates to continuing operations only and excludes the historical activities of the North American panel business. See Note 7 – Divestiture for additional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i w:val="1"/>
          <w:iCs w:val="1"/>
          <w:color w:val="auto"/>
        </w:rPr>
        <w:t>(c) Liquidity and Going Concern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recurring losses and negative cash flows from operations. The Company incurred net losses of $9.6 million and $23.5 million, during the thirteen-weeks ended March 31, 2024 and April 2, 2023, respectively, and had an accumulated deficit of $364.5 million and current debt of $65.2 million as of March 31, 2024. The Company had cash and cash equivalents of $1.8 million as of March 31, 2024. The Company believes that its operating losses and negative operating cash flows will continue into the foreseeable future. These conditions raise substantial doubt about the Company’s ability to continue as a going concern.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plans to obtain additional funding and restructure its current debt. Historically, the Company’s activities have been financed through private placements of equity securities, debt and proceeds from the Merger. 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Therefore, there is substantial doubt about the entity’s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generally accepted accounting principles in the Unites States of America (“U.S. GAAP”) and pursuant to the rules and regulations of the Securities and Exchange Commission (“SEC”) and reflect all normal and recurring adjustments that are, in the opinion of management, necessary for a fair presentation of the results for the interim periods presented. The unaudited condensed consolidated financial statements include the accounts of the Company and its wholly-owned subsidiaries. All significant intercompany balances and transactions have been eliminated in consolidation.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GAAP requires management to make estimates and assumptions that affect the reported amounts of assets, liabilities, revenue, expenses, as well as related disclosure of contingent assets and liabilities. Significant estimates and assumptions made by management include, but are not limited to, the determination of:</w:t>
      </w:r>
    </w:p>
    <w:p>
      <w:pPr>
        <w:spacing w:after="0" w:line="176"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transaction price to identified performance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warrant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methodology for inventory obsolescence;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methodology for product warranty;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methodology for the allowance for credit losses;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forward purchase agreements;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measurement of stock-based compensation.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there are material differences between these estimates and actual results, the Company’s financial condition or operating results will be affected.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Segment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conducts its business in one operating segment that provides custom solar solutions through a standardized platform to its residential solar providers and companies to facilitate the sale and installation of solar energy systems under a single product group. The Company’s Chief Executive Officer (“CEO”) is the Chief Operating Decision Maker (“CODM”). The CODM allocates resources and makes operating decisions based on financial information presented on a consolidated basis. The profitability of the Company’s product group is not a determining factor in allocating resources and the CODM does not evaluate profitability below the level of the consolidated Company. All the Company’s long-lived assets are maintained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Concentration of Risks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 The Company’s cash and cash equivalents are on deposit with major financial institutions. Such deposits may be in excess of insured limits from time to time.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 The Company reviews accounts receivable balances to determine if any receivables will potentially be uncollectible and includes any amounts that are determined to be uncollectible in the allowance for credit losses. As of March 31, 2024, two customers had an outstanding balance that represented 36% and 19% of the total accounts receivable balance. As of December 31, 2023, two customers had an outstanding balance that represented 38% and 16% of the total accounts receivable balance.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thirteen-weeks ended March 31, 2024, one customer represented 76% of gross revenues. For the thirteen-weeks ended and April 2, 2023, three customers represented 29%, 23% and 12% of gross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thirteen-weeks ended March 31, 2024, one supplier represented 99% of the Company’s inventory purchases. For the thirteen-weeks ended April 2, 2023, two suppliers represented 78% and 10% of the Company’s inventory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Cash and Cash Equivalents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securities that mature within three months or less from the original date of purchase to be cash equivalents. The Company maintains the majority of its cash balances with commercial banks in interest bearing accounts. Cash and cash equivalents include cash held in checking and savings accounts and money market accounts consisting of highly liquid securities with original maturity dates of three months or less from the original date of purchase.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Restricted Cash</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classifies all cash for which usage is limited by contractual provisions as restricted cash. The restricted cash balance was $3.8 million at each of March 31, 2024 and December 31, 2023. Restricted cash consists of deposits in money market accounts, which is used as cash collateral backing letters of credit related to customs duty authorities’ requirements. The Company has presented these balances under restricted cash, as a long-term asset, in its unaudited condensed consolidated balance sheets. The Company reconciles cash, cash equivalents, and restricted cash reported in the unaudited condensed consolidated balance sheets that aggregate to the beginning and ending balances shown in the unaudited condensed consolidated statements of cash flows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1,786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3,829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5,615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9260" w:firstLine="8"/>
        <w:spacing w:after="0" w:line="503" w:lineRule="auto"/>
        <w:tabs>
          <w:tab w:leader="none" w:pos="255" w:val="left"/>
        </w:tabs>
        <w:numPr>
          <w:ilvl w:val="0"/>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 Disaggregation of revenue</w:t>
      </w: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Refer to the table below for the Company’s revenue recognized by product and service type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Thirteen-weeks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Solar energy system installations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 enhanced services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revenue recognized by geography based on the location of the customer for the thirteen-week periods ended March 31, 2024 and April 2, 2023 was in the United States.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elected the practical expedient not to disclose remaining performance obligations for contracts that are less than one year in length. As of March 31, 2024, the Company has deferred $1.1 million associated with a long-term service contract. As of December 31, 2023, the Company has deferred $1.2 million associated with a long-term service contract, which will be recognized evenly through 2028.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costs of obtaining customer contracts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Incremental costs of obtaining customer contracts consist of sales commissions, which are costs paid to third-party vendors who source residential customer contracts for the sale of solar energy systems by the Company. The Company defers sales commissions and recognizes expense in accordance with the timing of the related revenue recognition. Amortization of deferred commissions is recorded as sales commissions in the accompanying unaudited condensed consolidated statements of operations and comprehensive loss. As of March 31, 2024 and December 31, 2023, deferred commissions were $5.1 million and $4.2 million, respectively, which were included in prepaid expenses and other current assets in the accompanying unaudited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consideration, or when such consideration is unconditionally due, from a customer prior to delivering goods or services to the customer under the terms of a customer agreement, the Company records deferred revenue. As installation projects are typically completed within 12-months, the Company’s deferred revenue is reflected in current liabilities in the accompanying unaudited condensed consolidated balance sheets. The amount of revenue recognized during the thirteen-week periods ended March 31, 2024 and April 2, 2023 that was included in deferred revenue at the beginning of each period was $1.3 million and $1.9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Fair Value Measurements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considering market participant assumptions in fair value measurements, the following fair value hierarchy distinguishes between observable and unobservable inputs, which are categorized in one of the following levels:</w:t>
      </w:r>
    </w:p>
    <w:p>
      <w:pPr>
        <w:spacing w:after="0" w:line="162" w:lineRule="exact"/>
        <w:rPr>
          <w:sz w:val="20"/>
          <w:szCs w:val="20"/>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held by the Company measured at fair value on a recurring basis as of March 31, 2024 and December 31, 2023 include cash and cash equivalents, accounts receivable, accounts payable, accrued expenses, the warrant liabilities, SAFE Agreements and FPA liabilities.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accounts receivable, accounts payable and accrued expenses approximate their fair value because of their short-term nature (classified as Level 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warrant liabilities and FPA liabilities are measured at fair value using Level 3 inputs. The Company records subsequent adjustments to reflect the increase or decrease in estimated fair value at each reporting date within the unaudited condensed consolidated statements of operations and comprehensive income (loss) as a component of other income (expense),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Direct Offering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Direct offering costs represent legal, accounting and other direct costs related to the Mergers, which was consummated in July 2023. In accounting for the Mergers, direct offering costs of approximately $5.7 million were reclassified to additional paid-in capital and netted against the Mergers proceeds received upon close. As of March 31, 2024 and December 31, 2023, the Company had no deferred offering costs included within prepaid expenses and other current assets in its unaudited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Warrant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its warrant liabilities in accordance with the guidance in ASC 815-40, Derivatives and Hedging – Contracts in Entity’s Own Equity, under which the warrants that do not meet the criteria for equity classification and must be recorded as liabilities. The warrant liabilities are measured at fair value at inception and at each reporting date in accordance with the guidance in ASC 820, Fair Value Measurement, with any subsequent changes in fair value recognized in other income (expense), net on the unaudited condensed consolidated statements of operations and comprehensive income (loss). Refer to Note 3 – Fair Value Measurements and Note 12 –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Forward Purchase Agreements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its FPAs in accordance with the guidance in ASC 480, Distinguishing Liabilities from Equity, as the agreements embody an obligation to transfer assets to settle a forward contract. The warrant liabilities are measured at fair value at inception and at each reporting date in accordance with the guidance in ASC 820, Fair Value Measurement, with any subsequent changes in fair value recognized in other income (expense), net on the unaudited condensed consolidated statements of operations and comprehensive income (loss). Refer to Note 3 – Fair Value Measurements and Note 5 – Forward Purchase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Net Loss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computes net loss per share following ASC 260, Earnings Per Share. Basic net loss per share is measured as the income or loss available to common stockholders divided by the weighted average common shares outstanding for the period. Diluted net loss per share presents the dilutive effect on a per-share basis from the potential exercise of options and/or warrants. The potentially dilutive effect of options or warrants are computed using the treasury stock method. Securities that potentially have an anti-dilutive effect (i.e., those that increase income per share or decrease loss per share) are excluded from the diluted loss per share calculation.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Accounting Pronouncements Not Yet Adopted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The ASU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This guidance is effective for fiscal years beginning after December 15, 2023, and interim periods within fiscal years beginning after December 15, 2024, and requires retrospective adoption. The Company is currently evaluating ASU 2023-07, but expects the impact of the disclosures to be immaterial to the Company’s unaudited condensed consolidated financial statements.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is currently evaluating ASU 2023-09 but expects the impact of the disclosures to be immaterial to the Company’s unaudited condensed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are measured at fair value, on a recurring basis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Carlyle warrants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437</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318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warrants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9,409</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437</w:t>
            </w:r>
          </w:p>
        </w:tc>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Carlyle warrants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167</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warrants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84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167</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Carlyle Warrants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the Company’s amended and restated warrant agreement with CRSEF Solis Holdings, LLC and its affiliates (“Carlyle”), the Company issued Carlyle a warrant to purchase shares of Complete Solaria Common Stock at a price per share of $0.01. Refer to Note 12 – Warrants for further details. The Company valued the warrants based on a Black-Scholes Option Pricing Method, which included the following inputs: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7.0 years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7.0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Private Placement and Working Capital Warrants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public, private placement and working capital warrants are measured at fair value on a recurring basis. The public warrants were valued based on the closing price of the publicly traded instrument. The private placement and working capital warrants were valued using observable inputs for similar publicly-traded instruments.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i w:val="1"/>
          <w:iCs w:val="1"/>
          <w:color w:val="auto"/>
        </w:rPr>
        <w:t>Forward Purchase Agreement Liabilities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FPA liabilities are measured at fair value on a recurring basis using a Monte Carlo simulation analysis. The expected volatility is determined based on the historical equity volatility of comparable companies over a period that matches the simulation period, which included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trading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Simulation period</w:t>
            </w:r>
          </w:p>
        </w:tc>
        <w:tc>
          <w:tcPr>
            <w:tcW w:w="12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1.30 years</w:t>
            </w:r>
          </w:p>
        </w:tc>
        <w:tc>
          <w:tcPr>
            <w:tcW w:w="22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1.55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4.48%</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95.0%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Replacement Warrants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valued the Replacement Warrants based on a Black-Scholes Option Pricing Method, which included the following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0.08 years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0.3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Reverse Recapitalization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discussed in Note 1 – Organization, on July 18, 2023, the Company consummated the Mergers pursuant to the Amended and Restated Business Combination Agreement. The Mergers was accounted for as a reverse recapitalization, rather than a business combination, for financial accounting and reporting purposes. Accordingly, Complete Solaria was deemed the accounting acquirer (and legal acquiree) and FACT was treated as the accounting acquiree (and legal acquirer). Complete Solaria was determined to be the accounting acquirer based on an evaluation of the following facts and circumstances:</w:t>
      </w:r>
    </w:p>
    <w:p>
      <w:pPr>
        <w:spacing w:after="0" w:line="183"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Solaria’s pre-combination stockholders have the majority of the voting power in the post- merged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Complete Solaria’s stockholders have the ability to appoint a majority of the Complete Solaria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Complete Solaria’s management team is considered the management team of the post-merged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Complete Solaria’s prior operations are comprised of the ongoing operations of the post-merged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Solaria is the larger entity based on historical revenues and business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post-merged company has assumed Complete Solaria’s operating name.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8" w:name="page139"/>
    <w:bookmarkEnd w:id="13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this method of accounting, the reverse recapitalization was treated as the equivalent of Complete Solaria issuing stock for the net assets of FACT, accompanied by a recapitalization. The net assets of FACT are stated at historical cost, with no goodwill or other intangible assets recorded. The unaudited condensed consolidated assets, liabilities, and results of operations prior to the Mergers are those of Legacy Complete Solaria. All periods prior to the Mergers have been retrospectively adjusted in accordance with the Amended and Restated Business Combination Agreement for the equivalent number of preferred or common shares outstanding immediately after the Mergers to effect the reverse recapitalization.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the closing of the Mergers and the PIPE Financing in July 2023, the Company received net cash proceeds of $19.7 million less non-cash net liabilities assumed from FACT of $10.1 million.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Immediately upon closing of the Mergers, the Company had 45,290,553 shares issued and outstanding of Class A Common Stock. The following table presents the number of shares of Complete Solaria Common Stock outstanding immediately following the consummation of the Mergers: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 Class A Ordinary Shares, outstanding prior to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 Class B Ordinary Shares, outstanding prior to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Bonus shares issued to sponsor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shares issued to PIPE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Bonus shares issued to FPA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from PIPE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issued from FPA agreements, net of recycled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redemption of FACT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shares from the Mergers and PIPE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Complete Solaria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2022 Convertible Note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Complete Solaria Common stock immediately after Mergers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Recapitalization</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34,500,000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8,625,000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193,976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1,690,000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5,558,488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(31,041,243)</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19,796,221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20,034,257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5,460,075</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45,290,553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8867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886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78867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40"/>
          </w:cols>
          <w:pgMar w:left="320" w:top="931" w:right="339" w:bottom="1440" w:gutter="0" w:footer="0" w:header="0"/>
          <w:type w:val="continuous"/>
        </w:sectPr>
      </w:pPr>
    </w:p>
    <w:p>
      <w:pPr>
        <w:spacing w:after="0" w:line="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Mergers, the Company incurred direct and incremental costs of approximately $15.8 million related to legal, accounting, and other professional fees, which were offset against the Company’s additional paid-in capital. Of the $15.8 million, $5.2 million was incurred by Legacy Complete Solaria and $10.6 million was incurred by FACT. The Company did not make any cash payments to settle transaction costs in the thirteen-weeks ended March 31, 2024. As of December 31, 2023, the Company made cash payments totaling $5.4 million to settle transaction costs. As a result of the Closing, outstanding 2022 Convertible Notes were converted into shares of Complete Solaria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Forward Purchase Agreements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2023, FACT and Legacy Complete Solaria, Inc. entered into FPAs with each of (i) Meteora; (ii) Polar, and (iii) Sandia (each individually, a “Seller”, and together, the “FPA Sellers”).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FPAs, the FPA Sellers may (i)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terms of the forward contracts are as follows: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9" w:name="page140"/>
    <w:bookmarkEnd w:id="139"/>
    <w:p>
      <w:pPr>
        <w:jc w:val="both"/>
        <w:ind w:left="660" w:hanging="328"/>
        <w:spacing w:after="0" w:line="254"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occurs as of the Valuation Date, which is the earlier to occur of (a) the date that is two years after the date of the Closing Date of the Mergers (b) the date specified by Seller in a written notice to be delivered to the Counterparty at the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Price is less than the then applicable Reset Price.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entered into four separate FPAs, three of which, associated with the obligation to issue 6,300,000 Shares, were entered into prior to the closing of the Mergers. Upon signing the FPAs, the Company incurred an obligation to issue a fixed number of shares to the FPA Sellers contingent upon the closing of the Mergers in addition to the terms and conditions associated with the settlement of the FPAs. The Company accounted for the contingent obligation to issue shares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recorded a liability and other income (expense), net based on the fair value upon of the obligation upon the signing of the FPAs. The liability was extinguished in July 2023 upon the issuance of Complete Solaria Common Stock to the FPA sellers.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Additionally,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Company has determined that the forward contracts are financial instruments other than shares that represent or are indexed to obligations to repurchase the issuer’s equity shares by transferring assets, referred to herein as the “forward purchase liability” on its unaudited condensed consolidated balance sheets. The Company initially measured the forward purchase liabilities at fair value and has subsequently remeasured them at fair value with changes in fair value recognized in earnings.</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the date of issuance of the Complete Solaria Common Stock in satisfaction of the Company’s obligation to issue shares around the closing of the Mergers, the Company recorded $35.5 million to other income (expense), net associated with the issuance of 6,720,000 shares of Complete Solaria Common Stock in association with the FPAs.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closing of the Mergers and issuance of the Complete Solaria Common Stock underlying the FPAs, the fair value of the prepaid FPAs was an asset balance of $0.1 million and was recorded on the Company’s unaudited condensed consolidated balance sheets and within other income (expense), net on the unaudited condensed consolidated statements of operations and comprehensive loss. Subsequently, the change of fair value of the forward purchase liabilities amounted to an expense of $5.6 million for the thirteen-weeks ended March 31, 2024. As of March 31, 2024, and December 31, 2023, the forward purchase liabilities amounted to $9.4 million and $3.8 million, respectively. Of the balances as of March 31, 2024 and December 31, 2023, $7.9 million and $3.2 million, respectively, are due to related parties Refer to Note 19 – Related Party Transactions for further details.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18, 2023, the Company and the FPA Sellers entered into separate amendments to the FPAs (the “Amendments”). The Amendments lower the reset floor price of each FPA from $5.00 to $3.00 and allow the Company to raise up to $10.0 million of equity from existing stockholders without triggering certain anti-dilution provisions contained in the FPAs;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commissions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Divestiture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described in Note 1 – Organization, on August 18, 2023, the Company entered into a Non-Binding Letter of Intent to sell certain of Complete Solaria’s North American solar panel assets, inclusive of intellectual property and customer contracts, to Maxeon. Under the terms of the Disposal Agreement, Maxeon agreed to acquire certain assets and employees of Complete Solaria. The Company determined that this divestiture represented a strategic shift in the Company’s business and qualified as a discontinued operation. In October 2023, the Company completed the sale of its solar panel business to Maxeon, pursuant to the terms of the Asset Purchase Agreement Disposal Agreement.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amounts reflected in the unaudited condensed consolidated statements of operations and comprehensive loss related to discontinued operations are presented in the table,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84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Thirteen-</w:t>
            </w:r>
          </w:p>
        </w:tc>
      </w:tr>
      <w:tr>
        <w:trPr>
          <w:trHeight w:val="216"/>
        </w:trPr>
        <w:tc>
          <w:tcPr>
            <w:tcW w:w="4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7"/>
              </w:rPr>
              <w:t>Weeks</w:t>
            </w:r>
          </w:p>
        </w:tc>
      </w:tr>
      <w:tr>
        <w:trPr>
          <w:trHeight w:val="216"/>
        </w:trPr>
        <w:tc>
          <w:tcPr>
            <w:tcW w:w="4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4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84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April 2,</w:t>
            </w:r>
          </w:p>
        </w:tc>
      </w:tr>
      <w:tr>
        <w:trPr>
          <w:trHeight w:val="245"/>
        </w:trPr>
        <w:tc>
          <w:tcPr>
            <w:tcW w:w="4720" w:type="dxa"/>
            <w:vAlign w:val="bottom"/>
            <w:tcBorders>
              <w:bottom w:val="single" w:sz="8" w:color="CCEEFF"/>
            </w:tcBorders>
          </w:tcPr>
          <w:p>
            <w:pPr>
              <w:spacing w:after="0"/>
              <w:rPr>
                <w:sz w:val="21"/>
                <w:szCs w:val="21"/>
                <w:color w:val="auto"/>
              </w:rPr>
            </w:pPr>
          </w:p>
        </w:tc>
        <w:tc>
          <w:tcPr>
            <w:tcW w:w="5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00" w:type="dxa"/>
            <w:vAlign w:val="bottom"/>
            <w:shd w:val="clear" w:color="auto" w:fill="CCEEFF"/>
          </w:tcPr>
          <w:p>
            <w:pPr>
              <w:spacing w:after="0"/>
              <w:rPr>
                <w:sz w:val="18"/>
                <w:szCs w:val="18"/>
                <w:color w:val="auto"/>
              </w:rPr>
            </w:pPr>
          </w:p>
        </w:tc>
      </w:tr>
      <w:tr>
        <w:trPr>
          <w:trHeight w:val="23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19,479</w:t>
            </w:r>
          </w:p>
        </w:tc>
      </w:tr>
      <w:tr>
        <w:trPr>
          <w:trHeight w:val="216"/>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5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2,866</w:t>
            </w:r>
          </w:p>
        </w:tc>
      </w:tr>
      <w:tr>
        <w:trPr>
          <w:trHeight w:val="23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4,185</w:t>
            </w:r>
          </w:p>
        </w:tc>
      </w:tr>
      <w:tr>
        <w:trPr>
          <w:trHeight w:val="236"/>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7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w:t>
            </w:r>
          </w:p>
        </w:tc>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(7,809)</w:t>
            </w:r>
          </w:p>
        </w:tc>
        <w:tc>
          <w:tcPr>
            <w:tcW w:w="100" w:type="dxa"/>
            <w:vAlign w:val="bottom"/>
          </w:tcPr>
          <w:p>
            <w:pPr>
              <w:spacing w:after="0"/>
              <w:rPr>
                <w:sz w:val="17"/>
                <w:szCs w:val="17"/>
                <w:color w:val="auto"/>
              </w:rPr>
            </w:pPr>
          </w:p>
        </w:tc>
      </w:tr>
      <w:tr>
        <w:trPr>
          <w:trHeight w:val="25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47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56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(7,809)</w:t>
            </w:r>
          </w:p>
        </w:tc>
        <w:tc>
          <w:tcPr>
            <w:tcW w:w="100" w:type="dxa"/>
            <w:vAlign w:val="bottom"/>
            <w:tcBorders>
              <w:top w:val="single" w:sz="8" w:color="CCEEFF"/>
            </w:tcBorders>
          </w:tcPr>
          <w:p>
            <w:pPr>
              <w:spacing w:after="0"/>
              <w:rPr>
                <w:sz w:val="17"/>
                <w:szCs w:val="17"/>
                <w:color w:val="auto"/>
              </w:rPr>
            </w:pPr>
          </w:p>
        </w:tc>
      </w:tr>
      <w:tr>
        <w:trPr>
          <w:trHeight w:val="25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5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56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7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2"/>
          </w:tcPr>
          <w:p>
            <w:pPr>
              <w:jc w:val="right"/>
              <w:ind w:right="4610"/>
              <w:spacing w:after="0"/>
              <w:rPr>
                <w:sz w:val="20"/>
                <w:szCs w:val="20"/>
                <w:color w:val="auto"/>
              </w:rPr>
            </w:pPr>
            <w:r>
              <w:rPr>
                <w:rFonts w:ascii="Times New Roman" w:cs="Times New Roman" w:eastAsia="Times New Roman" w:hAnsi="Times New Roman"/>
                <w:sz w:val="18"/>
                <w:szCs w:val="18"/>
                <w:color w:val="auto"/>
              </w:rPr>
              <w:t>F-17</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 except year data):</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software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from continuing operations totaled $0.4 million and $0.2 million for the thirteen-week periods ended March 31, 2024 and April 2,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Uninvoiced contract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term loan and revolving loan amendment and final payment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settlements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7,700</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 and credits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7,743</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24,893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Other Income, Net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net consists of the following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Thirteen-Weeks</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6"/>
                <w:szCs w:val="16"/>
                <w:color w:val="auto"/>
              </w:rPr>
            </w:pPr>
          </w:p>
        </w:tc>
        <w:tc>
          <w:tcPr>
            <w:tcW w:w="92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Carlyle warrants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6,429</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FACT public, private placement and working capital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of forward purchase agreement liabilities</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(5,578)</w:t>
            </w:r>
          </w:p>
        </w:tc>
        <w:tc>
          <w:tcPr>
            <w:tcW w:w="200" w:type="dxa"/>
            <w:vAlign w:val="bottom"/>
          </w:tcPr>
          <w:p>
            <w:pPr>
              <w:spacing w:after="0"/>
              <w:rPr>
                <w:sz w:val="22"/>
                <w:szCs w:val="22"/>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discontinued Solaria business and other, net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 million and zero of other expense for the thirteen-weeks ended March 31, 2024 and April 2, 2023, respectively, for forward purchase agreements entered into with related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authorized the issuance of 1,000,000,000 shares of common stock and 10,000,000 shares of preferred stock as of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preferred stock has been issued.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18, 2023, the Company entered into separate common stock purchase agreements (the “Purchase Agreements”) with the Rodgers Massey Freedom and Free Markets Charitable Trust and the Rodgers Massey Revocable Living Trust (each a “Purchaser”, and together, the “Purchasers”). Pursuant to the terms of the Purchase Agreements, each Purchaser purchased 1,838,235 shares of common stock of the Company, par value $0.0001, (the “Shares”), at a price per share of $1.36, representing an aggregate purchase price of $4,999,999.20. The Purchasers paid for the Shares in cash. Thurman J. Rodgers is a trustee of each Purchaser and is the Executive Chairman of the board of directors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 has reserved shares of common stock for issuance related to the following:</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2,628,996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11,436,369</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 options and RSUs, authorized for future issuance</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3,850,462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reserved</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45,553,093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Warrants</w:t>
            </w: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Liability-classified warrants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Carlyle warrants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Replacement warrants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placements warrants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Carlyle Warrants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2022, as part of a debt financing from Carlyle (Refer to Note 13 – Borrowing Arrangements), the Company issued a warrant to purchase 2,886,952 shares of common stock in conjunction with long-term debt issued to Carlyle (“CS Solis Debt”). The warrant contained two tranches, the first of which is immediately exercisable for 1,995,879 shares. The second tranche, which was determined to be a separate unit of account, expired on December 31, 2022 prior to becoming exercisable. In December 2023, Carlyle was issued an additional warrant to purchase an additional 2,190,604 shares of the Company’s common stock related to an anti-dilution provision within the CS Solis Debt that provides for such additional warrants under such circumstances as provided within the CS Solis Debt.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issuance, the relative fair value of the warrant was determined to be $3.4 million using the Black-Scholes model with the following weighted average assumptions: expected term of 7 years; expected volatility of 73.0%; risk-free interest rate of 1.9%; and no dividend yield. The fair value of the warrant was initially recorded within additional paid-in capital as it met the conditions for equity classification.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2023, and in connection with the closing of the Mergers, the Carlyle debt and warrants were modified. Based on the exchange ratio included in the Mergers, the 1,995,879 outstanding warrants to purchase Legacy Complete Solaria Common Stock prior to modification were exchanged into warrants to purchase 1,995,879 shares of Complete Solaria Common Stock. As part of the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w:t>
      </w:r>
    </w:p>
    <w:p>
      <w:pPr>
        <w:spacing w:after="0" w:line="3" w:lineRule="exact"/>
        <w:rPr>
          <w:sz w:val="20"/>
          <w:szCs w:val="20"/>
          <w:color w:val="auto"/>
        </w:rPr>
      </w:pPr>
    </w:p>
    <w:p>
      <w:pPr>
        <w:jc w:val="both"/>
        <w:ind w:firstLine="8"/>
        <w:spacing w:after="0" w:line="253" w:lineRule="auto"/>
        <w:tabs>
          <w:tab w:leader="none" w:pos="3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Of the additional warrants that become exercisable after the modification, the tranches of 350,000 warrants vesting ten days after the date of the agreement and 150,000 warrants vesting thirty days after the date of the agreement are exercisable as of December 31, 2023.</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modification of the warrant resulted in the reclassification of previously equity-classified warrants to liability classification, which was accounted for in accordance with ASC 815 and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recorded the fair value of the modified warrants as a warrant liability of $20.4 million, the pre-modification fair value of the warrants as a reduction to additional paid-in capital of $10.9 million and an expense of $9.5 million to other income (expense), net equal to the incremental value of the warrants upon the modification. The fair value of the warrant was determined based on its intrinsic value, given a nominal exercise price. At issuance, the relative fair value of the warrant was determined to be $20.4 million using the Black-Scholes model with the following weighted average assumptions: expected term of 7 years; expected volatility of 77.0%; risk-free interest rate of 3.9%; and no dividend yield. As of March 31, 2024, the fair value of the warrant was $3.1 million, and the Company recorded an income of $6.4 million as other income (expense), net on the unaudited condensed consolidated statements of operations and comprehensive loss.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D-7 Warrants (Converted to common stock warrants “Replacement Warrants”)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2022, the Company issued warrants to purchase 656,630 shares of Series D-7 preferred stock (the “Series D-7 warrants”) in conjunction with the Business Combination. The warrant contains two tranches. The first tranche of 518,752 shares of Series D-7 preferred stock is exercisable at an exercise price of $2.50 per share upon consummation of a merger transaction, or at an exercise price of $2.04 per share upon remaining private and has an expiration date of April 2024. The second tranche of 137,878 shares of Series D-7 preferred stock is exercisable at an exercise price of $5.00 per share upon consummation of a merger transaction, or at an exercise price of $4.09 per share upon remaining private and has an expiration date of April 2024. The fair value of the Series D-7 warrants was $7.8 million as of December 31, 2022 and $2.4 million as of July 18, 2023 when the warrants were reclassified from redeemable convertible preferred stock warrant liability to additional paid-in capital, as the exercise price of the warrants is fixed at $2.50 per share of Complete Solaria Common Stock for the first tranche and $5.00 per share of Complete Solaria Common Stock for the second tranche upon the closing of the Mergers.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October 2023, the Company entered into an Assignment and Acceptance Agreement (“Assignment Agreement”), (Refer to Note 13 – Borrowings and SAFE Agreements). In connection with the Assignment Agreement, the Company also entered into the First Amendment to Warrant to Purchase Stock Agreements with the holders of the Series D-7 warrants. Pursuant to the terms of the agreement, the warrants to purchase 1,376,414 shares of Series D-7 preferred stock converted into warrants to purchase 656,630 shares of common stock, the Replacement Warrants. As a result of the warrant amendment, the Company reclassified the Replacement Warrants from equity to liability. The Replacement Warrants were remeasured to their fair value on the amendment effective date, and the Company has recorded subsequent changes in fair value in other income (expense), net on its unaudited condensed consolidated statements of operations and comprehensive loss. The Replacement Warrants remain outstanding as of March 31,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i w:val="1"/>
          <w:iCs w:val="1"/>
          <w:color w:val="auto"/>
        </w:rPr>
        <w:t>Public, Private Placement, and Working Capital Warrants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conjunction with the Mergers, Complete Solaria, as accounting acquirer, was deemed to assume 6,266,667 warrants to purchase FACT Class A Ordinary Shares that were held by the sponsor at an exercise price of $11.50 (“Private Placement Warrants”) and 8,625,000 warrants to purchase FACT’s shareholders FACT Class A Ordinary Shares at an exercise price of $11.50 (“Public Warrants”). Subsequent to the Mergers, the Private Placement Warrants and Public Warrants are exercisable for shares of Complete Solaria Common Stock and meet liability classification requirements since the warrants may be required to be settled in cash under a tender offer. In addition, the Private Placement Warrants are potentially subject to a different settlement amount as a result of being held by the Sponsor which precludes the Private Placement Warrants from being considered indexed to the entity’s own stock. Therefore, these warrants are classified as liabilities on the Company’s unaudited condensed consolidated balance sheets.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determined the Public and Private warrants to be classified as a liability and fair valued the warrants on the issuance date using the publicly available price for the warrants of $6.7 million. The fair value of these warrants was $0.8 million as of March 31, 2024, and the Company recorded the change in fair value of $0.5 million in other income (expense), net in the unaudited condensed consolidated statements of operations and comprehensive loss for the thirteen-weeks ended March 31, 2024.</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at the closing of the Mergers, the Company issued 716,668 Working Capital warrants, which have identical terms as the Private Placement Warrants to the sponsor in satisfaction of certain liabilities of FACT. The warrants were fair valued at $0.3 million upon the closing of the Mergers, which was recorded in warrant liability on the unaudited condensed consolidated balance sheets. As of March 31, 2024, the Working Capital warrants had a fair value of $0.03 million, and the Company recorded the change in fair value of $0.02 million as other income (expense), net on the unaudited condensed consolidated statements of operations and comprehensive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Warrants (Converted to Common Stock Warrants)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2016, the Company issued a warrant to purchase 5,054 shares of Series B preferred stock (the “Series B warrant”) in connection with a 2016 credit facility. The Series B warrant is immediately exercisable at an exercise price of $4.30 per share and has an expiration date of February 2026. The relative fair value of the Series B warrant at issuance was recorded as a debt issuance cost within other non-current liabilities upon issuance. The fair value of the Series B warrant was less than $0.1 million as of December 31, 2022 and as of July 18, 2023, when the Series B warrant was reclassified from warrant liability to additional paid-in capital, upon the warrant becoming exercisable into shares of Complete Solaria Common Stock upon the close of the Mergers. Prior to its reclassification from equity to a liability during 2023, the changes in fair value were recorded in other income (expense), net on the accompanying unaudited condensed consolidated statements of operations and comprehensive loss for the thirteen-weeks ended April 2,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Warrants (Converted to Common Stock Warrants)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2016, the Company issued a warrant to purchase 148,477 shares of Series C preferred stock (the “Series C warrant”) in connection with the Series C financing. The Series C warrant agreement also provided for an additional number of Series C shares calculated on a monthly basis commencing on June 2016 based on the principal balance outstanding of the notes payable outstanding. The maximum number of shares exercisable under the Series C warrant agreement is 482,969 shares of Series C preferred stock. The Series C warrant was immediately exercisable at an exercise price of $1.00 per share and has an expiration date of July 2026. The relative fair value of the Series C warrant at issuance was recorded as Series C preferred stock issuance costs and redeemable convertible preferred stock warrant liability and changes in the fair value of the warrant were recorded in other income (expense), net on the accompanying unaudited condensed consolidated statements of operations and comprehensive loss for the thirteen-weeks ended April 2, 2023. The fair value of the Series C warrant was $2.3 million as of July 18, 2023, when the Series B warrant was reclassified from redeemable convertible preferred stock warrant liability to additional paid-in capital, upon the warrant becoming exercisable into shares of Complete Solaria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C-1 Warrants (Converted to Common Stock Warrants)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January 2020, the Company issued a warrant to purchase 173,067 shares of common stock in conjunction with the Series C-1 preferred stock financing. The warrant is immediately exercisable at an exercise price of $0.01 per share and has an expiration date of January 2030. The warrant remains outstanding as of March 31, 2024. At issuance, the relative fair value of the warrant was determined to be $0.1 million using the Black-Scholes model with the following weighted average assumptions: expected term of 10 years; expected volatility of 62.5%; risk-free interest rate of 1.5%; and no dividend yield. The fair value of the warrant was recorded within additional paid-in capital on the unaudited condensed consolidated balance sheets. The warrant is not remeasured in future periods as it meets the conditions for equity classification.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i w:val="1"/>
          <w:iCs w:val="1"/>
          <w:color w:val="auto"/>
        </w:rPr>
        <w:t>SVB Common Stock Warrants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May and August 2021, the Company issued warrants to purchase 2,473 and 2,525 shares of common stock, respectively, in conjunction with the Fifth and Sixth Amendments to the Loan and Security Agreement (“Loan Agreement”) with Silicon Valley Bank (“SVB”). The warrants are immediately exercisable at exercise prices of $0.38 and $0.62 per share, respectively, and have expiration dates in 2033. The warrants remain outstanding as of March 31, 2024. At issuance, the relative fair value of the warrants was determined to be less than $0.1 million in aggregate using the Black-Scholes model with the following weighted average assumptions: expected term of 12 years; expected volatility of 73.0%; risk-free interest rate of 1.7% and 1.3% for the May and August 2021 warrants, respectively; and no dividend yield. The fair value of the warrant was recorded within additional paid-in-capital on the accompanying unaudited condensed consolidated balance sheets. The warrants are not remeasured in future periods as they meet the conditions for equity classification.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Common Stock Warrants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2021, the Company issued a warrant to purchase 24,148 shares of common stock in conjunction with the issuance of a short-term promissory note. The warrant is immediately exercisable at an exercise price of $0.01 per share and has an expiration date of October 2031. The warrant remains outstanding as of March 31, 2024. At issuance, the relative fair value of the warrant was determined to be less than $0.1 million using the Black-Scholes model with the following weighted average assumptions: expected term of 10 years; expected volatility of 73.0%; risk-free interest rate of 1.5%; and no dividend yield. The fair value of the warrant was recorded within additional paid-in capital on the unaudited condensed consolidated balance sheets. The warrant is not remeasured in future periods as it meets the conditions for equity classification.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2022 Common Stock Warrants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2022, the Company issued a warrant to a third-party service provider to purchase 78,962 shares of common stock in conjunction with the Business Combination. The warrant was immediately exercisable at an exercise price of $8.00 per share and had an expiration date of April 2024. In May 2023, the Company amended the warrant, modifying (i) the shares of common stock to be purchased to 31,680, (ii) the exercise price to $0.01, and (iii) the expiration date to the earlier of October 2026 or the closing of an IPO. The impact of the modification was not material to the unaudited condensed consolidated financial statements. At issuance and upon the modification, the relative fair value of the warrant was determined to be $0.1 million using the Black-Scholes model with the following weighted average assumptions: expected term of 1.5 years; expected volatility of 78.5%; risk-free interest rate of 4.7%; and no dividend yield. The fair value of the warrant was recorded within additional paid-in capital on the unaudited condensed consolidated balance sheets. The warrant is not remeasured in future periods as it meets the conditions for equity classification. Upon the Closing of the Mergers, the warrant was net exercised into 31,680 shares of Complete Solaria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2023 Common Stock Warrants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2023, the Company issued a warrant to a third-party service provider to purchase 38,981 shares of the Company’s common stock in exchange for services provided in obtaining financing at the Closing of the Mergers. The warrant is immediately exercisable at a price of $0.01 per share and has an expiration date of July 2028. At issuance, the fair value of the warrant was determined to be $0.2 million, based on the intrinsic value of the warrant and the $0.01 per share exercise price. As the warrant is accounted for as an equity issuance cost, the warrant is recorded within additional paid-in capital on the unaudited condensed consolidated balance sheets. The warrant is not remeasured in future periods as it meets the conditions for equity classification.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i w:val="1"/>
          <w:iCs w:val="1"/>
          <w:color w:val="auto"/>
        </w:rPr>
        <w:t>Warrant Consideration</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In July 2023, in connection with the Mergers, the Company issued 6,266,572 warrants to purchase Complete Solaria Common Stock to holders of Legacy Complete Solaria Redeemable Convertible Preferred Stock, Legacy Complete Solaria Common Stock. The exercise price of the common stock warrants is $11.50 per share and the warrants expire 10 years from the date of the Mergers. The warrant consideration was issued as part of the close of the Mergers and was recorded within additional paid-in capital, net of the issuance costs of the Mergers. As of March 31, 2024, all warrants issued as warrant consideration remain outstanding.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Borrowings and SAFE Agreements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Company’s borrowings consisted of the following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Bridge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Revolver Loan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Credit Facility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Polar Settlement Agreement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Debt in CS Solis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35,840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33,280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 and convertible notes, net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(65,205)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(61,937)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and convertible notes, net of current portion</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Bridge Notes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2018, Solaria Corporation issued senior subordinated convertible secured notes (“2018 Notes”) totaling approximately $3.4 million in exchange for cash. The notes bear interest at the rate of 8% per annum and the investors are entitled to receive twice the face value of the 2018 Notes at maturity. The 2018 Notes are secured by substantially all of the assets of Solaria Corporation. In 2021, the 2018 Notes were amended extending the maturity date to December 13, 2022. In connection with the 2021 amendment, Solaria had issued warrants to purchase shares of Series E-1 redeemable convertible preferred stock of Solaria. The warrants were exercisable immediately in whole or in part at and expire on December 13, 2031. As part of the Business Combination with Complete Solar, all the outstanding warrants issued to the lenders were assumed by the parent company, Complete Solaria. The 2018 Notes are secured by substantially all of the assets of Complete Solaria.</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2022, the Company entered into an amendment to the 2018 Bridge Notes extending the maturity date from December 13, 2022 to December 13, 2023, and the 2018 Notes remain outstanding as of March 31, 2024. In connection with the amendment, the 2018 Notes will continue to bear interest at 8% per annum and are entitled to an increased repayment premium from 110% to 120% of the principal and accrued interest at the time of repayment.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concluded that the amendment represented a troubled debt restructuring as the Company was experiencing financial difficulty, and the amended terms resulted in a concession to the Company. As the future undiscounted cash payments under the modified terms exceeded the carrying amount of the 2018 Notes on the date of modification, the modification was accounted for prospectively. The incremental repayment premium is being amortized to interest expense using the effective interest rate method. As of March 31, 2024 and December 31, 2023, the carrying value of the 2018 Notes was $11.4 million and $11.0 million, respectively. Interest expense recognized for the thirteen-week periods ended March 31, 2024 and April 2, 2023 was $0.3 million and $0.3 million, respectively. As of March 31, 2024, the carrying value of the 2018 Notes approximates their fair value.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i w:val="1"/>
          <w:iCs w:val="1"/>
          <w:color w:val="auto"/>
        </w:rPr>
        <w:t>Revolver Loan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2020, Solaria entered into a loan agreement (“SCI Loan Agreement”) with Structural Capital Investments III, LP (“SCI”).</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SCI Loan Agreement is comprised of two facilities, a term loan (the “Term Loan”) and a revolving loan (the “Revolving Loan”) (together “Original Agreement”) for $5.0 million each with a maturity date of October 31, 2023. Both the Term Loan and the Revolving Loan were fully drawn upon closing. The Term Loan was repaid prior to the acquisition of Solaria by Complete Solar and was not included in the Business Combination.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Revolving Loan has a term of thirty-six months, with the principal due at the end of the term and an annual interest rate of 7.75% or Prime rate plus 4.5%, whichever is higher. The SCI Loan Agreement requires the Company to meet certain financial covenants relating to the maintenance of specified restricted cash balance, achieve specified revenue targets and maintain specified contribution margins (“Financial Covenants”) over the term of the Revolving Loan. The Revolving Loan is collateralized by substantially all assets and property of the Company.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years ended December 31, 2022 and December 31, 2021, Solaria entered into several Amended and Restated Loan and Security Agreements with SCI to forbear SCI from exercising any rights and remedies available to it as a result of the Company not meeting certain Financial Covenants required by the Original Agreement. As a result of these amendments changes were made to the Financial Covenants, and Solaria recorded a total of $1.9 million in amendment fees which amount was recorded in Other Liabilities, and this liability was included in the assumed liabilities for purchase price accounting.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Solaria had historically issued warrants to purchase shares of Series E-1 redeemable convertible preferred stock of Solaria (“SCI Series E-1 warrants”). The warrants were fully exercisable in whole or in part at any time during the term of the Original agreement. As part of the Business Combination with Complete Solar, all the outstanding SCI Series E-1 warrants were assumed by the parent company, Complete Solaria.</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Revolving Loan outstanding on the date of the Business Combination was fair valued at $5.0 million for the purpose of purchase price accounting. The Revolving Loan principal balance at March 31, 2024 and December 31, 2023 amounted to $5.3 million and $5.1 million, respectively. Interest expense recognized for the thirteen-week periods ended March 31, 2024 and April 2, 2023 was $0.1 million and $0.1 million, respectively. The Company was in compliance with all the Financial Covenants as of March 31, 2024.</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2023, the Company entered into an Assignment Agreement whereby Structural Capital Investments III, LP assigned the SCI debt to Kline Hill Partners Fund LP, Kline Hill Partners IV SPV LLC, Kline Hill Partners Opportunity IV SPV LLC, (collectively “Kline Hill”) and Rodgers Massey Revocable Living Trust for a total purchase price of $5.0 million. The Company has identified this arrangement as a related party transaction, as discussed in Note 18 – Related Party Transactions. The SCI Revolving Loan continued to remain outstanding as of March 31, 2024 and is currently being renegotiated. On May 1, 2024, the Company entered into an agreement with Kline Hill that will cancel this obligation upon satisfaction of certain events. Refer to Note 19 - Subsequent Events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Credit Facility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2022, the Company entered into a secured credit facility agreement with Kline Hill Partners IV SPV LLC and Kline Hill Partners Opportunity IV SPV LLC (“Secured Credit Facility”). The Secured Credit Facility agreement allows the Company to borrow up to 70% of the net amount of its eligible vendor purchase orders with a maximum amount of $10.0 million at any point in time. The purchase orders are backed by relevant customer sales orders which serves as collateral. The amounts drawn under the Secured Credit Facility may be reborrowed provided that the aggregate borrowing does not exceed $20.0 million. The repayment under the Secured Credit Facility is the borrowed amount multiplied by 1.15x if repaid within 75 days and borrowed amount multiplied by 1.175x if repaid after 75 days. The Company may prepay any borrowed amount without premium or penalty. Under the original terms, the Secured Credit Facility agreement was due to mature in April 2023. The Company is in the process of amending the Secured Credit Facility agreement to extend its maturity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8" w:name="page149"/>
    <w:bookmarkEnd w:id="14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March 31, 2024, the balance outstanding was $12.7 million, including accrued financing cost of $5.0 million, and as of December 31, 2023, the balance outstanding was $12.2 million, including accrued financing cost of $4.5 million. The Company recognized interest expense of $0.5 million and $1.7 million related to the Secured Credit Facility during the thirteen-weeks ended March 31, 2024 and April 2, 2023, respectively. As of March 31, 2024, the total estimated fair value of the Secured Credit Facility approximated its carrying value. On May 1, 2024, the Company entered into an agreement with Kline Hill that will cancel this obligation upon satisfaction of certain events. Refer to Note 19 - Subsequent Events for further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Polar Settlement Agreement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in connection with the Mergers, the Company entered into a settlement and release agreement with Polar Multi-Strategy Master Fund (“Polar”) for the settlement of a working capital loan that had been made by Polar to the Sponsor, prior to the closing of the Mergers. The settlement agreement required the Company to pay Polar $0.5 million in ten equal monthly installments and did not accrue interest. As of December 31, 2023, the balance owed to Polar was $0.3 million all of which was paid in the period ended March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 CS Solis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part of the Reorganization described in Note 1(a) Organization - Description of Business and Note 12 - Warrants, the Company received cash and recorded debt for an investment by Carlyle. The investment was made pursuant to a subscription agreement, under which Carlyle contributed $25.6 million in exchange for 100 Class B Membership Units of CS Solis and the Company contributed the net assets of Complete Solar, Inc. in exchange for 100 Class A Membership Units. The Class B Membership Units are mandatorily redeemable by the Company on the three-year anniversary of the effective date of the CS Solis amended and restated LLC agreement (February 14, 2025). The Class B Membership Units accrue interest that is payable upon redemption at a rate of 10.5% (which is structured as a dividend payable based on 25% of the investment amount measured quarterly), compounded annually, and subject to increases in the event the Company declares any dividends. In connection with the investment by Carlyle, the Company issued Carlyle a warrant to purchase 5,978,960 shares of the Company’s common stock at a price of $0.01 per share, of which, the purchase of 4,132,513 shares of the Company’s common stock is immediately exercisable. The Company has accounted for the mandatorily redeemable investment from Carlyle in accordance with ASC 480, Distinguishing Liabilities from Equity, and has recorded the investment as a liability, which was accreted to its redemption value under the effective interest method. The Company has recorded the warrants as a discount to the liability. Refer to Note 11 – Common Stock, for further discussion of the warrants issued in connection with the Class B Membership Units.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17 and July 18, 2023, and in connection with obtaining consent for the Mergers, Legacy Complete Solaria, FACT and Carlyle entered into an Amended and Restated Consent to the Business Combination Agreement (“Carlyle Debt Modification Agreement”) and an amended and restated warrant agreement (“Carlyle Warrant Amendment”), which modified the terms of the mandatorily redeemable investment made by Carlyle in Legacy Complete Solaria.</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Carlyle Debt Modification Agreement accelerates the redemption date of the investment, which was previously February 14, 2025 and is now March 31, 2024 subsequent to the modification. The acceleration of the redemption date of the investment, resulted in the total redemption amount to be 1.3 times the principal at December 31, 2023. The redemption amount will increase to 1.4 times the original investment at March 31, 2024. Additionally, as part of the amendment, the parties entered into an amended and restated warrant agreement. As part of the Carlyle Warrant Amendment, Complete Solaria issued Carlyle a warrant to purchase up to 2,745,879 shares of Complete Solaria Common Stock at a price per share of $0.01, which is inclusive of the outstanding warrant to purchase 1,995,879 shares at the time of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The warrants are classified as liabilities under ASC 815 and are recorded within warrant liability on the Company’s unaudited condensed consolidated statements of operations and comprehensive loss.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accounted for the modification of the debt due with CS Solis as a debt extinguishment in accordance with ASC 480 and ASC 470. As a result of the extinguishment, the Company recorded a loss on extinguishment, of $10.3 million in the thirteen-week period ended October 1, 2023. As of the modification date, the Company recorded the fair value of the new debt of $28.4 million as short-term debt with CS Solis. As of March 31, 2024, the debt has a redemption obligation of $35.8 million under the Carlyle Debt Modification Agreement. The debt in CS Solis is currently under negotiation.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recorded a liability of $35.8 million and $33.3 million included in short-term debt with CS Solis on its unaudited condensed consolidated balance sheets as of March 31, 2024 and December 31, 2023, respectively. For the thirteen-week periods ended March 31, 2024 and April 2, 2023, the Company has recorded accretion of the liability as interest expense of $2.5 million and $0.8 million, respectively, and made no payments of interest expense. For the thirteen-week periods ended March 31, 2024 and April 2, 2023 the Company recorded amortization of issuance costs as interest expense of zero and $0.3 million, respectively. As of March 31, 2024, the total estimated fair value of the Company’s debt with CS Solis was $35.8 million, which was estimated based on Level 3 inputs.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SAFE</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31, 2024, the Company entered into a simple agreement for future equity (the “First SAFE”) with the Rodgers Massey Freedom and Free Markets Charitable Trust (the “Purchaser”), a related party, in connection with the Purchaser investing $1.5 million in the Company. The First SAFE does not accrued interest. The First SAFE was initially convertible into shares of the Company’s common stock, par value $0.0001 per share, upon the initial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 On April 21, 2024, the Company entered into an amendment of the First SAFE which resulted in the First SAFE into shares of the Company’s common stock. Refer to Note 19 – Subsequent Events for further details.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SAFE</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15, 2024, the Company entered into a simple agreement for future equity (the “Second SAFE” and together with the First SAFE, the “SAFEs”) with the Purchaser, a related party, in connection with the Purchaser investing $3.5 million in the Company. The First SAFE does not accrued interest. The Second SAFE was initially convertible into shares of the Company’s common stock upon the initial closing of an Equity Financing at a per share conversion price which was equal to the lower of (i) the SAFE Price, and (ii) 80% of the price per share of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multiplied by (ii) 80%. On April 21, 2024, the Company entered into an amendment of the Second SAFE which resulted in the conversion of the Second SAFE into shares of the Company’s common stock. Refer to Note 19 – Subsequent Events for further details.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Complete Solaria common stock may be issued under the 2023 Plan. In addition, the number of shares of Complete Solaria common stock reserved for issuance under the 2023 Plan will automatically increase on January 1 of each year, starting on January 1, 2024 and ending on January 1, 2033, in an amount equal to the lesser of (1) 4% of the total number of shares of Complete Solaria’s common stock outstanding on December 31 of the preceding year, or (2) a lesser number of shares of Complete Solaria Common Stock determined by Complete Solaria’s board of directors prior to the date of the increase. The maximum number of shares of Complete Solaria common stock that may be issued on the exercise of incentive stock options (“ISOs”) under the 2023 Plan is three times the number of shares available for issuance upon the 2023 Plan becoming effective (or 26,289,966 shares).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Complete Solaria, Inc. 2023 Incentive Equity Plan (“2023 Plan”), “the Plans”). The 2022 Plan is the successor of the Complete Solar 2021 Stock Plan, which was amended and assumed in connection with the acquisition of Solaria. The 2011 Plan is the Complete Solar 2011 Stock Plan that was assumed by Complete Solaria in the Required Transaction. The 2016 Plan and the 2006 Plan are the Solaria stock plans that were assumed by Complete Solaria in the Required Transaction.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Plans, the Company has granted service and performance-based stock options and restricted stock units (“RSUs”).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option activity for the thirteen-week period ended March 31, 2024 under the Plans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11,716,646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8.53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(31,176)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(307,198)</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Outstanding—March 31, 2024</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11,378,272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vest—March 31, 2024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11,378,272</w:t>
            </w: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8.25</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Vested and exercisable—March 31,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4,536,233</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4.78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A summary of RSU activity for the thirteen-week period ended March 31, 2024 under the Plan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and 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58,097</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40" w:space="540"/>
            <w:col w:w="2560"/>
          </w:cols>
          <w:pgMar w:left="320" w:top="900"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and its allocation within the accompanying unaudited condensed consolidated statements of operations and comprehensive income (loss)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stock-based compensation expense from continuing operations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there was a total of $18.8 million and zero unrecognized stock-based compensation costs related to service-based options and RSUs, respectively. Such compensation cost is expected to be recognized over a weighted-average period of approximately 2.16 years for service-based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Stock Purchase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adopted an Employee Stock Purchase Plan (the “ESPP Plan”) in connection with the consummation of the Mergers in July 2023. All qualified employees may voluntarily enroll to purchase shares of the Company’s common stock through payroll deductions at a price equal to 85% of the lower of the fair market values of the stock of the offering periods or the applicable purchase date. As of March 31, 2024, 2,628,996 shares were reserved for future issuance under the ESPP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Provision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typically provides a 10-year warranty on its solar energy system installations, which provides assurance over the workmanship in performing the installation, including roof leaks caused by the Company’s performance. For solar panel sales, the Company provides a 30-year warranty that the products will be free from defects in material and workmanship. The Company will retain its warranty obligation associated with its panel sales, subsequent to the disposal of its panel business.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accrues warranty costs when revenue is recognized for solar energy systems sales and panel sales,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unaudited condensed consolidated statements of operations and comprehensive loss. Warranty costs primarily consist of replacement materials and equipment and labor costs for service personnel.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Activity by period relating to the Company’s warranty provision was as follows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new warranties issued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Warranty provision,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current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will not have a material adverse effect on the business, financial position, results of operations,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its business, financial position, results of operations, or cash flows. The Company has recorded zero and $7.9 million as a loss contingency in accrued expenses and other current liabilities on its unaudited condensed consolidated balance sheets as of March 31, 2024 and December 31, 2023, respectively, primarily associated with the pending settlement of the following legal matters.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SolarPark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16, 2023, SolarPark filed a complaint against Solaria and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No liability has been recorded in the Company’s unaudited condensed consolidated financial statements as the likelihood of a loss is not probable at this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Litigation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22, 2021, Siemens filed a lawsuit in which Siemens alleged that the Company breached express and implied warranties under a purchase order that Siemens placed with the Company for a solar module system. Siemens claimed damages of approximately $6.9 million, inclusive of amounts of the Company’s indemnity obligations to Siemens, plus legal fees.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22, 2024, the Court issued an order against the Company which awarded Siemens approximately $6.9 million, inclusive of the Company’s indemnity obligations to Siemens, plus legal fees, the amount of which will be determined at a later hearing. On March 15, 2024, Siemens filed a motion seeking to recover $2.67 million for attorneys’ fees, expenses, and pre-judgment interest. The Court will conduct a hearing on Siemens’ motion in late May 2024. Pending entry of a final judgment by the Court, the Company intends to appeal such judgment. The Company has recorded $6.9 million as a legal loss related to this litigation, excluding the $2.67 million for attorneys’ fees, expenses, and pre-judgment interest, in accrued expenses and other current liabilities on its unaudited condensed consolidated balance sheets as of March 31, 2024 and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Bridge Litigation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24 2023, China Bridge Capital Limited (“China Bridge”) alleged breach of contract and demanded $6.0 million. The complaint names FACT as the defendant. The complaint alleges China Bridge and FACT entered into a financial advisory agreement in October 2022 whereby FACT engaged China Bridge to advise and assist FACT in identifying a company for FACT to acquire. As part of the agreement, China Bridge claims that FACT agreed to pay China Bridge a $6.0 million advisory fee if FACT completed such an acquisition. China Bridge claims it introduced Complete Solaria to FACT and is therefore owed the $6.0 million advisory fee.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$3.5 million of outstanding letters of credit related to normal business transactions as of March 31, 2024. These agreements require the Company to maintain specified amounts of cash as collateral in segregated accounts to support the letters of credit issued thereunder. As discussed in Note 2 – Summary of Significant Accounting Policies, the cash collateral in these restricted cash accounts was $3.8 million and $3.8 million as of March 31, 2024 and December 31,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Basic and Diluted Net Loss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the two-class method to calculate net loss per share. No dividends were declared or paid for the thirteen-week periods ended March 31, 2024 and April 2, 2023. Undistributed earnings for each period are allocated to participating securities, including the redeemable convertible preferred stock, based on the contractual participation rights of the security to share in the current earnings as if all current period earnings had been distributed. The Company’s basic net loss per share is computed by dividing the net loss attributable to common stockholders by the weighted-average shares of common stock outstanding during periods with undistributed losses.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basic and diluted shares and net loss per share for the thirteen-week period ended April 2, 2023 has been retroactively restated to give effect to the conversion of shares of legal acquiree’s convertible instruments into shares of legal acquiree common stock as though the conversion had occurred as of the beginning of the period. The retroactive restatement is consistent with the presentation on the accompanying unaudited condensed consolidated statements of stockholders’ deficit.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for the thirteen-week periods ended March 31, 2024 and April 2, 2023 (in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49,077,330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25,200,347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 –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(0.20</w:t>
            </w:r>
            <w:r>
              <w:rPr>
                <w:rFonts w:ascii="Times New Roman" w:cs="Times New Roman" w:eastAsia="Times New Roman" w:hAnsi="Times New Roman"/>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(0.62</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Discontinued operations –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net loss per share attributable to common stockholders is the same for the thirteen-week periods ended March 31, 2024 and April 2, 2023 because the inclusion of potential shares of common stock would have been anti-dilutive for the periods presented.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5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520" w:type="dxa"/>
            <w:vAlign w:val="bottom"/>
            <w:gridSpan w:val="3"/>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23,024,556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15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2,386,879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11,436,369</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9,714,894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Potential common shares excluded from diluted net loss per share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34,460,924</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12,191,086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October 2022 through June 2023, the Company issued convertible promissory notes (“2022 Convertible Notes”) of approximately $33.3 million to various investors, out of which $12.1 million was issued to five related parties. Additionally, the Company acquired a related party convertible note, on the same terms as the 2022 Convertible Notes as part of the acquisition of Solaria, with a fair value of $6.7 million at the time of the acquisition. The related party debt is presented as convertible notes, net, due to related parties, noncurrent in the accompanying unaudited condensed consolidated balance sheets. The principal amount of the outstanding balance on the 2022 Convertible Notes accrues at 5.0%, compounded annually. For the thirteen-week periods ended March 31, 2024 and April 2, 2023, the Company has recognized zero and $0.4 million, respectively, in interest expense related to the related party 2022 Convertible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June 2023, the Company received $3.5 million of prefunded PIPE proceeds from a related party investor in conjunction with the Company’s merger with Freedom Acquisition I Corp. In July 2023, in connection with the Mergers, in addition to the $3.5 million of related party PIPE proceeds noted above, the Company received additional PIPE proceeds from related parties of $12.1 million. In July 2023, in connection with the Mergers, the Company issued 120,000 shares to a related party as a transaction bonus. Refer to Note 1(a) – Description of Business and Note 4 – Reverse Recapitalization for further discussion.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July 2023, the Company entered into a series of FPAs as described in Note 5 – Forward Purchase Agreements. In connection with the FPAs, the Company recognized other expense of $30.7 million for the fiscal year ended December 31, 2023 in connection with the issuance of 5,670,000 shares of Complete Solaria Common Stock to the related party FPA Sellers. The Company also recognized other income of $0.3 million in connection with the issuance of the FPAs with related parties. As of March 31, 2024, the Company has recognized a liability associated with the FPAs of $7.9 million due to related parties in its unaudited condensed consolidated balance sheets, and the Company has recognized other expense associated with the change in fair value of the FPA liability due to related parties of $4.7 million in its unaudited condensed consolidated statements of operations and comprehensive loss for the thirteen-weeks ended March 31, 2024.</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in connection with the Mergers, the Company entered into a settlement and release agreement with a related party for the settlement of a working capital loan made to the Sponsor, prior to the closing of the Mergers. As part of the settlement agreement, the Company agreed to pay the related party $0.5 million as a return of capital, which is paid in ten equal monthly installments and does not accrue interest. The Company paid $0.2 million in 2023 and the remaining balance of $0.3 million was paid in the thirteen-week period ended March 31,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SAFEs, as described in Note 13 – Borrowing Arrangements, entered into in January 2024 and February 2024 were with the Rodgers Massey Freedom and Free Markets Charitable Trust, a related party. The Company received proceeds from the SAFEs totaling $5.0 million in exchange for debt that was subsequently converted into shares of the Company’s common stock as discussed in Note 19 – Subsequent Events.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other material related party transactions during the thirteen-week periods ended March 31, 2024 and April 2,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of Delisting or Failure to Satisfy a Continued Listing Rule; Minimum Bid Price Requirement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16, 2024, the Company received written notice (the “Notice”) from the Nasdaq Stock Market, LLC (“Nasdaq”) notifying the Company that it is not in compliance with the Minimum Bid Price Requirement set forth in Nasdaq Listing Rule 5450(a)(1) for continued listing on The Nasdaq Global Market. Nasdaq Listing Rule 5450(a)(1) requires listed securities to maintain a minimum bid price of $1.00 per share, and Listing Rule 5810(c)(3)(A) provides that a failure to meet the Minimum Bid Price Requirement exists if the deficiency continues for a period of 30 consecutive business days.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Notice does not impact the listing of the Company’s common stock on The Nasdaq Global Market at this time. In accordance with Nasdaq Listing Rule 5810(c)(3)(A), the Company has 180 calendar days to regain compliance with the Minimum Bid Price Requirement. To regain compliance, the closing bid price of the Company’s common stock must be at least $1.00 per share for a minimum of ten consecutive business days before October 14, 2024. In the event that the Company does not regain compliance within this 180-day period, the Company may be eligible to seek an additional compliance period of 180 calendar days if it meets the continued listing requirement for the market value of publicly held shares and all other initial listing standards for The Nasdaq Capital Market, with the exception of the Minimum Bid Price Requirement, and provides written notice to Nasdaq of its intent to cure the deficiency during this second compliance period by effecting a reverse stock split if necessary. However, if it appears to the Nasdaq staff that the Company will not be able to cure the deficiency, or if the Company is otherwise not eligible, Nasdaq will provide notice to the Company that its common stock will be subject to delisting.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common stock and will evaluate available options to regain compliance with the Minimum Bid Price Requirement.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of Delisting or Failure to Satisfy a Continued Listing Rule; Minimum Market Value of Listed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16, 2024, the Company received a letter (the “Letter”) from the staff at Nasdaq notifying the Company that, for the 30 consecutive trading days prior to the date of the Letter, the Company’s common stock had traded at a value below the minimum $50,000,000 “Market Value of Listed Securities” (“MVLS”) requirement set forth in Nasdaq Listing Rule 5450(b)(2)(A), which is required for continued listing of the Company’s common stock on The Nasdaq Global Market. The Letter is only a notification of deficiency, not of imminent delisting, and has no current effect on the listing or trading of the Company’s securities on Nasdaq.</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5810(c)(3)(C), the Company has 180 calendar days, or until October 14, 2024, to regain compliance. The Letter notes that to regain compliance, the Company’s common stock must trade at or above a level such that the Company’s MVLS closes at or above $50,000,000 for a minimum of ten consecutive business days during the compliance period, which ends October 14, 2024. The Letter further notes that if the Company is unable to satisfy the MVLS requirement prior to such date, the Company may be eligible to transfer the listing of its securities to The Nasdaq Capital Market (provided that the Company then satisfies the requirements for continued listing on that market).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Company does not regain compliance by October 14, 2024, Nasdaq staff will provide written notice to the Company that its securities are subject to delisting. At that time, the Company may appeal any such delisting determination to a hearings panel.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intends to actively monitor the Company’s MVLS between now and October 14, 2024, and may, if appropriate, evaluate available options to resolve the deficiency and regain compliance with the MVLS requirement. While the Company is exercising diligent efforts to maintain the listing of its securities on Nasdaq, there can be no assurance that the Company will be able to regain or maintain compliance with Nasdaq listing standards.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SAFEs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described in Note 13 – Borrowings and SAFE Agreements, the Company’s SAFEs were convertible into shares of the Company’s common stock upon the initial closing of an Equity Financing. On April 21, 2024, the Company entered into an amendment for each of its First SAFE and Second SAFE to convert the invested amounts into shares of the Company’s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conversion share price was $0.36, calculated as the product of (i) $0.45, the closing price of the Common Stock on April 19, 2024, multiplied by</w:t>
      </w:r>
    </w:p>
    <w:p>
      <w:pPr>
        <w:spacing w:after="0" w:line="27" w:lineRule="exact"/>
        <w:rPr>
          <w:sz w:val="20"/>
          <w:szCs w:val="20"/>
          <w:color w:val="auto"/>
        </w:rPr>
      </w:pPr>
    </w:p>
    <w:p>
      <w:pPr>
        <w:ind w:left="5460" w:right="1220" w:hanging="5452"/>
        <w:spacing w:after="0" w:line="761" w:lineRule="auto"/>
        <w:tabs>
          <w:tab w:leader="none" w:pos="27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The First SAFE and Second SAFE converted into 4,166,667 and 9,722,222 shares of the Company’s common stock, respectively.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a Definitive Agreement to Cancel Debt in Exchange for Equity and Other Consideration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1, 2024, the Company entered into a common stock purchase agreement (the “Common Stock Purchase Agreement”) with Kline Hill providing for (a) the cancellation of all indebtedness owed to Kline Hill by the Company, termination of all debt instruments by and between the Company and Kline Hill, and the satisfaction of all obligations owed to Kline Hill by the Company under the terminated debt instruments, (b) the issuance of 9,800,000 shares of the Company’s common stock to Kline Hill, (c) the issuance of warrants (the “Kline Hill Warrants” and the shares issuable therefrom, the “Warrant Shares”) to Kline Hill to purchase up to 3,700,000 shares of the Company’s common stock, with an exercise price per share of $0.62 (the closing price per share of the Company’s common stock as reported on the Nasdaq Capital Market of the date of the Agreement), and (d) a one-time $3,750,000 cash payment to Kline Hill upon the earlier of (i) the Company achieving $100,000,000 of trailing twelve month revenue, or (ii) the Company achieving $10,000,000 of trailing twelve month EBITDA. The Kline Hill Warrants will be sold to Kline Hill at a price of $0.125 per Warrant Share. The closing of the foregoing transactions will occur when the following conditions are met: Carlyle executes an agreement to cancel all debt owed to Carlyle by the Company, and all debt owed to Carlyle and its affiliates by the Company is no longer outstanding.</w:t>
      </w:r>
    </w:p>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May 15, 2024, the Company announced that Carlyle has agreed to release the Company from its debt obligations in return for a third-party cash payment.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the completion of the above transactions the Company’s debt outstanding as March 31, 2024 of $65.2 million will have been replaced with 9,800,000 newly issued shares of the Company’s common stock and $10.0 million in debt from a new lender.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Forward Purchase Agreements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7 and 8, 2024, respectively, the Company entered into separate amendments to the Forward Purchase Agreements (the collectively the “Second Amendments”) with Sandia (the “Sandia Second Amendment”) and Polar (the “Polar Second Amendment”). The Second Amendments lower the reset price of each Forward Purchase Agreement from $3.00 to $1.00 per share and amend the VWAP Trigger Event provision to read as “After December 31, 2024, an event that occurs if the VWAP Price, for any 20 trading days during a 30 consecutive trading day-period, is below $1.00 per Share.”. The Sandia Second Amendment is not effective until the Company executes similar amendments with both Polar and Meteora.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shareholders and the Board of Directors of Complete Solaria,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Complete Solaria, Inc. and subsidiaries (the “Company”) as of December 31, 2023 and 2022, the related consolidated statements of operations and comprehensive loss, stockholders’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1(c) to the consolidated financial statements, the Company has recurring net losses, accumulated deficit, negative cash outflows from operations and current debt outstanding that raise substantial doubt about its ability to continue as a going concern. Management’s plans in regard to these matters are also described in Note 1(c).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9" w:name="page160"/>
    <w:bookmarkEnd w:id="15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13,059</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5,817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 held for sale - discontinued operations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162,032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47,322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228,183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14,474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19,830</w:t>
            </w: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Notes payable, net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28,657</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20,403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with CS Solis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33,280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86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Forward purchase agreement liabilities </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3,831</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with CS Solis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25,204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net, noncurrent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 due to related parties, noncurrent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Authorized 1,000,000,000 and 60,000,000 shares as of December 31, 2023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 respectively; issued and outstanding 49,065,361 and 19,932,429 shares as of December 31,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and December 31, 2022, respectively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277,965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190,624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(354,928)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(85,373)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(deficit)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105,281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47,322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228,183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$0.4 million and zero due to related parties as of December 31, 2023 and 2022, respectively.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 million and zero of liabilities due to related parties as of December 31, 2023 and 2022,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0" w:name="page161"/>
    <w:bookmarkEnd w:id="1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69,828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46,647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6,920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6,156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32,099</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13,634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70,146</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40,985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(14,033)</w:t>
            </w:r>
          </w:p>
        </w:tc>
        <w:tc>
          <w:tcPr>
            <w:tcW w:w="2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7"/>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Other expense, net</w:t>
            </w:r>
            <w:r>
              <w:rPr>
                <w:rFonts w:ascii="Times New Roman" w:cs="Times New Roman" w:eastAsia="Times New Roman" w:hAnsi="Times New Roman"/>
                <w:sz w:val="29"/>
                <w:szCs w:val="29"/>
                <w:color w:val="auto"/>
                <w:vertAlign w:val="superscript"/>
              </w:rPr>
              <w:t>(2)</w:t>
            </w:r>
          </w:p>
        </w:tc>
        <w:tc>
          <w:tcPr>
            <w:tcW w:w="2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(29,862)</w:t>
            </w:r>
          </w:p>
        </w:tc>
        <w:tc>
          <w:tcPr>
            <w:tcW w:w="2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(96,217)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(27,996)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(96,197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(28,023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loss from discontinued operations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(147,505)</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from discontinued operations, net of taxes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(269,555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(29,477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(269,439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from continuing operations per share attributable to common stockholders, basic and 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from discontinued operations per share attributable to common stockholders, basic and diluted</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 stockholders’, basic and diluted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24,723,370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22,524,400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to related parties of $0.4 million and $0.3 million during the fiscal years ended December 31, 2023 and 2022, respectively.</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net includes other expense, net to related parties of $0.7 million and $1.4 million during the fiscal years ended December 31, 2023 and 2022,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1" w:name="page162"/>
    <w:bookmarkEnd w:id="1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196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7"/>
                <w:szCs w:val="17"/>
                <w:color w:val="auto"/>
              </w:rPr>
            </w:pPr>
          </w:p>
        </w:tc>
        <w:tc>
          <w:tcPr>
            <w:tcW w:w="9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960" w:type="dxa"/>
            <w:vAlign w:val="bottom"/>
            <w:tcBorders>
              <w:right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gridSpan w:val="3"/>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196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21"/>
                <w:szCs w:val="21"/>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1"/>
                <w:szCs w:val="21"/>
                <w:color w:val="auto"/>
              </w:rPr>
            </w:pPr>
          </w:p>
        </w:tc>
        <w:tc>
          <w:tcPr>
            <w:tcW w:w="9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Borders>
              <w:right w:val="single" w:sz="8" w:color="auto"/>
            </w:tcBorders>
          </w:tcPr>
          <w:p>
            <w:pPr>
              <w:spacing w:after="0"/>
              <w:rPr>
                <w:sz w:val="20"/>
                <w:szCs w:val="20"/>
                <w:color w:val="auto"/>
              </w:rPr>
            </w:pPr>
          </w:p>
        </w:tc>
        <w:tc>
          <w:tcPr>
            <w:tcW w:w="9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20"/>
                <w:szCs w:val="20"/>
                <w:color w:val="auto"/>
              </w:rPr>
            </w:pPr>
          </w:p>
        </w:tc>
        <w:tc>
          <w:tcPr>
            <w:tcW w:w="9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right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9,806,143</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34,504</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(55,896)</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D-1, D-2, and D-3</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convertible preferred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upon conversion of convertible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and SAFEs 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2,771,551</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11,558</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D-4, D-5, D-6 and</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D-7</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convertible preferred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upon acquisition 2</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6,803,550</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52,201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D-8 redeemable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upon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SAFE 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8,171,662</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60,470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connection with business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2,884,550</w:t>
            </w:r>
          </w:p>
        </w:tc>
        <w:tc>
          <w:tcPr>
            <w:tcW w:w="5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27,295</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27,295</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warrants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3,589</w:t>
            </w:r>
          </w:p>
        </w:tc>
        <w:tc>
          <w:tcPr>
            <w:tcW w:w="18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335,496</w:t>
            </w:r>
          </w:p>
        </w:tc>
        <w:tc>
          <w:tcPr>
            <w:tcW w:w="5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(29,477)</w:t>
            </w: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as of December 31, 2022, as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previously reported</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17,746,763</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124,229</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3,220,046</w:t>
            </w:r>
          </w:p>
        </w:tc>
        <w:tc>
          <w:tcPr>
            <w:tcW w:w="5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31,892</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recapitalization (Note 3)</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(17,746,763)</w:t>
            </w:r>
          </w:p>
        </w:tc>
        <w:tc>
          <w:tcPr>
            <w:tcW w:w="120" w:type="dxa"/>
            <w:vAlign w:val="bottom"/>
          </w:tcPr>
          <w:p>
            <w:pPr>
              <w:spacing w:after="0"/>
              <w:rPr>
                <w:sz w:val="22"/>
                <w:szCs w:val="22"/>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(124,299)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10,126,286</w:t>
            </w:r>
          </w:p>
        </w:tc>
        <w:tc>
          <w:tcPr>
            <w:tcW w:w="50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124,228</w:t>
            </w:r>
          </w:p>
        </w:tc>
        <w:tc>
          <w:tcPr>
            <w:tcW w:w="180" w:type="dxa"/>
            <w:vAlign w:val="bottom"/>
          </w:tcPr>
          <w:p>
            <w:pPr>
              <w:spacing w:after="0"/>
              <w:rPr>
                <w:sz w:val="22"/>
                <w:szCs w:val="22"/>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right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19,932,429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190,624</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(85,373)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105,281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2022 Convertible Notes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into common stock</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5,460,075</w:t>
            </w:r>
          </w:p>
        </w:tc>
        <w:tc>
          <w:tcPr>
            <w:tcW w:w="5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40,950</w:t>
            </w:r>
          </w:p>
        </w:tc>
        <w:tc>
          <w:tcPr>
            <w:tcW w:w="18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40,952</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the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capitalization, net of offering</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13,458,293</w:t>
            </w:r>
          </w:p>
        </w:tc>
        <w:tc>
          <w:tcPr>
            <w:tcW w:w="5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4,586</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prepaid PIPE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c>
          <w:tcPr>
            <w:tcW w:w="5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w:t>
            </w:r>
          </w:p>
        </w:tc>
        <w:tc>
          <w:tcPr>
            <w:tcW w:w="18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warrants between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and equity</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4,329</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Legacy Complete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Solaria Common stock into</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Complete Solaria Common Stock</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connection with forward purchase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1,050,000</w:t>
            </w:r>
          </w:p>
        </w:tc>
        <w:tc>
          <w:tcPr>
            <w:tcW w:w="5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4,777</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 forward purchase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agreements due to related party</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4,508,488</w:t>
            </w:r>
          </w:p>
        </w:tc>
        <w:tc>
          <w:tcPr>
            <w:tcW w:w="5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30,712</w:t>
            </w:r>
          </w:p>
        </w:tc>
        <w:tc>
          <w:tcPr>
            <w:tcW w:w="18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30,713</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bonus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in connection with Mergers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463,976</w:t>
            </w:r>
          </w:p>
        </w:tc>
        <w:tc>
          <w:tcPr>
            <w:tcW w:w="50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2,394</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Residual Mergers proceeds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 of Carlyle warrant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(10,862)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stock units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98,097</w:t>
            </w:r>
          </w:p>
        </w:tc>
        <w:tc>
          <w:tcPr>
            <w:tcW w:w="5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warrants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to related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party</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3,676,470</w:t>
            </w:r>
          </w:p>
        </w:tc>
        <w:tc>
          <w:tcPr>
            <w:tcW w:w="5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67,533</w:t>
            </w:r>
          </w:p>
        </w:tc>
        <w:tc>
          <w:tcPr>
            <w:tcW w:w="5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5,199</w:t>
            </w:r>
          </w:p>
        </w:tc>
        <w:tc>
          <w:tcPr>
            <w:tcW w:w="18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(269,555)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(269,555)</w:t>
            </w:r>
          </w:p>
        </w:tc>
        <w:tc>
          <w:tcPr>
            <w:tcW w:w="0" w:type="dxa"/>
            <w:vAlign w:val="bottom"/>
          </w:tcPr>
          <w:p>
            <w:pPr>
              <w:spacing w:after="0"/>
              <w:rPr>
                <w:sz w:val="1"/>
                <w:szCs w:val="1"/>
                <w:color w:val="auto"/>
              </w:rPr>
            </w:pPr>
          </w:p>
        </w:tc>
      </w:tr>
      <w:tr>
        <w:trPr>
          <w:trHeight w:val="27"/>
        </w:trPr>
        <w:tc>
          <w:tcPr>
            <w:tcW w:w="2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2900" w:type="dxa"/>
            <w:vAlign w:val="bottom"/>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49,065,361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277,965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(354,928</w:t>
            </w:r>
          </w:p>
        </w:tc>
        <w:tc>
          <w:tcPr>
            <w:tcW w:w="1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(76,813</w:t>
            </w:r>
          </w:p>
        </w:tc>
        <w:tc>
          <w:tcPr>
            <w:tcW w:w="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w w:val="99"/>
              </w:rPr>
              <w:t>F-38</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609"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Fiscal Years Ended</w:t>
            </w: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from continuing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(269,555)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(29,477)</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net of income taxes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(173,358)</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net of tax</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from continuing operations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433</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Non-cash interest expense</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4,882</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4,810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468</w:t>
            </w: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Gain on extinguishment of convertible notes and SAFEs</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4,274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reserve for excess and obsolete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3,631</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Issuance of forward purchase agreements</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of forward purchase agreement liabilities</w:t>
            </w:r>
            <w:r>
              <w:rPr>
                <w:rFonts w:ascii="Times New Roman" w:cs="Times New Roman" w:eastAsia="Times New Roman" w:hAnsi="Times New Roman"/>
                <w:sz w:val="29"/>
                <w:szCs w:val="29"/>
                <w:color w:val="auto"/>
                <w:vertAlign w:val="superscript"/>
              </w:rPr>
              <w:t>(4)</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3,906</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CS Solis debt extinguishment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10,338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(29,310)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5,211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equity securities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4,154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debt in CS Solis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Loss on issuance of common stock in connection with forward purchase agreements</w:t>
            </w:r>
            <w:r>
              <w:rPr>
                <w:rFonts w:ascii="Times New Roman" w:cs="Times New Roman" w:eastAsia="Times New Roman" w:hAnsi="Times New Roman"/>
                <w:sz w:val="29"/>
                <w:szCs w:val="29"/>
                <w:color w:val="auto"/>
                <w:vertAlign w:val="superscript"/>
              </w:rPr>
              <w:t>(5)</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35,490</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Loss on issuance of common stock bonus shares in connection with the Mergers</w:t>
            </w:r>
            <w:r>
              <w:rPr>
                <w:rFonts w:ascii="Times New Roman" w:cs="Times New Roman" w:eastAsia="Times New Roman" w:hAnsi="Times New Roman"/>
                <w:sz w:val="29"/>
                <w:szCs w:val="29"/>
                <w:color w:val="auto"/>
                <w:vertAlign w:val="superscript"/>
              </w:rPr>
              <w:t>(6)</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2,394</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stock units in connection with vendor 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(12,106)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(4,197)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3,252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(3,313)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and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1,311</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(58,802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(25,217</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from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(58,612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(31,513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from continuing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acquisition of business, net of cash acquired</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4,848</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equity securities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8,145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6,171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from continuing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notes payable, net of issuance cost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14,102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 of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17,750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 due to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8,600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convertible notes to related parties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664"/>
        </w:trPr>
        <w:tc>
          <w:tcPr>
            <w:tcW w:w="86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F-39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long-term debt with CS Solis, net of issuance cost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Mergers and PIPE Financing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Mergers and PIPE Financing from related parties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15,600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issuance costs of Series D-1, D-2 and D-3 redeemable convertible preferred stock</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 changes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8,316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5,276</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new 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Carlyle warrant modification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2022 Convertible notes into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30,625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D redeemable convertible preferred stock upon conversion of SAFE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D redeemable convertible preferred stock upon conversion of convertible debt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2022 Convertible Notes into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2022 Convertible Notes issued to related parties into common stock</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19,390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stock into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155,630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Issuance of common stock in connection with forward purchase agreements</w:t>
            </w:r>
            <w:r>
              <w:rPr>
                <w:rFonts w:ascii="Times New Roman" w:cs="Times New Roman" w:eastAsia="Times New Roman" w:hAnsi="Times New Roman"/>
                <w:sz w:val="29"/>
                <w:szCs w:val="29"/>
                <w:color w:val="auto"/>
                <w:vertAlign w:val="superscript"/>
              </w:rPr>
              <w:t>(5)</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35,490</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Issuance of common stock bonus shares in connection with the Mergers</w:t>
            </w:r>
            <w:r>
              <w:rPr>
                <w:rFonts w:ascii="Times New Roman" w:cs="Times New Roman" w:eastAsia="Times New Roman" w:hAnsi="Times New Roman"/>
                <w:sz w:val="29"/>
                <w:szCs w:val="29"/>
                <w:color w:val="auto"/>
                <w:vertAlign w:val="superscript"/>
              </w:rPr>
              <w:t>(6)</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2,394</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Recapitalization of Legacy Complete Solaria Common stock into Complete Solaria Common Stock</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investor deposit to PIPE funds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warrants between liabilities and equity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D-1, D-2 and D-3 redeemable convertible preferred stock upon conversion of convertible debt, net</w:t>
            </w: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11,558</w:t>
            </w:r>
          </w:p>
        </w:tc>
        <w:tc>
          <w:tcPr>
            <w:tcW w:w="0" w:type="dxa"/>
            <w:vAlign w:val="bottom"/>
          </w:tcPr>
          <w:p>
            <w:pPr>
              <w:spacing w:after="0"/>
              <w:rPr>
                <w:sz w:val="1"/>
                <w:szCs w:val="1"/>
                <w:color w:val="auto"/>
              </w:rPr>
            </w:pPr>
          </w:p>
        </w:tc>
      </w:tr>
      <w:tr>
        <w:trPr>
          <w:trHeight w:val="126"/>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issuance costs of $1,431</w:t>
            </w:r>
          </w:p>
        </w:tc>
        <w:tc>
          <w:tcPr>
            <w:tcW w:w="240" w:type="dxa"/>
            <w:vAlign w:val="bottom"/>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8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 through issuance of common stock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 through issuance of Series D redeemable convertible preferred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52,201</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 through issuance of Series D redeemable convertible preferred stock warrants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78308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interest expense to related parties of $0.4 million and $0.3 million during the fiscal years ended December 31, 2023 and 2022, respectively.</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extinguishment of convertible notes and SAFEs includes other income from related parties of zero and $1.4 million during the fiscal years ended December 31, 2023 and 2022, respectively.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forward purchase agreements includes other income from related parties of $0.4 million and zero during the fiscal years ended December 31, 2023 and 2022, respectively.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forward purchase agreement liabilities includes other expense from related parties of ($9.1) million and zero during the fiscal years ended December 31, 2023 and 2022, respectively.</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common stock in connection with forward purchase agreements includes other expense from related parties of ($30.7) million and zero during the fiscal years ended December 31, 2023 and 2022, respectively.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common stock bonus shares to related parties in connection with the Mergers includes other expense of $0.7 million and zero during the fiscal years ended December 31, 2023 and 2022,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Complete Solaria, Inc. is a residential solar installer headquartered in Fremont, California, which was formed through Complete Solar Holding Corporation’s acquisition of The Solaria Corporation (“Solaria”).</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Complete Solar, Inc. (“Complete Solar”) was incorporated in Delaware on February 22, 2010. Through February 2022, the Company operated as a single legal entity as Complete Solar, Inc.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The capitalization structure was not changed because of the Reorganization as all shares of Complete Solar, Inc common stock and preferred stock were exchanged on a one for one basis with shares of Complete Solar Holdings common stock and preferred stock. The Reorganization was accounted for as a change in reporting entity for entities under common control. The historical assets and liabilities of Complete Solar, Inc. were transferred to Complete Solar Holdings at their carrying value, and there are no change to net income, other comprehensive income (loss), or any related per share amounts reported in the consolidated financial statements requiring retrospective application.</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2022, the Company entered into a business combination agreement, as amended on December 26, 2022 and January 17, 2023 (“Original Business Combination Agreement”) and as amended on May 26, 2023 (“Amended and Restated Business Combination Agreement”), with Jupiter Merger Sub I Corp., a Delaware corporation and a wholly owned subsidiary of Freedom Acquisition I Corp. (“FACT”) (“First Merger Sub”), Jupiter Merger Sub II LLC, a Delaware limited liability company and a wholly owned subsidiary of FACT (“Second Merger Sub”), Complete Solar Holding Corporation, a Delaware corporation, and Solaria, a Delaware corporation.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transactions contemplated by the Amended and Restated Business Combination Agreement were consummated on July 18, 2023 (“Closing Date”). Following the consummation of the Merger on the Closing Date, FACT changed its name to “Complete Solaria, Inc.”</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part of the transactions contemplated by the Amended and Restated Business Combination Agreement, FACT affected a deregistration under the Cayman Islands Companies Act and a domestication under Section 388 of the Delaware’s General Corporation Law (the “DGCL” or “Domestication”). On the Closing Date, following the Domestication, First Merger Sub merged with and into Complete Solaria, with Complete Solaria surviving such merger as a wholly owned subsidiary of FACT (the “First Merger”), and immediately following the First Merger, Complete Solaria merged with and into Second Merger Sub, with Second Merger Sub surviving as a wholly owned subsidiary of FACT (the “Second Merger”), and Second Merger Sub changed its name to CS, LLC, and immediately following the Second Merger, Solaria merged with and into a newly formed Delaware limited liability company and wholly-owned subsidiary of FACT and changed its name to The Solaria Corporation LLC (“Third Merger Sub”), with Third Merger Sub surviving as a wholly-owned subsidiary of FACT (the “Additional Merger”, and together with the First Merger and the Second Merger, the “Mergers”).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closing of the Mergers: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the Company’s capital stock, inclusive of shares converted from 2022 Convertible Notes, issued and outstanding immediately prior to the Closing (“Legacy Complete Solaria Capital Stock”) were cancelled and exchanged into an aggregate of 25,494,332 shares of Complete Solaria Common Stock.</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(i) Meteora Special Opportunity Fund I, LP (“MSOF”), Meteora Capital Partners, LP (“MCP”) and Meteora Select Trading Opportunities Master, LP (“MSTO”) (with MSOF, MCP, and MSTO collectively as “Meteora”); (ii) Polar Multi-Strategy Master Fund (“Polar”), and (iii) Diametric True Alpha Market Neutral Master Fund, LP, Diametric True Alpha Enhanced Market Neutral Master Fund, LP, and Pinebridge Partners Master Fund, LP (collectively, “Sandia”) (together, the “FPA Funding PIPE Investors”) entered into separate subscription agreements (the “FPA Funding Amount PIPE Subscription Agreements”) pursuant to which, the FPA Funding PIPE Investors subscribed for on the Closing Date, an aggregate of 6,300,000 shares of FACT Class A Ordinary Shares, less, in the case of Meteora, 1,161,512 FACT Class A Ordinary Shares purchased by Meteora separately from third parties through a broker in the open market (“Recycled Shares”) in connection with the Forward Purchase Agreements (“FPAs”). Subsequent to the Closing Date, Complete Solaria entered into an additional FPA Funding PIPE Subscription Agreement with Meteora, to subscribe for and purchase, and Complete Solaria agreed to issue and sell, an aggregate of 420,000 shares of Complete Solaria Common Stock. The Company issued shares of Complete Solaria Common Stock underlying the FPAs as of the latter of the closing of the Mergers or execution of the FPAs.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5" w:name="page166"/>
    <w:bookmarkEnd w:id="165"/>
    <w:p>
      <w:pPr>
        <w:jc w:val="both"/>
        <w:ind w:left="660" w:hanging="328"/>
        <w:spacing w:after="0" w:line="261"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certain investors (the “PIPE Investors”) purchased from the Company an aggregate of 1,570,000 shares of Complete Solaria Common Stock (the “PIPE Shares”) for a purchase price of $10.00 per share, for aggregate gross proceeds of $15.7 million (the “PIPE Financing”), including $3.5 million that was funded prior to the Closing Date, pursuant to subscription agreements (the “Subscription Agreements”). At the time of the PIPE Financing, Complete Solaria issued an additional 60,000 shares to certain investors as an incentive to participate in the PIPE Financing.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around the Closing Date, pursuant to the New Money PIPE Subscription Agreements, certain investors affiliated with the New Money PIPE Subscription Agreements (“New Money PIPE Investors”) agreed to subscribe for and purchase, and Complete Solaria agreed to issue and sell to the New Money PIPE Investors an aggregate of 120,000 shares of Complete Solaria Common Stock for a purchase price of $5.00 per share, for aggregate gross proceeds of $0.6 million. Pursuant to its New Money PIPE Subscription Agreement, Complete Solaria issued an additional 60,000 shares of Complete Solaria Common Stock in consideration of certain services provided by it in the structuring of its FPA and the transactions described therein.</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Closing, Complete Solaria issued an additional 193,976 shares of Complete Solaria Common Stock to the sponsors for reimbursing sponsors’ transfer to certain counterparties and issued an additional 150,000 shares of Complete Solaria Common Stock to an FPA investor for services provided in connection with the Mergers.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holders of 23,256,504 of the originally issued 34,500,000 FACT Class A Ordinary shares exercised their rights to redeem those shares for cash, and immediately prior to the Closing there were 11,243,496 FACT Class A Ordinary Shares that remained outstanding. At the Closing, holders of 7,784,739 shares of Class A common stock of FACT exercised their rights to redeem those shares for cash, for an aggregate of approximately $82.2 million which was paid to such holders at Closing. The remaining FACT Class A Ordinary Share converted, on a one-for-one basis, into one share of Complete Solaria Common Stock.</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FACT Class B Ordinary Share converted, on a one-for-one basis, into one share of Complete Solaria Common Stock.</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2022, Complete Solar Holdings acquired Solaria (as described in Note 4 – Business Combination) and changed its name to Complete Solaria, Inc. On August 18, 2023, the Company entered into a Non-Binding Letter of Intent to sell certain of Complete Solaria’s North American solar panel assets to Maxeon, Inc. (“Maxeon”). In October 2023, the Company completed the sale of its solar panel business to Maxeon. Refer to Note 1(b) – Divestiture and Note 8 – Divestiture.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Divestiture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2023, the Company completed the sale of its solar panel business to Maxeon, pursuant to the terms of the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 As of December 31, 2023, the Company sold all the shares and recorded a loss of $4.2 million in its consolidated statements of operations and comprehensive loss within loss from continuing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divestiture represents a strategic shift in Complete Solaria’s business and qualifies as held for sale and as a discontinued operation. Based on the held for sale classification of the assets, the Company has reduced the carrying value of the disposal group to its fair value, less cost to sell and recorded an impairment loss associated with the held for sale intangible assets and goodwill. As a result, the Company classified the results of its solar panel business in discontinued operations in its consolidated statements of operations and comprehensive loss for all periods presented. The cash flows related to discontinued operations have been segregated and are included in the consolidated statements of cash flows for all periods presented. Unless otherwise noted, discussion within the notes to the consolidated financial statements relates to continuing operations only and excludes the historical activities of the North American panel business. See Note 8 – Divestiture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Liquidity and Going Concern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recurring losses and negative cash flows from operations. The Company incurred net losses of $269.6 million and $29.5 million, during the fiscal years ended December 31, 2023 and 2022, respectively, and had an accumulated deficit of $354.9 million and current debt of $61.9 million as of December 31, 2023. The Company had cash and cash equivalents of $2.6 million as of December 31, 2023. The Company believes that its operating losses and negative operating cash flows will continue into the foreseeable future. These conditions raise substantial doubt about the Company’s ability to continue as a going concern.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plans to obtain additional funding and restructure its current debt. Historically, the Company’s activities have been financed through private placements of equity securities, debt and proceeds from the Merger. 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Therefore, there is substantial doubt about the entity’s ability to continue as a going concern within one year after the date that the consolidated financial statements are issued. The accompanying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and accompanying notes have been prepared in accordance with generally accepted accounting principles in the U.S. of America (“U.S. GAAP”) and pursuant to the rules and regulations of the Securities and Exchange Commission (“SEC”). The consolidated financial statements include the accounts of the Company and its wholly-owned subsidiaries. All intercompany balances and transactions have been eliminated in consolidation.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liabilities, revenue, expenses, as well as related disclosure of contingent assets and liabilities. Significant estimates and assumptions made by management include, but are not limited to, the determination of:</w:t>
      </w:r>
    </w:p>
    <w:p>
      <w:pPr>
        <w:spacing w:after="0" w:line="176"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transaction price to identified performance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warrant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methodology for inventory obsolescence;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methodology for product warranty;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methodology for the allowance for credit losses;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forward purchase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measurement of stock-based compensation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there are material differences between these estimates and actual results, the Company’s financial condition or operating results will be affected. The Company bases its estimates on past experience and other assumptions that the Company believes are reasonable under the circumstances, and the Company evaluates these estimates on an ongoing basis. The Company has assessed the impact and are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Segment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conducts its business in one operating segment that provides custom solar solutions through a standardized platform to its residential solar providers and companies to facilitate the sale and installation of solar energy systems under a single product group. The Company’s Chief Executive Officer (“CEO”) is the Chief Operating Decision Maker (“CODM”). The CODM allocates resources and makes operating decisions based on financial information presented on a consolidated basis. The profitability of the Company’s product group is not a determining factor in allocating resources and the CODM does not evaluate profitability below the level of the consolidated company. All the Company’s long-lived assets are maintained in the U.S. of America.</w:t>
      </w:r>
    </w:p>
    <w:p>
      <w:pPr>
        <w:spacing w:after="0" w:line="183" w:lineRule="exact"/>
        <w:rPr>
          <w:sz w:val="20"/>
          <w:szCs w:val="20"/>
          <w:color w:val="auto"/>
        </w:rPr>
      </w:pPr>
    </w:p>
    <w:p>
      <w:pPr>
        <w:ind w:right="9180" w:firstLine="8"/>
        <w:spacing w:after="0" w:line="503" w:lineRule="auto"/>
        <w:tabs>
          <w:tab w:leader="none" w:pos="255"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Risks Concentration of credit risk</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 The Company’s cash and cash equivalents are on deposit with major financial institutions. Such deposits may be in excess of insured limits.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 The Company reviews accounts receivable balances to determine if any receivables will potentially be uncollectible and includes any amounts that are determined to be uncollectible in the allowance for credit losses. As of December 31, 2023, two customers had an outstanding balance that represented 38% and 16% of the total accounts receivable balance. As of December 31, 2022, three single customers had outstanding balances that represented 27%, 18%, and 14%, respectively, of the total accounts receivable balance.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defines major customers as those customers who generate revenues that exceed 10% of the Company’s annual net revenues. For the years ended December 31, 2023 and 2022 one customer represented 55% and 47% of gross revenues,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one supplier represented 40% of the Company’s inventory purchases. For the year ended December 31, 2022, three suppliers represented 74% of the Company’s inventory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Cash and Cash Equivalents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securities that mature within three months or less from the original date of purchase to be cash equivalents. The Company maintains the majority of its cash balances with commercial banks in interest bearing accounts. Cash and cash equivalents include cash held in checking and savings accounts and money market accounts consisting of highly liquid securities with original maturity dates of three months or less from the original date of purchase.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Restricted Cash</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classifies all cash for which usage is limited by contractual provisions as restricted cash. Restricted cash balance as of December 31, 2023 and 2022, was $3.8 million and $3.9 million, respectively. The restricted cash consists of deposits in money market accounts, which is used as cash collateral backing letters of credit related to customs duty authorities’ requirements. The Company has presented these balances under restricted cash, as a long-term asset, in the consolidated balance sheets. The Company reconciles cash, cash equivalents, and restricted cash reported in the consolidated balance sheets that aggregate to the beginning and ending balances shown in the consolidated statements of cash flows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2,593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3,823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3,907</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6,416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Accounts Receivable, Net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Company maintains an allowance for credit losses for estimated losses inherent in its accounts receivable portfolio. In establishing the required allowance, management considers historical losses adjusted to take into account current market conditions and customers’ financial condition, the amount of receivables in dispute, the current receivables aging and customer payment patterns. Account balances are written off against the allowance after all means of collection have been exhausted and the potential for recovery is considered remote. Recoveries of accounts receivable previously written off are recorded when received. The following table summarizes the allowance for doubtful accounts as of December 31, 2023 and 2022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charged to earnings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(5,083)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(2,243)</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written off, recoveries and other adjustments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does not have any off-balance sheet credit exposure relating to its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i w:val="1"/>
          <w:iCs w:val="1"/>
          <w:color w:val="auto"/>
        </w:rPr>
        <w:t>(h) 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Inventories consist of solar panels and the components of solar energy systems which the Company classifies as finished goods. Costs are computed under the average cost method.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to state inventory at the lower of cost or net realizable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Revenue Recognition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products and services and the Company has satisfied its performance obligations. The amount of revenue recognized reflects the consideration which the Company expects to be entitled to receive in exchange for the products and services. To achieve this core principle, the Company applies the following five steps: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1. Identification of the contract(s) with a customer;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2. Identification of the performance obligations in the contracts(s);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3. Determination of the transaction price;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4. Allocation of the transaction price to the performance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5. Recognition of the revenue when, or as, the Company satisfies a performance obligation.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 Solar Energy System Installations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generates revenue primarily from the design and installation of a solar energy system and performing post-installation services. The Company’s contracts with customers include three primary contract types:</w:t>
      </w:r>
    </w:p>
    <w:p>
      <w:pPr>
        <w:spacing w:after="0" w:line="160" w:lineRule="exact"/>
        <w:rPr>
          <w:sz w:val="20"/>
          <w:szCs w:val="20"/>
          <w:color w:val="auto"/>
        </w:rPr>
      </w:pPr>
    </w:p>
    <w:p>
      <w:pPr>
        <w:jc w:val="both"/>
        <w:ind w:left="660" w:hanging="328"/>
        <w:spacing w:after="0" w:line="267"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The Company contracts directly with homeowners who purchase the solar energy system and related services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Customers are invoiced on a billing schedule, where the majority of the transaction price is due upon installation with an additional payment due when the system passes inspection by the authority having jurisdiction.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partner agreements </w:t>
      </w:r>
      <w:r>
        <w:rPr>
          <w:rFonts w:ascii="Times New Roman" w:cs="Times New Roman" w:eastAsia="Times New Roman" w:hAnsi="Times New Roman"/>
          <w:sz w:val="18"/>
          <w:szCs w:val="18"/>
          <w:color w:val="auto"/>
        </w:rPr>
        <w:t>– In its financing partner agreements, the Company contracts directly with homeowners for the purchase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purchase agreements </w:t>
      </w:r>
      <w:r>
        <w:rPr>
          <w:rFonts w:ascii="Times New Roman" w:cs="Times New Roman" w:eastAsia="Times New Roman" w:hAnsi="Times New Roman"/>
          <w:sz w:val="18"/>
          <w:szCs w:val="18"/>
          <w:color w:val="auto"/>
        </w:rPr>
        <w:t>– The Company contracts directly with a distribution partner to perform the solar energy system installation,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homeowner will finance the system through a power purchase agreement, which is signed with the Company’s distribution partner. The Company considers the distribution partner to be its customer, as the Company does not contract directly with the homeowner. The Company receives consideration from the distribution partner on a billing schedule where the majority of the transaction price is due upon installation with an additional payment due when the system passes inspection by the authority having jurisdiction.</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each of the Company’s customer contract types, the Company’s revenue consists of two performance obligations, which include the performance of the installation of the solar energy system and post- installation services.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 The Company recognizes revenue upon the completion of installation services, which occurs upon the transfer of control of the solar energy system and title of the related hardware components to the homeowner or distribution partner.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0" w:name="page171"/>
    <w:bookmarkEnd w:id="170"/>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Post-installation services consist primarily of administrative services and customer support, which the Company performs between the completion of installation and the date of inspection of the solar energy system by the authority having jurisdiction. The Company recognizes revenue at a point in time, which is when the inspection occurs.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Company’s contracts with customers contain multiple performance obligations, the transaction price is allocated to each performance obligation based on its standalone selling price. The Company generally determines the standalone selling price based on the estimated costs incurred in the delivery of each performance obligation, relative to the total costs to be incurred under the contract.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for amounts invoiced that are not subject to refund upon termination. In certain contracts with customers, the Company arranges for a third-party financing partner to provide financing to the customer. The Company collects upfront from the financing partner and the customer will provide installment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guarantees to customers certain specified minimum solar energy production output of the solar energy system for 10-years after the installation. The Company monitors the solar energy systems to determine whether these specified minimum outputs are being achieved. The Company will issue payments to customers if the output falls below contractually stated thresholds over the performance guarantee period. Revenue is recognized to the extent it is probable that a significant reversal of such revenue will not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 Software Enhanced Services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generates revenue from software enhanced services through the provision of design and proposal services. The Company’s customers for design services are solar installers who leverage the Company’s expertise and software platforms to obtain structural letters, computer aided designs and electrical reviews. The Company charges the customer a per design fixed fee for each type of service that is performed, and the Company recognizes revenue in the period the services are performed. The customer contracts contain the customer right to terminate the contract each month and are therefore enforceable only for the contracted services purchased each month. Revenue is recognized for design services in the month the services are performed.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customers for proposal services for solar sales organizations who contract with the Company to develop proposals for their potential residential solar customers. The Company generates proposals for the customer using the HelioQuote platform. Customers may purchase a fixed number of proposals for a given month or may contract on a pay as you go basis, and the performance obligation is defined by the number of proposals purchased by the customer each month. The customer contracts contain the customer right to terminate the contract each month and are therefore enforceable only for the services purchased each month. Revenue is recognized for proposal services in the month the services are performed.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typically provides a 10-year warranty on its solar energy system installations, which provides assurance over the workmanship in performing the installation, including roof leaks caused by the Company’s performance. For solar panel sales recognized prior to the Disposal Transaction, the Company provides a 30-year warranty that the products will be free from defects in material and workmanship.</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the revenues are recognized for the solar energy systems installations services, the Company accrues liabilities for the estimated future costs of meeting its warranty obligations. The Company makes and revises these estimates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consolidated statements of operations and comprehensive loss.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 and certain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Revenues are recognized net of taxes collected from customers and remitted to governmental authorities. Shipping and handling costs associated with outbound freight are accounted for as a fulfillment cost and are included in both revenues and cost of revenues in the accompanying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consideration, or when such consideration is unconditionally due, from a customer prior to delivering goods or services to the customer under the terms of a customer agreement, the Company records deferred revenue. As installation projects are typically completed within 12-months, the Company’s deferred revenue is reflected in current liabilities in the accompanying consolidated balance sheets. The amount of revenue recognized during the years ended December 31, 2023 and 2022 that was included in deferred revenue at the beginning of each period was $2.1 million and $3.9 million,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Refer to the table below for the Company’s revenue recognized by product and service type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Solar energy system installations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62,896</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 enhanced services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3,579</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2023 and 2022, all revenue recognized was generated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elected the practical expedient not to disclose remaining performance obligations for contracts that are less than one year in length. As of December 31, 2023, the Company has deferred $1.2 million associated with a long-term service contract, which will be recognized evenly through 2028. The Company has deferred $1.3 million associated with a long-term service contract as of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costs of obtaining customer contracts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Incremental costs of obtaining customer contracts consist of sales commissions, which are costs paid to third-party vendors who source residential customer contracts for the sale of solar energy systems by the Company. The Company defers sales commissions and recognizes expense in accordance with the timing of the related revenue recognition. Amortization of deferred commissions is recorded as sales commissions in the accompanying consolidated statements of operations and comprehensive loss. As of December 31, 2023 and 2022, deferred commissions were $4.2 million and $2.8 million, respectively, which were included in prepaid expenses and other current assets in the accompanying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i w:val="1"/>
          <w:iCs w:val="1"/>
          <w:color w:val="auto"/>
        </w:rPr>
        <w:t>(j) Property and Equipment,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When assets are retired or disposed of, the cost and accumulated depreciation are removed from the accounts, and any resulting gain or loss is included in the current period. Repair and maintenance costs are expensed as incurred. Depreciation and amortization are calculated using the straight-line method over the following estimated useful lives of the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00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 years</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Developed software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&amp; equipment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 years</w:t>
            </w: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Internal-Use Software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capitalizes costs to develop its internal-use software when preliminary development efforts are successfully completed, management has authorized and committed project funding, it is probable that the project will be completed, and the software will be utilized as intended. These costs include personnel and related employee benefits and expenses for employees who are directly associated with and who devote time to software projects, and external direct costs of materials and services consumed in developing or obtaining software. Costs incurred prior to meeting these criteria, together with costs incurred for training and maintenance, are expensed as incurred. Costs incurred for enhancements that are expected to provide additional material functionality are capitalized and amortized over the estimated useful life of the related upgrade. During the years ended December 31, 2023 and 2022, the Company capitalized $1.9 million and $1.5 million, respectively, of internal-use software development costs. The remaining unamortized balance as of December 31, 2023 and December 31, 2022 of $3.8 million and $2.7 million, respectively, is included in property and equipment, net within the accompanying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Cost of Revenues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revenues includes actual cost of material, labor and related overhead incurred for revenue-producing units, and includes associated warranty costs, freight and delivery costs, depreciation, and amortization of internally developed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Advertising and Promotional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Advertising and promotional costs are expensed as incurred and included in sales and marketing expense in the accompanying consolidated statements of operations and comprehensive loss. Advertising costs were not material for the years ended December 31,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to be sustained. Recognized income tax positions are measured at the largest amount that is greater than 50% likely of being realized. Changes in recognition or measurement are reflected in the period in which the change in judgment occurs. The Company recognizes accrued interest and penalties, if any, related to unrecognized tax benefits in income tax provision.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i w:val="1"/>
          <w:iCs w:val="1"/>
          <w:color w:val="auto"/>
        </w:rPr>
        <w:t>(o) Foreign Currency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reporting currency is the US dollar. The functional currency for each of the Company’s foreign subsidiaries is the local currency, as it is the monetary unit of account of the principal economic environments in which the Company’s foreign subsidiaries operate. Assets and liabilities of the foreign subsidiaries are translated at the current exchange rate as of the end of the period, and revenue and expenses are translated at the average exchange rates in effect during the period. The gain or loss resulting from the process of translating foreign currency financial statements into US dollar financial statements is accounted for as a foreign currency cumulative translation adjustment and is reported as a component of accumulated other comprehensive loss. Foreign currency transaction gains and losses resulting from transactions denominated in a currency other than the functional currency are recognized in Other Income (expense), net in the consolidated statements of operations and comprehensive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Comprehensive 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Comprehensive loss consists of two components, net loss and other comprehensive income (loss), net. The Company’s other comprehensive loss consists of foreign currency translation adjustments that result from the consolidation of its foreign entities and is reported net of tax effects.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Impairment of Long-Lived Assets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ROU assets, and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impairment charges recorded in continuing operations for the years ended December 31,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Intangible Assets,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Intangible assets are recorded at the cost, less accumulated amortization. Amortization is recorded using the straight-line method. All intangible assets that have been determined to have definite lives are amortized over their estimated useful life as indicated below:</w:t>
      </w:r>
    </w:p>
    <w:p>
      <w:pPr>
        <w:spacing w:after="0" w:line="158"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8"/>
          <w:szCs w:val="18"/>
          <w:b w:val="1"/>
          <w:bCs w:val="1"/>
          <w:color w:val="auto"/>
        </w:rPr>
        <w:t>Useful Lives</w:t>
      </w:r>
    </w:p>
    <w:p>
      <w:pPr>
        <w:spacing w:after="0" w:line="40"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Assembled workforce</w:t>
      </w:r>
      <w:r>
        <w:rPr>
          <w:sz w:val="20"/>
          <w:szCs w:val="20"/>
          <w:color w:val="auto"/>
        </w:rPr>
        <w:tab/>
      </w:r>
      <w:r>
        <w:rPr>
          <w:rFonts w:ascii="Times New Roman" w:cs="Times New Roman" w:eastAsia="Times New Roman" w:hAnsi="Times New Roman"/>
          <w:sz w:val="17"/>
          <w:szCs w:val="17"/>
          <w:color w:val="auto"/>
        </w:rPr>
        <w:t>2years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Deferred Transaction Costs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Deferred transaction costs, which consist of direct incremental legal, consulting and accounting fees related to the merger with Freedom in July 2023, are capitalized until they were recorded against proceeds upon the consummation of the transaction. In accounting for the Mergers, direct offering costs of approximately $5.7 million were reclassified to additional paid-in capital and netted against the Mergers proceeds received upon close. As of December 31, 2023, there were no deferred transaction costs. As of December 31, 2022, the Company had recorded $1.1 million of deferred transaction costs in other noncurrent assets on the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i w:val="1"/>
          <w:iCs w:val="1"/>
          <w:color w:val="auto"/>
        </w:rPr>
        <w:t>(t) Stock-Based Compensation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stock-based compensation expense over the requisite service period on a straight- line basis for all stock-based payments that are expected to vest to employees, non-employees and directors, including grants of employee stock options and other stock-based awards. Equity-classified awards issued to employees, non-employees such as consultants and non-employee directors are measured at the grant-date fair value of the award. Forfeitures are recognized as they occur. For accounting purposes, the Company estimates grant-date fair value of stock options using the Black-Scholes option pricing model. The Black-Scholes option pricing model requires the input of highly subjective assumptions, including the fair value of the underlying common stock prior to the Mergers, the expected term of the option the expected volatility of the price of the Company’s common stock and expected dividend yield. The Company determines these inputs as follows:</w:t>
      </w:r>
    </w:p>
    <w:p>
      <w:pPr>
        <w:spacing w:after="0" w:line="18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—Expected term represents the period that the Company’s stock-based awards are expected to be outstanding and is determined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simplified method.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—Expected volatility is estimated by studying the volatility of comparable public companies for similar terms.</w:t>
      </w:r>
    </w:p>
    <w:p>
      <w:pPr>
        <w:spacing w:after="0" w:line="22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—The Black-Scholes valuation model calls for a single expected dividend yield as an input. The Company has never paid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has no plans to pay dividends.</w:t>
      </w:r>
    </w:p>
    <w:p>
      <w:pPr>
        <w:spacing w:after="0" w:line="15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Company derives the risk-free interest rate assumption from the U.S. Treasury’s rates for the U.S. Treasury zero-coupon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with maturities similar to those of the expected term of the awards being valued.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Fair Value Measurements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considering market participant assumptions in fair value measurements, the following fair value hierarchy distinguishes between observable and unobservable inputs, which are categorized in one of the following levels:</w:t>
      </w:r>
    </w:p>
    <w:p>
      <w:pPr>
        <w:spacing w:after="0" w:line="162" w:lineRule="exact"/>
        <w:rPr>
          <w:sz w:val="20"/>
          <w:szCs w:val="20"/>
          <w:color w:val="auto"/>
        </w:rPr>
      </w:pPr>
    </w:p>
    <w:p>
      <w:pPr>
        <w:ind w:left="66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held by the Company measured at fair value on a recurring basis as of December 31, 2023 and 2022 include cash and cash equivalents, accounts receivable, accounts payable, accrued expenses, the warrant liabilities and FPA liabilities.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accounts receivable, accounts payable and accrued expenses approximate their fair value because of their short-term nature (classified as Level 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warrant liabilities and FPA liabilities are measured at fair value using Level 3 inputs. The Company records subsequent adjustments to reflect the increase or decrease in estimated fair value at each reporting date within the consolidated statements of operations and comprehensive loss as a component of other income.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i w:val="1"/>
          <w:iCs w:val="1"/>
          <w:color w:val="auto"/>
        </w:rPr>
        <w:t>(v) Net Loss Per Share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computes net loss per share following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net loss per share is measured as the income or loss available to common stockholders divided by the weighted average common shares outstanding for the period. Diluted net loss per share presents the dilutive effect on a per-share basis from the potential exercise of options and/or warrants. The potentially dilutive effect of options or warrants are computed using the treasury stock method. Securities that potentially have an anti-dilutive effect (i.e., those that increase income per share or decrease loss per share) are excluded from the diluted loss per share calculation.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Convertible Debt Embedded Derivative Liabilities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the embedded conversion feature within its convertible debt instruments under ASC 815-15 and ASC 815-40 to determine if the conversion feature meets the definition of a liability and, if so, whether to bifurcate the conversion feature and account for it as a separate derivative liability. For derivative financial instruments that are accounted for as liabilities, the derivative instrument is initially recorded at its fair value and is then re-valued at each reporting date, with changes in the fair value reported in the consolidated statements of operations and comprehensive loss. The classification of derivative instruments, including whether such instruments should be recorded as liabilities or as equity, is evaluated at the end of each reporting period. Derivative instrument liabilities are classified in the consolidated balance sheets as current or non-current based on whether net-cash settlement of the derivative instrument could be required within twelve months after the balance sheet date. The derivative is subject to re-measurement at the end of each reporting period, with changes in fair value recognized as a component of other income (expense), net, in the consolidated statements of operations and comprehensive loss. The Company’s embedded derivative liabilities were extinguished in the first quarter of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Leases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Effective January 1, 2021, the Company early adopted Accounting Standards Update (“ASU”) No. 2016-02, Leases (Topic 842), as amended (“ASC 842”). The Company determines if a contract is a lease or contains a lease at the inception of the contract and reassesses that conclusion if the contract is modified. The Company’s lease agreements generally contain lease and non-lease components. Payments under lease arrangements are primarily fixed. The Company combines lease and non-lease components and accounts for them together as a single lease component. All leases are assessed for classification as an operating lease or a finance lease. Operating lease right-of-use (“ROU”) assets are presented separately on the Company’s consolidated balance sheets. Operating lease liabilities are separated into a current portion and non-current portion and are presented separately on the Company’s consolidated balance sheets. The Company does not have finance lease ROU assets or liabilities.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its obligation to make lease payments arising from the lease. The Company does not obtain and control its right to use the identified asset until the lease commencement date.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generally uses its incremental borrowing rate to discount the lease payments to present value. The estimated incremental borrowing rate is derived from information available at the lease commencement date. The Company’s lease terms include periods under options to extend or terminate the lease when it is reasonably certain that we will exercise that option. The Company generally uses the base, non-cancelable, lease term when determining the lease assets and liabilities. The Company also records a corresponding right-of-use asset and applicable lease commencement date, which is calculated based on the amount of the lease liability, adjusted for any advance lease payments made, lease incentives received, and initial direct costs incurred. Right-of-use assets are subject to evaluation for impairment or disposal on a basis consistent with other long-lived assets.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elected, for all classes of underlying assets, not to recognize ROU assets and lease liabilities for leases with a term of twelve months or less. Lease cost for short-term leases is recognized on a straight-line basis over the lease term.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i w:val="1"/>
          <w:iCs w:val="1"/>
          <w:color w:val="auto"/>
        </w:rPr>
        <w:t>(y) Warrant Liabilities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warrant liabilities in accordance with the guidance in ASC 815-40, </w:t>
      </w:r>
      <w:r>
        <w:rPr>
          <w:rFonts w:ascii="Times New Roman" w:cs="Times New Roman" w:eastAsia="Times New Roman" w:hAnsi="Times New Roman"/>
          <w:sz w:val="18"/>
          <w:szCs w:val="18"/>
          <w:i w:val="1"/>
          <w:iCs w:val="1"/>
          <w:color w:val="auto"/>
        </w:rPr>
        <w:t>Derivatives and Hedging – Contracts in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 Equity</w:t>
      </w:r>
      <w:r>
        <w:rPr>
          <w:rFonts w:ascii="Times New Roman" w:cs="Times New Roman" w:eastAsia="Times New Roman" w:hAnsi="Times New Roman"/>
          <w:sz w:val="18"/>
          <w:szCs w:val="18"/>
          <w:color w:val="auto"/>
        </w:rPr>
        <w:t>, under which the warrants that do not meet the criteria for equity classification and must be recorded as liabilities. The warrant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measured at fair value at inception and at each reporting date in accordance with the guidance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any subsequent changes in fair value recognized in other income (expense), net on the consolidated statements of operations and comprehensive loss. Refer to Note 5 – Fair Value Measurements and Note 14 –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 Forward Purchase Agreements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forward purchase agreements (“FPAs”) in accordance with the guidance in ASC 480,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as the agreements embody an obligation to transfer assets to settle a forward contract. The warrant liabilities are measured at fair value at inception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at each reporting date in accordance with the guidance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any subsequent changes in fair value recognized in other income (expense), net on the consolidated statements of operations and comprehensive loss. Refer to Note 5 – Fair Value Measurements and Note 6 – Forward Purchase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 Recently Adopted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and subsequent related ASUs, which amends the guidance on the impairment of financial instruments by requiring measurement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of expected credit losses for financial assets held. ASU 2016-13 is effective for public and private companies’ fiscal years, and for interim periods within those fiscal years, beginning after December 15, 2019, and December 15, 2022, respectively. The Company adopted ASU 2016-13 under the private company transition guidance beginning January 1, 2023. The adoption did not have a material impact on the Company’s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(bb) Accounting Pronouncements Not Yet Adopted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The ASU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This guidance is effective for fiscal years beginning after December 15, 2023, and interim periods within fiscal years beginning after December 15, 2024, and requires retrospective adoption. The Company is currently evaluating ASU 2023-07 but expects the impact of the disclosures to be immaterial to the Company’s consolidated financial statements.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is currently evaluating ASU 2023-09 but expects the impact of the disclosures to be immaterial to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Recapitalization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discussed in Note 1 – Organization, on July 18, 2023, the Company consummated the Mergers pursuant to the Amended and Restated Business Combination Agreement. The Mergers was accounted for as a reverse recapitalization, rather than a business combination, for financial accounting and reporting purposes. Accordingly, Complete Solaria was deemed the accounting acquirer (and legal acquiree) and FACT was treated as the accounting acquiree (and legal acquirer). Complete Solaria has been determined to be the accounting acquirer based on evaluation of the following facts and circumstances:</w:t>
      </w:r>
    </w:p>
    <w:p>
      <w:pPr>
        <w:spacing w:after="0" w:line="183"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Solaria’s pre-combination stockholders have the majority of the voting power in the post- merged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Complete Solaria’s stockholders have the ability to appoint a majority of the Complete Solaria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Complete Solaria’s management team is considered the management team of the post-merged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Complete Solaria’s prior operations is comprised of the ongoing operations of the post-merged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Solaria is the larger entity based on historical revenues and business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post-merged company has assumed Complete Solaria’s operating name.</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this method of accounting, the reverse recapitalization was treated as the equivalent of Complete Solaria issuing stock for the net assets of FACT, accompanied by a recapitalization. The net assets of FACT are stated at historical cost, with no goodwill or other intangible assets recorded. The consolidated assets, liabilities, and results of operations prior to the Mergers are those of Legacy Complete Solaria. All periods prior to the Mergers have been retrospectively adjusted in accordance with the Amended and Restated Business Combination Agreement for the equivalent number of preferred or common shares outstanding immediately after the Mergers to effect the reverse recapitalization.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closing of the Mergers and the PIPE Financing in July 2023, the Company received net cash proceeds of $19.7 million. The following table reconciles the elements of the Mergers to the audited consolidated statements of cash flows and the audited consolidated statements of stockholders’ deficit for the year-ended December 31, 2023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880" w:type="dxa"/>
            <w:vAlign w:val="bottom"/>
          </w:tcPr>
          <w:p>
            <w:pPr>
              <w:spacing w:after="0"/>
              <w:rPr>
                <w:sz w:val="23"/>
                <w:szCs w:val="23"/>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Recapitalization</w:t>
            </w:r>
          </w:p>
        </w:tc>
      </w:tr>
      <w:tr>
        <w:trPr>
          <w:trHeight w:val="210"/>
        </w:trPr>
        <w:tc>
          <w:tcPr>
            <w:tcW w:w="9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FACT, net of redemptions</w:t>
            </w: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Cash proceeds from PIPE Financing</w:t>
            </w:r>
          </w:p>
        </w:tc>
        <w:tc>
          <w:tcPr>
            <w:tcW w:w="4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12,800</w:t>
            </w: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payment of FACT transaction costs and underwriting fees</w:t>
            </w:r>
          </w:p>
        </w:tc>
        <w:tc>
          <w:tcPr>
            <w:tcW w:w="4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(10,680)</w:t>
            </w: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Less: cash payment to FPA investors for rebates and recycled shares</w:t>
            </w:r>
          </w:p>
        </w:tc>
        <w:tc>
          <w:tcPr>
            <w:tcW w:w="4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(17,831)</w:t>
            </w:r>
          </w:p>
        </w:tc>
      </w:tr>
      <w:tr>
        <w:trPr>
          <w:trHeight w:val="249"/>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payment for Promissory Note</w:t>
            </w:r>
          </w:p>
        </w:tc>
        <w:tc>
          <w:tcPr>
            <w:tcW w:w="4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(1,170)</w:t>
            </w:r>
          </w:p>
        </w:tc>
      </w:tr>
      <w:tr>
        <w:trPr>
          <w:trHeight w:val="203"/>
        </w:trPr>
        <w:tc>
          <w:tcPr>
            <w:tcW w:w="98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proceeds upon the closing of the Mergers and PIPE financing</w:t>
            </w: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19,658</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non-cash net liabilities assumed from FACT</w:t>
            </w:r>
          </w:p>
        </w:tc>
        <w:tc>
          <w:tcPr>
            <w:tcW w:w="4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(10,135)</w:t>
            </w:r>
          </w:p>
        </w:tc>
      </w:tr>
      <w:tr>
        <w:trPr>
          <w:trHeight w:val="237"/>
        </w:trPr>
        <w:tc>
          <w:tcPr>
            <w:tcW w:w="9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contributions from the Mergers and PIPE financing upon closing</w:t>
            </w: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Immediately upon closing of the Mergers, the Company had 45,290,553 shares issued and outstanding of Class A Common Stock. The following table presents the number of shares of Complete Solaria Common Stock outstanding immediately following the consummation of the Mergers: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 Class A Ordinary Shares, outstanding prior to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 Class B Ordinary Shares, outstanding prior to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shares issued to sponsor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shares issued to PIPE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Bonus shares issued to FPA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from PIPE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issued from FPA agreements, net of recycled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redemption of FACT Class A Ordinary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shares from the Mergers and PIPE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Complete Solaria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Convertible Note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Complete Solaria Common stock immediately after Mergers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Recapitalization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34,500,000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8,625,000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193,976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1,690,000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5,558,488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(31,041,243)</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19,796,221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20,034,257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5,460,075</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45,290,553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78867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886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51435</wp:posOffset>
            </wp:positionV>
            <wp:extent cx="78867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40"/>
          </w:cols>
          <w:pgMar w:left="320" w:top="904" w:right="339" w:bottom="1440" w:gutter="0" w:footer="0" w:header="0"/>
          <w:type w:val="continuous"/>
        </w:sectPr>
      </w:pP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Mergers, the Company incurred direct and incremental costs of approximately $16.4 million related to legal, accounting, and other professional fees, which were offset against the Company’s additional paid-in capital. Of the $16.4 million, $5.8 million was incurred by Legacy Complete Solaria and $10.6 million was incurred by FACT. As of December 31, 2023, the Company made cash payments totaling $5.4 million to settle transaction costs. As a result of the Closing, outstanding 2022 Convertible Notes were converted into shares of Complete Solaria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Solaria Acquisition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November 4, 2022, Complete Solar Holdings acquired Solaria for aggregate consideration paid of $89.1 million, comprising of $0.1 million in cash, 2,884,550 shares of common stock with an aggregate fair value of $17.3 million, 6,803,549 shares of preferred stock with an aggregate fair value of $52.2 million, 78,962 common stock warrants for an aggregate value of $0.2 million, 1,376,414 preferred stock warrants for an aggregate fair value of $7.8 million, 5,382,599 stock options with an aggregate fair value of $10.0 million attributable to services provided prior to the acquisition date, and the payment of seller incurred transaction expenses of $1.5 million. In addition, the Company assumed $14.1 million of unvested Solaria stock options, which has been and will be recorded as stock-based expense over the remaining service period. Solaria designs, develops, manufactures, and generates revenue from the sale of silicon photovoltaic solar panels and licensing of its technology to third parties. At the time of the acquisition, the Company believed that the acquisition of Solaria would establish the Company as a full system operator, with a compelling customer offering with best-in-class technology, financing, and project fulfilment, which would enable the Company to sell more product across more geographies in the U.S. and Europe. This transaction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Subsequent to the acquisition as discussed above, the Company sold certain intangible assets constituting the Solaria business in October of 2023, resulting in the results of the Solaria business to be reflected as discontinued operations and certain intangible assets and goodwill to be recognized as held-for-sale. Refer to Note 8 – Divestiture for further details.</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Acquisition costs of $1.3 million were expensed by the Company and are included in general and administrative expenses within the consolidated statements of operations and comprehensive loss for the year ended December 31, 2022.</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assets acquired and liabilities assumed was based upon a preliminary valuation and the Company’s estimates and assumptions are subject to change within the measurement period. The following table summarized the provisional fair value of identifiable assets acquired and liabilities assumed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5,402</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4,822</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5,354</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8,569</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43,100</w:t>
            </w:r>
          </w:p>
        </w:tc>
        <w:tc>
          <w:tcPr>
            <w:tcW w:w="8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0"/>
                <w:szCs w:val="20"/>
                <w:color w:val="auto"/>
              </w:rPr>
            </w:pPr>
          </w:p>
        </w:tc>
      </w:tr>
      <w:tr>
        <w:trPr>
          <w:trHeight w:val="216"/>
        </w:trPr>
        <w:tc>
          <w:tcPr>
            <w:tcW w:w="10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11,845</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20,823</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agreements</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60,470</w:t>
            </w:r>
          </w:p>
        </w:tc>
        <w:tc>
          <w:tcPr>
            <w:tcW w:w="80" w:type="dxa"/>
            <w:vAlign w:val="bottom"/>
          </w:tcPr>
          <w:p>
            <w:pPr>
              <w:spacing w:after="0"/>
              <w:rPr>
                <w:sz w:val="20"/>
                <w:szCs w:val="20"/>
                <w:color w:val="auto"/>
              </w:rPr>
            </w:pPr>
          </w:p>
        </w:tc>
      </w:tr>
      <w:tr>
        <w:trPr>
          <w:trHeight w:val="236"/>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identifiable liabilities assumed</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identifiable liabilities assumed</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30,311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119,422</w:t>
            </w:r>
          </w:p>
        </w:tc>
        <w:tc>
          <w:tcPr>
            <w:tcW w:w="80" w:type="dxa"/>
            <w:vAlign w:val="bottom"/>
            <w:shd w:val="clear" w:color="auto" w:fill="CCEEFF"/>
          </w:tcPr>
          <w:p>
            <w:pPr>
              <w:spacing w:after="0"/>
              <w:rPr>
                <w:sz w:val="21"/>
                <w:szCs w:val="21"/>
                <w:color w:val="auto"/>
              </w:rPr>
            </w:pPr>
          </w:p>
        </w:tc>
      </w:tr>
      <w:tr>
        <w:trPr>
          <w:trHeight w:val="237"/>
        </w:trPr>
        <w:tc>
          <w:tcPr>
            <w:tcW w:w="100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aggregate consideration paid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89,111</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preliminary estimated consideration transferred over the fair value of the net tangible and intangible assets acquired and has been allocated to the Company’s single reporting unit. Goodwill was subsequently reclassified to long-term assets held for sale – discontinued operations, on the Company’s balance sheet as of December 31, 2022, stemming from the sale of the Solaria business discussed in Note 8 – Divestiture below.</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Intangible assets acquired and subsequently disposed of as part of the Solaria sale discussed in Note 8 – Divestiture below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68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12,700</w:t>
            </w:r>
          </w:p>
        </w:tc>
      </w:tr>
      <w:tr>
        <w:trPr>
          <w:trHeight w:val="25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24,700</w:t>
            </w:r>
          </w:p>
        </w:tc>
      </w:tr>
      <w:tr>
        <w:trPr>
          <w:trHeight w:val="210"/>
        </w:trPr>
        <w:tc>
          <w:tcPr>
            <w:tcW w:w="35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intangible assets</w:t>
            </w:r>
          </w:p>
        </w:tc>
        <w:tc>
          <w:tcPr>
            <w:tcW w:w="646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43,100</w:t>
            </w:r>
          </w:p>
        </w:tc>
        <w:tc>
          <w:tcPr>
            <w:tcW w:w="100" w:type="dxa"/>
            <w:vAlign w:val="bottom"/>
            <w:tcBorders>
              <w:top w:val="single" w:sz="8" w:color="CCEEFF"/>
            </w:tcBorders>
          </w:tcPr>
          <w:p>
            <w:pPr>
              <w:spacing w:after="0"/>
              <w:rPr>
                <w:sz w:val="18"/>
                <w:szCs w:val="18"/>
                <w:color w:val="auto"/>
              </w:rPr>
            </w:pPr>
          </w:p>
        </w:tc>
      </w:tr>
      <w:tr>
        <w:trPr>
          <w:trHeight w:val="655"/>
        </w:trPr>
        <w:tc>
          <w:tcPr>
            <w:tcW w:w="356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2"/>
          </w:tcPr>
          <w:p>
            <w:pPr>
              <w:jc w:val="right"/>
              <w:ind w:right="4490"/>
              <w:spacing w:after="0"/>
              <w:rPr>
                <w:sz w:val="20"/>
                <w:szCs w:val="20"/>
                <w:color w:val="auto"/>
              </w:rPr>
            </w:pPr>
            <w:r>
              <w:rPr>
                <w:rFonts w:ascii="Times New Roman" w:cs="Times New Roman" w:eastAsia="Times New Roman" w:hAnsi="Times New Roman"/>
                <w:sz w:val="18"/>
                <w:szCs w:val="18"/>
                <w:color w:val="auto"/>
              </w:rPr>
              <w:t>F-55</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79" w:name="page180"/>
    <w:bookmarkEnd w:id="179"/>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income approach, using the relief from royalty method, was used to value trademarks and developed technology. Significant assumptions included in the valuation of trademarks and developed technology include projected revenues, the selected royalty rate and the economic life of the underlying asset.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income approach, using the multi-period excess earning method, was used to value customer relationships. Significant assumptions included in the valuation of customer relationships include projected revenues, customer attrition and expense growth over the forecasted period.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Solaria acquisition, the Company recognized $45.9 million of deferred tax assets. Due to the uncertainty surrounding the Company’s ability to realize such deferred income tax assets, a full valuation allowance has been established. Net operating losses were incurred by Solaria from November 4, 2022 through the divestiture in 2023. An unrecognized tax benefit was recorded in 2023 related to all acquired losses and post-acquisition losses due to the divestiture. Refer to Note 19 – Income Taxes for additional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were measured at fair value, on a recurring basis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Carlyle warrants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167</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warrants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84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167</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14,152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14,152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Carlyle Warrants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part of the Company’s amended and restated warrant agreement with CRSEF Solis Holdings, LLC (“Carlyle”), dated July 18, 2023, the Company issued Carlyle a warrant to purchase up to 2,745,879 shares of Complete Solaria Common Stock at a price per share of $0.01, which is inclusive of the outstanding warrant to purchase 1,995,879 shares at the time of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amended and restated warrant agreement, an additional 350,000 shares; plus (c) on and after the date that is thirty (30) days after the date of the amended and restated warrant agreement, if the original investment amount has not been repaid, an additional 150,000 shares; plus (d) on and after the date that is ninety (90) days after the date of the amended and restated warrant agreement, if the original investment amount has not been repaid, an additional 250,000 shares, in each case, of Complete Solaria Common Stock at a price of $0.01 per share. As the warrant is exercisable into a variable number of shares based on the Company’s fully diluted capitalization table, the Company has classified the warrants as liabilities. The Company valued the warrants based on a Black-Scholes Option Pricing Method, which included the following inputs: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26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3600" w:type="dxa"/>
            <w:vAlign w:val="bottom"/>
            <w:tcBorders>
              <w:bottom w:val="single" w:sz="8" w:color="CCEEFF"/>
            </w:tcBorders>
          </w:tcPr>
          <w:p>
            <w:pPr>
              <w:spacing w:after="0"/>
              <w:rPr>
                <w:sz w:val="20"/>
                <w:szCs w:val="20"/>
                <w:color w:val="auto"/>
              </w:rPr>
            </w:pPr>
          </w:p>
        </w:tc>
        <w:tc>
          <w:tcPr>
            <w:tcW w:w="50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50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years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77.0%</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637"/>
        </w:trPr>
        <w:tc>
          <w:tcPr>
            <w:tcW w:w="36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F-56</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i w:val="1"/>
          <w:iCs w:val="1"/>
          <w:color w:val="auto"/>
        </w:rPr>
        <w:t>Public, Private Placement and Working Capital Warrants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public, private placement and working capital warrants are measured at fair value on a recurring basis. The public warrants were valued based on the closing price of the publicly traded instrument. The private placement and working capital warrants were valued using observable inputs for similar publicly traded instruments.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Purchase Agreement Liabilities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FPA liabilities are measured at fair value on a recurring basis using a Monte Carlo simulation analysis. The expected volatility is determined based on the historical equity volatility of comparable companies over a period that matches the simulation period, which included the following inputs: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trading price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Simulation period</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1.55 years</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tcPr>
          <w:p>
            <w:pPr>
              <w:spacing w:after="0"/>
              <w:rPr>
                <w:sz w:val="20"/>
                <w:szCs w:val="20"/>
                <w:color w:val="auto"/>
              </w:rPr>
            </w:pP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95.0%</w:t>
            </w:r>
          </w:p>
        </w:tc>
        <w:tc>
          <w:tcPr>
            <w:tcW w:w="2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Convertible Preferred Stock Warrant Liabilities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historically issued redeemable convertible warrants, which were classified as liabilities and adjusted to fair value using the Black Scholes Option Pricing Method. The terms of the redeemable convertible preferred stock warrants are described in Note 14 –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Redeemable Convertible Preferred Stock Warrant</w:t>
      </w:r>
    </w:p>
    <w:p>
      <w:pPr>
        <w:spacing w:after="0" w:line="237"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years</w:t>
            </w:r>
          </w:p>
        </w:tc>
        <w:tc>
          <w:tcPr>
            <w:tcW w:w="16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w:t>
            </w: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41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Series C Redeemable Convertible Preferred Stock Warrant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2"/>
        </w:trPr>
        <w:tc>
          <w:tcPr>
            <w:tcW w:w="8640" w:type="dxa"/>
            <w:vAlign w:val="bottom"/>
          </w:tcPr>
          <w:p>
            <w:pPr>
              <w:spacing w:after="0"/>
              <w:rPr>
                <w:sz w:val="24"/>
                <w:szCs w:val="24"/>
                <w:color w:val="auto"/>
              </w:rPr>
            </w:pP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4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years</w:t>
            </w:r>
          </w:p>
        </w:tc>
        <w:tc>
          <w:tcPr>
            <w:tcW w:w="16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w:t>
            </w: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637"/>
        </w:trPr>
        <w:tc>
          <w:tcPr>
            <w:tcW w:w="948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F-57</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Series D-7 Redeemable Convertible Preferred Stock Warrant</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8600" w:type="dxa"/>
            <w:vAlign w:val="bottom"/>
          </w:tcPr>
          <w:p>
            <w:pPr>
              <w:spacing w:after="0"/>
              <w:rPr>
                <w:sz w:val="24"/>
                <w:szCs w:val="24"/>
                <w:color w:val="auto"/>
              </w:rPr>
            </w:pPr>
          </w:p>
        </w:tc>
        <w:tc>
          <w:tcPr>
            <w:tcW w:w="264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0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years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redeemable convertible preferred stock warrant liabilities were measured at fair value at the issuance date and as of each subsequent reporting period with changes in the fair value recorded within other income (expense), net in the accompanying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Forward Purchase Agreements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2023, FACT and Legacy Complete Solaria, Inc. entered into FPAs with each of (i) Meteora; (ii) Polar, and (iii) Sandia (each individually, a “Seller”, and together, the “FPA Sellers”).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FPAs, the FPA Sellers may (i)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terms of the forward contracts are as follows: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Price is less than the then applicable Reset Price.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2" w:name="page183"/>
    <w:bookmarkEnd w:id="18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entered into four separate FPAs, three of which, associated with the obligation to issue 6,300,000 Shares, were entered into prior to the closing of the Mergers. Upon signing the FPAs, the Company incurred an obligation to issue a fixed number of shares to the FPA Sellers contingent upon the closing of the Mergers in addition to the terms and conditions associated with the settlement of the FPAs. The Company accounted for the contingent obligation to issue shares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recorded a liability and other income (expense), net based on the fair value upon of the obligation upon the signing of the FPAs. The liability was extinguished in July 2023 upon the issuance of Complete Solaria Common Stock to the FPA sellers.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Additionally,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Company has determined that the forward contract is a financial instrument other than a share that represent or are indexed to obligations to repurchase the issuer’s equity shares by transferring assets, referred to herein as the “forward purchase liability” on its consolidated balance sheets. The Company initially measured the forward purchase liability at fair value and has subsequently remeasured it at fair value with changes in fair value recognized in earnings.</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the date of issuance of the Complete Solaria Common Stock in satisfaction of the Company’s obligation to issue shares around the closing of the Mergers, the Company recorded $35.5 million to other income (expense), net associated with the issuance of 6,720,000 shares of Complete Solaria Common Stock in association with the FPAs.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closing of the Mergers and issuance of the Complete Solaria Common Stock underlying the FPAs, the fair value of the prepaid FPAs was an asset balance of $0.1 million and was recorded on the Company’s consolidated balance sheets and within other income (expense), net on the consolidated statements of operations and comprehensive loss. Subsequently, the change of fair value of the forward purchase liability amounted to an expense of $3.9 million for the fiscal year ended December 31, 2023. As of December 31, 2023, the forward purchase liabilities amounted to $3.8 million.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18, 2023, the Company and the FPA Sellers entered into separate amendments to the FPA (the “Amendments”). The Amendments lower the reset floor price of each FPA from $5.00 to $3.00 and allow the Company to raise up to $10.0 million of equity from existing stockholders without triggering certain anti-dilution provisions contained in the FPA;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Prepaid Expenses and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deposits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sales commissions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Divestiture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previously described in Note 1 – Organization, on August 18, 2023, the Company entered into a Non-Binding Letter of Intent to sell certain of Complete Solaria’s North American solar panel assets, inclusive of intellectual property and customer contracts, to Maxeon. In October 2023, the Company completed the sale of its solar panel business to Maxeon, pursuant to the terms of the Asset Purchase Agreement Disposal Agreement. Under the terms of the Disposal Agreement, Maxeon agreed to acquire certain assets and employees of Complete Solaria. The Company determined that this divestiture represented a strategic shift in the Company’s business and qualified as a discontinued operation. Accordingly, the results of operations and cash flows relating to Solaria have been reflected as discontinued operations in the consolidated statements of operations and comprehensive loss for the fiscal year ended December 31, 2023 and the consolidated statements of cash flows for the fiscal year ended December 31,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firstLine="324"/>
        <w:spacing w:after="0" w:line="282" w:lineRule="auto"/>
        <w:rPr>
          <w:sz w:val="20"/>
          <w:szCs w:val="20"/>
          <w:color w:val="auto"/>
        </w:rPr>
      </w:pPr>
      <w:r>
        <w:rPr>
          <w:rFonts w:ascii="Times New Roman" w:cs="Times New Roman" w:eastAsia="Times New Roman" w:hAnsi="Times New Roman"/>
          <w:sz w:val="18"/>
          <w:szCs w:val="18"/>
          <w:color w:val="auto"/>
        </w:rPr>
        <w:t>Components of amounts reflected in the consolidated statements of operations and comprehensive loss related to discontinued operations are presented in the table,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Fiscal year</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0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29,048</w:t>
            </w:r>
          </w:p>
        </w:tc>
        <w:tc>
          <w:tcPr>
            <w:tcW w:w="100" w:type="dxa"/>
            <w:vAlign w:val="bottom"/>
            <w:gridSpan w:val="2"/>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30,609</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8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17,472</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24,327</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(25,888)</w:t>
            </w:r>
          </w:p>
        </w:tc>
        <w:tc>
          <w:tcPr>
            <w:tcW w:w="100" w:type="dxa"/>
            <w:vAlign w:val="bottom"/>
            <w:gridSpan w:val="2"/>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(25,857)</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(25,853)</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from discontinued operations</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(147,505)</w:t>
            </w:r>
          </w:p>
        </w:tc>
      </w:tr>
      <w:tr>
        <w:trPr>
          <w:trHeight w:val="237"/>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(173,358</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 except year data):</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320" w:type="dxa"/>
            <w:vAlign w:val="bottom"/>
          </w:tcPr>
          <w:p>
            <w:pPr>
              <w:spacing w:after="0"/>
              <w:rPr>
                <w:sz w:val="22"/>
                <w:szCs w:val="2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240" w:type="dxa"/>
            <w:vAlign w:val="bottom"/>
          </w:tcPr>
          <w:p>
            <w:pPr>
              <w:spacing w:after="0"/>
              <w:rPr>
                <w:sz w:val="22"/>
                <w:szCs w:val="22"/>
                <w:color w:val="auto"/>
              </w:rPr>
            </w:pPr>
          </w:p>
        </w:tc>
        <w:tc>
          <w:tcPr>
            <w:tcW w:w="23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software</w:t>
            </w:r>
          </w:p>
        </w:tc>
        <w:tc>
          <w:tcPr>
            <w:tcW w:w="114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 on tangible assets totaled $0.9 million and $0.6 million for the fiscal years ended December 31, 2023 and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charges on tangible assets recognized for the fiscal years ended December 31, 2023 and 2022.</w:t>
      </w:r>
    </w:p>
    <w:p>
      <w:pPr>
        <w:spacing w:after="0" w:line="203"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Uninvoiced contract costs</w:t>
            </w:r>
          </w:p>
        </w:tc>
        <w:tc>
          <w:tcPr>
            <w:tcW w:w="3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Inventory received but not invoiced</w:t>
            </w: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term loan and revolving loan amendment and final payment fees</w:t>
            </w:r>
          </w:p>
        </w:tc>
        <w:tc>
          <w:tcPr>
            <w:tcW w:w="3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settlements</w:t>
            </w: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3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 and credits</w:t>
            </w: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current</w:t>
            </w: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35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19,830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F-60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color w:val="auto"/>
        </w:rPr>
        <w:t>(11) Employee Benefit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sponsors a 401(k) defined contribution and profit-sharing plan (“401(k) Plan”) for its eligible employees. This 401(k) Plan provides for tax-deferred 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fiscal years ended December 31, 2023 and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Expense,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net consist of the following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Fiscal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Carlyle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14,373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FACT public, private placement and working capital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6,424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Gain on extinguishment of convertible notes and SAFE agreements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3,235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equity securities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(4,154)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CS Solis debt extinguishment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Bonus shares issued in connection with the Mergers</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(2,394)</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Issuance of forward purchase agreements</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of forward purchase agreement liabilities</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(3,906)</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Loss on issuance of shares in connection with the forward purchase agreements</w:t>
            </w:r>
            <w:r>
              <w:rPr>
                <w:rFonts w:ascii="Times New Roman" w:cs="Times New Roman" w:eastAsia="Times New Roman" w:hAnsi="Times New Roman"/>
                <w:sz w:val="29"/>
                <w:szCs w:val="29"/>
                <w:color w:val="auto"/>
                <w:vertAlign w:val="superscript"/>
              </w:rPr>
              <w:t>(5)</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(35,490)</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discontinued Solaria business and other, net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(2,966)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8308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2" w:lineRule="exact"/>
        <w:rPr>
          <w:sz w:val="20"/>
          <w:szCs w:val="20"/>
          <w:color w:val="auto"/>
        </w:rPr>
      </w:pPr>
    </w:p>
    <w:p>
      <w:pPr>
        <w:ind w:left="340" w:hanging="332"/>
        <w:spacing w:after="0" w:line="282"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zero and $1.4 million of other income for the fiscal years ended December 31, 2023 and 2022, respectively, recognized upon the conversion of related party convertible notes and SAFEs.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$0.7 million of other expense for the fiscal year ended December 31, 2023 for bonus shares issued to related parties in connection with the Mergers.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$0.4 million of other income for the fiscal year ended December 31, 2023 for forward purchase agreements entered into with related parties.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 million of other expense for the fiscal year ended December 31, 2023 for forward purchase agreements entered into with related parties.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$30.7 million of other expense the fiscal year ended December 31, 2023 for shares issued to related parties in connection with the forward purchase agreements.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(13) Common Stock</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1,000,000,000 shares of common stock and 10,000,000 shares of preferred stock as of December 31, 2023. No preferred stock has been issued.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18, 2023, the Company entered into separate common stock purchase agreements (the “Purchase Agreements”) with the Rodgers Massey Freedom and Free Markets Charitable Trust and the Rodgers Massey Revocable Living Trust (each a “Purchaser”, and together, the “Purchasers”). Pursuant to the terms of the Purchase Agreements, each Purchaser purchased 1,838,235 shares of common stock of the Company, par value $0.0001, (the “Shares”), at a price per share of $1.36, representing an aggregate purchase price of $4,999,999.20. The Purchasers paid for the Shares in cash. Thurman J. Rodgers is a trustee of each Purchaser and is the Executive Chairman of the board of directors of the Company.</w:t>
      </w:r>
    </w:p>
    <w:p>
      <w:pPr>
        <w:sectPr>
          <w:pgSz w:w="11900" w:h="16838" w:orient="portrait"/>
          <w:cols w:equalWidth="0" w:num="1">
            <w:col w:w="11240"/>
          </w:cols>
          <w:pgMar w:left="320" w:top="900" w:right="339" w:bottom="1440" w:gutter="0" w:footer="0" w:header="0"/>
        </w:sectPr>
      </w:pP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has reserved shares of common stock for issuance related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and RSUs, authorized for future issuance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Warrants (Converted to Common Stock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27,637,266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2,628,996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11,774,743</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3,850,462</w:t>
      </w:r>
    </w:p>
    <w:p>
      <w:pPr>
        <w:spacing w:after="0" w:line="5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45,891,467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43180</wp:posOffset>
            </wp:positionV>
            <wp:extent cx="70294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129" w:lineRule="exact"/>
        <w:rPr>
          <w:sz w:val="20"/>
          <w:szCs w:val="20"/>
          <w:color w:val="auto"/>
        </w:rPr>
      </w:pPr>
    </w:p>
    <w:p>
      <w:pPr>
        <w:sectPr>
          <w:pgSz w:w="11900" w:h="16838" w:orient="portrait"/>
          <w:cols w:equalWidth="0" w:num="2">
            <w:col w:w="9340" w:space="720"/>
            <w:col w:w="1180"/>
          </w:cols>
          <w:pgMar w:left="320" w:top="900" w:right="339" w:bottom="1440" w:gutter="0" w:footer="0" w:header="0"/>
          <w:type w:val="continuous"/>
        </w:sectPr>
      </w:pP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2016, the Company issued a warrant to purchase 5,054 shares of Series B preferred stock (the “Series B warrant”) in connection with a 2016 credit facility. The Series B warrant is immediately exercisable at an exercise price of $4.30 per share and has an expiration date of February 2026. The fair value of the Series B warrant was less than $0.1 million as of December 31, 2022 and as of July 18, 2023, when the Series B warrant was reclassified from warrant liability to additional paid-in capital, as the warrant is exercisable into shares of Complete Solaria Common Stock upon the close of the Mergers. The relative fair value of the Series B warrant at issuance was recorded as a debt issuance cost within other non-current liabilities on the accompanying consolidated balance sheets, and changes in fair value have been recorded in other income (expense), net on the accompanying consolidated statements of operations and comprehensive loss for the fiscal years ended December 31, 2023 and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Warrants (Converted to Common Stock Warrants)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July 2016, the Company issued a warrant to purchase 148,477 shares of Series C preferred stock (the “Series C warrant”) in connection with the Series C financing. The Series C warrant agreement also provided for an additional number of Series C shares calculated on a monthly basis commencing on June 2016 based on the principal balance outstanding of the notes payable outstanding. The maximum number of shares exercisable under the Series C warrant agreement is 482,969 shares of Series C preferred stock. The Series C warrant was immediately exercisable at an exercise price of $1.00 per share and has an expiration date of July 2026. The fair value of the Series C warrant was $6.3 million as of December 31, 2022. The fair value of the Series C warrant was $2.3 million as of July 18, 2023, when the Series B warrant was reclassified from redeemable convertible preferred stock warrant liability to additional paid-in capital, as the warrant is exercisable into shares of Complete Solaria Common Stock upon the close of the Mergers. The relative fair value of the Series C warrant at issuance was recorded as Series C preferred stock issuance costs and redeemable convertible preferred stock warrant liability on the accompanying consolidated balance sheets, and changes in fair value have been recorded in other income (expense), net on the accompanying consolidated statements of operations and comprehensive loss for the fiscal years ended December 31, 2023 and 2022.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i w:val="1"/>
          <w:iCs w:val="1"/>
          <w:color w:val="auto"/>
        </w:rPr>
        <w:t>Series C-1 Warrants (Converted to Common Stock Warrants)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January 2020, the Company issued a warrant to purchase 173,067 shares of common stock in conjunction with the Series C-1 preferred stock financing. The warrant is immediately exercisable at an exercise price of $0.01 per share and has an expiration date of January 2030. The warrant remains outstanding as of December 31, 2023. At issuance, the relative fair value of the warrant was determined to be $0.1 million using the Black-Scholes model with the following weighted average assumptions: expected term of 10 years; expected volatility of 62.5%; risk-free interest rate of 1.5%; and no dividend yield. The fair value of the warrant was recorded within additional paid-in capital on the consolidated balance sheets. The warrant is not remeasured in future periods as it meets the conditions for equity classification.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Carlyle Warrants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2022, as part of a debt financing from Carlyle (refer to Note 15 – Borrowing Arrangements), the Company issued a warrant to purchase 2,886,952 shares of common stock in conjunction with the redeemable investment in CS Solis. The warrant contained two tranches, the first of which is immediately exercisable for 1,995,879 shares. The second tranche, which was determined to be a separate unit of account, was exercisable upon a subsequent investment from Carlyle in CS Solis. No subsequent investment was made and the investment period expired on December 31, 2022 and the second tranche of warrants expired prior to becoming exercisable. The vested warrant had an exercise price of $0.01 per share and had an expiration date of February 2029.</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issuance, the relative fair value of the warrant was determined to be $3.4 million using the Black-Scholes model with the following weighted average assumptions: expected term of 7 years; expected volatility of 73.0%; risk-free interest rate of 1.9%; and no dividend yield. The fair value of the warrant was recorded within additional paid-in capital and as a discount on the long-term debt in CS Solis on the consolidated balance sheets as of December 31, 2022.</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2023, and in connection with the closing of the Mergers, the Carlyle debt and warrants were modified. Based on the exchange ratio included in the Mergers, the 1,995,879 outstanding warrants to purchase Legacy Complete Solaria Common Stock prior to modification were exchanged into warrants to purchase 1,995,879 shares of Complete Solaria Common Stock. As part of the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w:t>
      </w:r>
    </w:p>
    <w:p>
      <w:pPr>
        <w:spacing w:after="0" w:line="3" w:lineRule="exact"/>
        <w:rPr>
          <w:sz w:val="20"/>
          <w:szCs w:val="20"/>
          <w:color w:val="auto"/>
        </w:rPr>
      </w:pPr>
    </w:p>
    <w:p>
      <w:pPr>
        <w:jc w:val="both"/>
        <w:ind w:firstLine="8"/>
        <w:spacing w:after="0" w:line="253" w:lineRule="auto"/>
        <w:tabs>
          <w:tab w:leader="none" w:pos="3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Of the additional warrants that become exercisable after the modification, the tranches of 350,000 warrants vesting ten days after the date of the agreement and 150,000 warrants vesting thirty days after the date of the agreement are exercisable as of December 31, 2023.</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modification of the warrant resulted in the reclassification of previously equity classified warrants to liability classification, which was accounted for in accordance with ASC 815 and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recorded the fair value of the modified warrants as a warrant liability of $20.4 million, the pre-modification fair value of the warrants as a reduction to additional paid-in capital of $10.9 million and an expense of $9.5 million to other income (expense), net equal to the incremental value of the warrants upon the modification. The fair value of the warrant was determined based on its intrinsic value, given a nominal exercise price. At issuance, the relative fair value of the warrant was determined to be $20.4 million using the Black-Scholes model with the following weighted average assumptions: expected term of 7 years; expected volatility of 77.0%; risk-free interest rate of 3.9%; and no dividend yield. As of December 31, 2023, the fair value of the warrant was $6.0 million, and the Company recorded an expense of $14.4 million as other income (expense), net on the consolidated statements of operations and comprehensive loss.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i w:val="1"/>
          <w:iCs w:val="1"/>
          <w:color w:val="auto"/>
        </w:rPr>
        <w:t>Series D-7 Warrants (Converted to Common Stock Warrants)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2022, the Company issued warrants to purchase 656,630 shares of Series D-7 preferred stock (the “Series D-7 warrants”) in conjunction with the Business Combination. The warrant contains two tranches. The first tranche of 518,752 shares of Series D-7 preferred stock is exercisable at an exercise price of $2.50 per share upon consummation of a merger transaction, or at an exercise price of $2.04 per share upon remaining private and has an expiration date of April 2024. The second tranche of 137,878 shares of Series D-7 preferred stock is exercisable at an exercise price of $5.00 per share upon consummation of a merger transaction, or at an exercise price of $4.09 per share upon remaining private and has an expiration date of April 2024. The fair value of the Series D-7 warrants was $7.8 million as of December 31, 2022 and $2.4 million as of July 18, 2023 when the warrants were reclassified from redeemable convertible preferred stock warrant liability to additional paid-in capital, as the exercise price of the warrants is fixed at $2.50 per share of Complete Solaria Common Stock for the first tranche and $5.00 per share of Complete Solaria Common Stock for the second tranche upon the closing of the Mergers.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October 2023, the Company entered into an Assignment and Acceptance Agreement (“Assignment Agreement”), (refer to Note 15 – Borrowing Arrangements). In connection with the Assignment Agreement, the Company also entered into the First Amendment to Warrant to Purchase Stock Agreements with the holders of the Series D-7 warrants. Pursuant to the terms of the agreement, the warrants to purchase 1,376,414 shares of Series D-7 preferred stock converted into warrants to purchase 656,630 shares of common stock (the “replacement warrants”). As a result of the warrant amendment, the Company reclassified the replacement warrants from equity to liability. The replacement warrants were remeasured to the fair value on the amendment effective date and the Company will record subsequent changes in fair value in other income (expense), net on its condensed consolidated statements of operations and comprehensive loss. The Series D-7 Warrants remain outstanding as of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2022 Common Stock Warrants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2022, the Company issued a warrant to a third-party service provider to purchase 78,962 shares of common stock in conjunction with the Business Combination. The warrant was immediately exercisable at an exercise price of $8.00 per share and had an expiration date of April 2024. In May 2023, the Company amended the warrant, modifying the shares of common stock to be purchased to 31,680, the exercise price to $0.01, and the expiration date to the earlier of October 2026 or the closing of an IPO. The impact of the modification was not material to the consolidated financial statements. At issuance and upon the modification, the relative fair value of the warrant was determined to be $0.1 million using the Black-Scholes model with the following weighted average assumptions: expected term of 1.5 years; expected volatility of 78.5%; risk-free interest rate of 4.7%; and no dividend yield. The fair value of the warrant was recorded within additional paid-in capital on the consolidated balance sheets. The warrant is not remeasured in future periods as it meets the conditions for equity classification. Upon the Closing of the Mergers, the warrant was net exercised into 31,680 shares of Complete Solaria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2023 Common Stock Warrants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2023, the Company issued a warrant to a third-party service provider to purchase 38,981 shares of common stock in exchange for services provided in obtaining financing at the Closing of the Mergers. The warrant is immediately exercisable at a price of $0.01 per share and has an expiration date of July 2028. At issuance, the fair value of the warrant was determined to be $0.2 million, based on the intrinsic value of the warrant and the $0.01 per share exercise price. As the warrant is accounted for as an equity issuance cost, the warrant is recorded only within additional paid-in capital on the consolidated balance sheets. The warrant is not remeasured in future periods as it meets the conditions for equity classification.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Consideration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2023, in connection with the Mergers, the Company issued 6,266,572 warrants to purchase Complete Solaria Common Stock to holders of Legacy Complete Solaria Redeemable Convertible Preferred Stock, Legacy Complete Solaria Common Stock. The exercise price of the common stock warrants is $11.50 per share and the warrants expire 10 years from the date of the Mergers. The warrant consideration was issued as part of the close of the Mergers and was recorded within additional paid-in capital, net of the issuance costs of the Mergers. As of December 31, 2023, all warrants issued as warrant consideration remain outstanding.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i w:val="1"/>
          <w:iCs w:val="1"/>
          <w:color w:val="auto"/>
        </w:rPr>
        <w:t>Public, Private Placement, and Working Capital Warrants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conjunction with the Mergers, Complete Solaria, as accounting acquirer, was deemed to assume 6,266,667 warrants to purchase FACT Class A Ordinary Shares that were held by the sponsor at an exercise price of $11.50 (“Private Placement Warrants”) and 8,625,000 warrants to purchase FACT’s shareholders FACT Class A Ordinary Shares at an exercise price of $11.50 (“Public Warrants”). Subsequent to the Mergers, the Private Placement Warrants and Public Warrants are exercisable for shares of Complete Solaria Common Stock and meet liability classification requirements since the warrants may be required to be settled in cash under a tender offer. In addition, Private Placement Warrants are potentially subject to a different settlement amount as a result of being held by the Sponsor which precludes the Private Placement Warrants from being considered indexed to the entity’s own stock. Therefore, these warrants are classified as liabilities on the consolidated balance sheets.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determined the Public and Private warrants to be classified as a liability and fair valued the warrants on the issuance date using the publicly available price for the warrants of $6.7 million. The fair value of these warrants was $0.3 million as of December 31, 2023, and the Company recorded the change in fair value of $6.4 million in other income (expense), net in the consolidated statements of operations and comprehensive loss for the fiscal year ended December 31, 2023.</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at the closing of the Mergers, the Company issued 716,668 Working Capital warrants, which have identical terms as the Private Placement Warrants to the sponsor in satisfaction of certain liabilities of FACT. The warrants were fair valued at $0.3 million upon the closing of the Mergers, which was recorded in warrant liability on the consolidated balance sheets. As of December 31, 2023, the Working Capital warrants had a fair value of $0.01 million, and the Company recorded the change in fair value of $0.1 million as other income (expense), net on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Borrowing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net, Convertible notes, net and convertible notes, net, due to related parties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the Company’s notes payable and convertible notes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 w:type="dxa"/>
            <w:vAlign w:val="bottom"/>
          </w:tcPr>
          <w:p>
            <w:pPr>
              <w:spacing w:after="0"/>
              <w:rPr>
                <w:sz w:val="21"/>
                <w:szCs w:val="21"/>
                <w:color w:val="auto"/>
              </w:rPr>
            </w:pPr>
          </w:p>
        </w:tc>
        <w:tc>
          <w:tcPr>
            <w:tcW w:w="8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400" w:type="dxa"/>
            <w:vAlign w:val="bottom"/>
            <w:tcBorders>
              <w:bottom w:val="single" w:sz="8" w:color="CCEEFF"/>
            </w:tcBorders>
          </w:tcPr>
          <w:p>
            <w:pPr>
              <w:spacing w:after="0"/>
              <w:rPr>
                <w:sz w:val="20"/>
                <w:szCs w:val="20"/>
                <w:color w:val="auto"/>
              </w:rPr>
            </w:pPr>
          </w:p>
        </w:tc>
        <w:tc>
          <w:tcPr>
            <w:tcW w:w="82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Notes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Revolver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Credit Facility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5,623</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 Settlement Agreement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in CS Solis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25,204</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due to related parties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 and convertible notes, net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(61,937)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(20,403)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and convertible notes, net of current portion</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44,148</w:t>
            </w:r>
          </w:p>
        </w:tc>
        <w:tc>
          <w:tcPr>
            <w:tcW w:w="0" w:type="dxa"/>
            <w:vAlign w:val="bottom"/>
          </w:tcPr>
          <w:p>
            <w:pPr>
              <w:spacing w:after="0"/>
              <w:rPr>
                <w:sz w:val="1"/>
                <w:szCs w:val="1"/>
                <w:color w:val="auto"/>
              </w:rPr>
            </w:pPr>
          </w:p>
        </w:tc>
      </w:tr>
      <w:tr>
        <w:trPr>
          <w:trHeight w:val="21"/>
        </w:trPr>
        <w:tc>
          <w:tcPr>
            <w:tcW w:w="40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Bridge Notes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2018, Solaria Corporation issued senior subordinated convertible secured notes (“2018 Notes”) totaling approximately $3.4 million in exchange for cash. The notes bear interest at the rate of 8% per annum and the investors are entitled to receive twice the face value of the 2018 Notes at maturity. The 2018 Notes are secured by substantially all of the assets of Solaria Corporation. In 2021, the 2018 Notes were amended extending the maturity date to December 13, 2022. In connection with the 2021 amendment, Solaria had issued warrants to purchase shares of Series E-1 redeemable convertible preferred stock of Solaria. The warrants were exercisable immediately in whole or in part at and expire on December 13, 2031. As part of the Business Combination with Complete Solar, all the outstanding warrants issued to the lenders were assumed by the parent company, Complete Solaria as discussed in Note 4 –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9" w:name="page190"/>
    <w:bookmarkEnd w:id="18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2022, the Company entered into an amendment to the 2018 Bridge Notes extending the maturity date from December 13, 2022 to December 13, 2023, and the 2018 Notes remain outstanding as of December 31, 2023. In connection with the amendment, the 2018 Notes will continue to bear interest at 8% per annum and are entitled to an increased repayment premium from 110% to 120% of the principal and accrued interest at the time of repayment.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concluded that the modification was a troubled debt restructuring as the Company was experiencing financial difficulty and the amended terms resulted in a concession to the Company. As the future undiscounted cash payments under the modified terms exceeded the carrying amount of the Solaria Bridge Notes on the date of modification, the modification was accounted for prospectively. The incremental repayment premium is being amortized to interest expense using the effective interest rate method. As of December 31, 2023 and December 31, 2022, the carrying value of the Bridge Notes was $11.0 million and $9.8 million, respectively. Interest expense recognized for fiscal years ended December 31, 2023 and 2022 was $1.2 million and $0.7 million, respectively. As of December 31, 2023, the carrying value of the 2018 Notes approximates their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 Loan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2020, Solaria entered into a loan agreement (“SCI Loan Agreement”) with Structural Capital Investments III, LP (“SCI”).</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SCI Loan Agreement is comprised of two facilities, a term loan (the “Term Loan”) and a revolving loan (the “Revolving Loan”) (together “Original Agreement”) for $5.0 million each with a maturity date of October 31, 2023. Both the Term Loan and the Revolving Loan were fully drawn upon closing. The Term Loan was repaid prior to the acquisition of Solaria by Complete Solar and was not included in the Business Combination.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Revolving Loan has a term of thirty-six months, with the principal due at the end of the term and an annual interest rate of 7.75% or Prime rate plus 4.5%, whichever is higher. The SCI Loan Agreement requires the Company to meet certain financial covenants relating to the maintenance of specified restricted cash balance, achieve specified revenue targets and maintain specified contribution margins (“Financial Covenants”) over the term of the Revolving Loan. The Revolving Loan is collateralized by substantially all assets and property of the Company.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years ended December 31, 2022 and December 31, 2021, Solaria entered into several Amended and Restated Loan and Security Agreements with SCI to forbear SCI from exercising any rights and remedies available to it as a result of the Company not meeting certain Financial Covenants required by the Original Agreement. As a result of these amendments changes were made to the Financial Covenants, and Solaria recorded a total of $1.9 million amendment fees in Other Liabilities and this liability was included in the acquired liabilities for purchase price accounting.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Solaria had historically issued warrants to purchase shares of Series E-1 redeemable convertible preferred stock of Solaria (“SCI Series E-1 warrants”). The warrants were fully exercisable in whole or in part at any time during the term of the Original agreement. As part of the Business Combination with Complete Solar, all the outstanding SCI Series E-1 warrants were assumed by the parent company, Complete Solaria as discussed in Note 4 – Business Combination.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Revolving Loan outstanding on the date of the Business Combination was fair valued at $5.0 million for the purpose of purchase price accounting discussed in Note 4 – Business Combination. The Revolving Loan principal balance at December 31, 2023 and December 31, 2022 amounted to $5.1 million and $5.0 million, respectively. Interest expense recognized for the fiscal year ended December 31, 2023 was $0.6 million. The Company was in compliance with all the Financial Covenants as of December 31, 2023.</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2023, the Company entered into an Assignment Agreement whereby Structural Capital Investments III, LP assigned the SCI debt to Kline Hill Partners Fund LP, Kline Hill Partners IV SPV LLC, Kline Hill Partners Opportunity IV SPV LLC, and Rodgers Massey Revocable Living Trust for a total purchase price of $5.0 million. The Company has identified this as a related party transaction, as discussed in Note 21 – Related Party Transactions. The SCI Revolving Loan continued to remain outstanding as of December 31, 2023 and is currently being renegotiated.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i w:val="1"/>
          <w:iCs w:val="1"/>
          <w:color w:val="auto"/>
        </w:rPr>
        <w:t>Secured Credit Facility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2022, the Company entered into a secured credit facility agreement with Kline Hill Partners IV SPV LLC and Kline Hill Partners Opportunity IV SPV LLC. The secured credit facility agreement allows the Company to borrow up to 70% of the net amount of its eligible vendor purchase orders with a maximum amount of $10.0 million at any point in time. The purchase orders are backed by relevant customer sales orders which serves as collateral. The amounts drawn under the secured credit facility may be reborrowed provided that the aggregate borrowing does not exceed $20.0 million. The repayment under the secured credit facility is the borrowed amount multiplied by 1.15x if repaid within 75 days and borrowed amount multiplied by 1.175x if repaid after 75 days. The Company may prepay any borrowed amount without premium or penalty. Under the original terms, the secured credit facility agreement was due to mature in April 2023. The Company is in the process of amending the secured credit facility agreement to extend its maturity date.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2023, the balance outstanding was $12.2 million, including accrued financing cost of $4.5 million, and as of December 31, 2022, the balance outstanding was $5.6 million, including accrued financing cost of $0.1 million. The Company recognized interest expense of $3.5 million and $0.1 million related to the Secured Credit Facility during the fiscal years ended December 31, 2023 and 2022, respectively. As of December 31, 2023, the total estimated fair value of the Secured Credit Facility approximates its carrying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Polar Settlement Agreement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in connection with the Mergers, the Company entered into a settlement and release agreement with Polar Multi-Strategy Master Fund (“Polar”) for the settlement of a working capital loan that had been made by Polar to the Sponsor, prior to the closing of the Mergers. The settlement agreement requires the Company to pay Polar $0.5 million in ten equal monthly installments and does not accrue interest. During the fiscal year ended December 31, 2023, the Company paid $0.2 million, and as of December 31, 2023, $0.3 million remains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 CS Solis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described above, as part of the reorganization of the Company in February 2022, the Company received an investment from Carlyle. The investment was made pursuant to a subscription agreement, under which Carlyle contributed $25.6 million in exchange for 100 Class B Membership Units of CS Solis and the Company contributed the net assets of Complete Solar, Inc. in exchange for 100 Class A Membership Units. The Class B Membership Units are mandatorily redeemable by the Company on the three-year anniversary of the effective date of the CS Solis amended and restated LLC agreement (February 14, 2025). The Class B Membership Units accrue interest that is payable upon redemption at a rate of 10.5% (which is structured as a dividend payable based on 25% of the investment amount measured quarterly), compounded annually, and subject to increases in the event the Company declares any dividends. In connection with the investment, the Company issued a warrant to purchase 5,978,960 shares of the Company’s common stock at a price of $0.01 per share, of which, 4,132,513 shares are immediately exercisable. The Company has accounted for the mandatorily redeemable investment from Carlyle in accordance with ASC 480, Distinguishing Liabilities from Equity, and has recorded the investment as a liability, which was accreted to its redemption value under the effective interest method. The Company has recorded the warrants as a discount to the liability. Refer to Note 13 – Common Stock, for further discussion of the warrants issued in connection with the Class B Membership Units.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17 and July 18, 2023, and in connection with obtaining consent for the Mergers, Legacy Complete Solaria, FACT and Carlyle entered into an Amended and Restated Consent to the Business Combination Agreement (“Carlyle Debt Modification Agreement”) and an amended and restated warrant agreement (“Carlyle Warrant Amendment”), which modified the terms of the mandatorily redeemable investment made by Carlyle in Legacy Complete Solaria.</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Carlyle Debt Modification Agreement accelerates the redemption date of the investment, which was previously February 14, 2025 and is March 31, 2024 subsequent to the modification. The acceleration of the redemption date of the investment, resulted in the total redemption amount to be 1.3 times the principal at December 31, 2023. The redemption amount will increase to 1.4 times the original investment at March 31, 2024. Additionally, as part of the amendment, the parties entered into an amended and restated warrant agreement. As part of the Carlyle Warrant Amendment, Complete Solaria issued Carlyle a warrant to purchase up to 2,745,879 shares of Complete Solaria Common Stock at a price per share of $0.01, which is inclusive of the outstanding warrant to purchase 1,995,879 shares at the time of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The warrants are classified as liabilities under ASC 815 and are recorded within warrant liability on the consolidated statements of operations and comprehensive loss.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1" w:name="page192"/>
    <w:bookmarkEnd w:id="19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accounted for the modification of the long-term debt due CS Solis as a debt extinguishment in accordance with ASC 480 and ASC 470. As a result of the extinguishment, the Company recorded a loss on extinguishment, of $10.3 million, which is recorded within other expense on the consolidated statements of operations and comprehensive loss. As of the modification date, the Company recorded the fair value of the new debt of $28.4 million as short-term debt in CS Solis, and the amount will have a redemption value of $35.8 million under the amended agreement.</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recorded a liability of $33.3 million and zero included in short-term debt due CS Solis on the consolidated balance sheets as of December 31, 2023 and 2022, respectively. The Company recorded a liability of zero and $25.2 million included in long-term debt due CS Solis on the consolidated balance sheets as of December 31, 2023 and 2022, respectively. The Company has recorded accretion of the liability as interest expense of $7.2 million for the fiscal year ended December 31, 2023, and made payments of interest expense of $0.6 million during the fiscal year ended December 31, 2023. The Company has recorded accretion of the liability as interest expense of $2.4 million for the fiscal year ended December 31, 2022. Prior to the modification, during the fiscal years ended December 31, 2023 and 2022 the Company recorded amortization of issuance costs as interest expense of $0.7 million and $1.2 million, respectively. As of December 31, 2023, the total estimated fair value of the Company’s debt with CS Solis was $33.3 million, which was estimated based on Level 3 inputs.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Convertible Notes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Original Business Combination Agreement, the Company raised a series of convertible notes (“2022 Convertible Notes”) during the fiscal year ended December 31, 2022 with an aggregate purchase price of $12.0 million, and during the fiscal year ended December 31, 2023 for an additional total purchase price of $21.3 million. Additionally, as part of the acquisition of Solaria, the Company assumed a note from an existing investor for its fair value of $6.7 million. The note contained the same terms as the other 2022 Convertible Notes. The Company did not incur significant issuance costs associated with the 2022 Convertible Notes. The 2022 Convertible Notes accrued interest at a rate of 5% per annum. Immediately prior to the closing of the Mergers, the 2022 Convertible Notes were converted into the number of shares of common stock of Complete Solaria equal to (x) the principal amount together with all accrued interest of the 2022 Convertible Notes divided by 0.75, divided by (y) the price of a share of common stock of Complete Solaria used to determine the conversion ratio in the Amended and Restated Business Combination Agreement. This resulted in the issuance of 5,316,460 shares of Complete Solaria common stock to the noteholders and no debt remains outstanding associated with the 2022 Convertible Notes as of December 31, 2023.</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interest expense of $0.7 million related to the 2022 Convertible Notes during the fiscal year ended December 31, 2023. The Company did not recognize any interest expense related to the 2022 Convertible Notes during the fiscal year ended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2019-A Convertible Notes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2019, the Company issued a series of convertible notes (“2019-A Convertible Notes”) for $0.1 million in proceeds, with immaterial debt issuance costs, and which were due and payable on demand by the holders after August 2020. The notes carried simple interest of 6.0% and contained a conversion feature whereby the notes would convert at 80% of the issuance price of the preferred shares in the next equity financing. The notes also contained other embedded features such as conversion options that were exercisable upon the occurrence of various contingencies. All of the embedded features were analyzed to determine whether they should be bifurcated and separately accounted for as a derivative. Pursuant to such analysis, the Company valued and bifurcated the share-settled redemption feature, which enabled the holders to convert the notes to the preferred shares at a predefined discount from the issuance price and recorded its initial fair value of less than $0.1 million as a discount on the convertible notes face amount. The debt discount was amortized to interest expense at a weighted-average effective interest rate of 17.6% through the maturity dates of the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share-settled redemption feature was estimated based on a probability-weighted analysis of the discounted value of the notes converting under a Next Equity Financing, a change in control, default, or maturity, and the changes in fair value were recognized as a component of other income (expense), net in the accompanying consolidated statements of operations and comprehensive loss. The Company recorded zero expense during the fiscal years ended December 31, 2023 and 2022, related to the change in the fair value of the convertible notes embedded derivative liability. The convertible notes were carried within the accompanying consolidated balance sheets at their original issuance value, net of unamortized debt discount and issuance costs. In March 2022, as part of the Company’s Series D Preferred Stock issuance, the 2019-A Convertible Notes converted into 62,500 shares of Series D-2 redeemable convertible preferred stock. The Company recognized a gain on the conversion of less than $0.1 million in other income (expense), net on the consolidated statements of operations and comprehensive loss. As the full carrying value of the note was converted to Series D Preferred Stock, the balance remaining for the note at December 31, 2022 and thereafter remained zero.</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interest expense related to the 2019-A Convertible Notes during the fiscal year ended December 31, 2023. Interest expense recognized related to the 2019-A Convertible Notes during the fiscal year ended December 31, 2022 was immaterial.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2020-A Convertible Notes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2020, the Company issued a series of convertible notes (“2020-A Convertible Notes”) for $3.8 million in proceeds, with immaterial debt issuance costs, and which were due and payable on demand by the holders after April 2021. The notes carried simple interest of 2.0% and contained a conversion feature whereby the notes would convert at 80% of the issuance price of the preferred shares in the next equity financing. The notes also contained other embedded features such as conversion options that were exercisable upon the occurrence of various contingencies. All of the embedded features were analyzed to determine whether they should be bifurcated and separately accounted for as a derivative. Pursuant to such analysis, the Company valued and bifurcated the share-settled redemption feature, which enables the holders to convert the notes to the preferred shares at a predefined discount from the issuance price and recorded its initial fair value of $0.5 million as a discount on the convertible notes face amount. The debt discount was amortized to interest expense at a weighted-average effective interest rate of 25.6% through the maturity dates of the notes.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share-settled redemption feature was estimated based on a probability-weighted analysis of the discounted value of the notes converting under a Next Equity Financing, a change in control, default, or maturity, and the changes in fair value were recognized as a component of other income (expense), net in the accompanying consolidated statements of operations and comprehensive loss. The Company recorded zero in expense during the fiscal year ended December 31, 2023 and 2022, related to the change in the fair value of the convertible notes embedded derivative liability. The convertible notes were carried within the accompanying consolidated balance sheets at their original issuance value, net of unamortized debt discount and issuance costs. In March 2022, as part of the Company’s Series D Preferred Stock issuance, the 2020-A Convertible Notes converted into 785,799 shares of Series D-1 redeemable convertible preferred stock. The Company recognized a gain on the conversion of $0.9 million in other income (expense), net on the consolidated statements of operations and comprehensive loss. As the full carrying value of the note was converted to Series D Preferred Stock, the balance remaining for the note at December 31, 2022 and thereafter remained zero.</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interest expense related to the 2020-A Convertible Notes during the fiscal year ended December 31, 2023. Interest expense recognized during the fiscal year ended December 31, 2022 was immaterial.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Promissory Notes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2021, the Company issued a short-term promissory note for $0.5 million in proceeds, with immaterial debt issuance costs. The promissory note carried simple interest of 2.0% and was due and payable after February 2022. In February 2022, the Company repaid the 2021 Promissory Note.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2021, the Company issued a short-term promissory note for $2.0 million in proceeds, with immaterial debt issuance costs. The promissory note contained a financing fee of $0.3 million, which was due and payable along with the principal amount in January 2022. In connection with the promissory note, the Company issued a warrant to purchase 50,000 shares of common stock at an exercise price of $0.01 per share. The principal and accrued interest of the note payable were repaid in January 2022, and no amounts remained outstanding as of December 31, 2022 and thereafter.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i w:val="1"/>
          <w:iCs w:val="1"/>
          <w:color w:val="auto"/>
        </w:rPr>
        <w:t>2021-A Convertible Notes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2020, the Company issued a series of convertible notes (“2021-A Convertible Notes”) for $4.3 million in proceeds, with immaterial debt issuance costs, and which are due and payable on demand by the holders after February 2022. The holders are existing investors and are not expected to demand cash settlement, as the Company expects to raise additional preferred financing under which the notes will convert into preferred shares. The notes carry simple interest of 2.0% and contained a conversion feature whereby the notes would convert at 80% of the issuance price of the preferred shares in the next equity financing. The notes also contained other embedded features such as conversion options that were exercisable upon the occurrence of various contingencies. All of the embedded features were analyzed to determine whether they should be bifurcated and separately accounted for as a derivative. Pursuant to such analysis, the Company valued and bifurcated the share-settled redemption feature, which enables the holders to convert the notes to the preferred shares at a predefined discount from the issuance price and recorded its initial fair value of $0.6 million as a discount on the convertible notes face amount. The debt discount was amortized to interest expense at a weighted-average effective interest rate of 18.1% through the maturity dates of the notes.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share-settled redemption feature was estimated based on a probability-weighted analysis of the discounted value of the notes converting under a Next Equity Financing, a change in control, default, or maturity, and the changes in fair value were recognized as a component of other income (expense), net in the consolidated statements of operations and comprehensive loss. The Company recorded zero in expense during the fiscal years ended December 31, 2023 and 2022, related to the change in the fair value of the convertible notes embedded derivative liability. The convertible notes were carried on the consolidated balance sheets at their original issuance value, net of unamortized debt discount and issuance costs. In March 2022, as part of the Company’s Series D Preferred Stock issuance, the 2021-A Convertible Notes converted into 869,640 shares of Series D-1 redeemable convertible preferred stock. The Company recognized a gain on the conversion of $0.8 million in other income (expense), net on the consolidated statements of operations and comprehensive loss. As the full carrying value of the note was converted to Series D Preferred Stock, the balance remaining for the note at December 31, 2022 and thereafter remained zero.</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the 2021-A Convertible Notes financing, the Company entered into an additional convertible note with an existing investor for $0.5 million. The note carried PIK interest of 3.0% and was due and payable on demand at any time after June 30, 2021. The note contained an embedded conversion feature, which allowed the holder to convert the note into a fixed number of shares of Series C-1 preferred stock at any time after June 30, 2021. The Company concluded the conversion feature was not required to be bifurcated as an embedded derivative liability, and the note was carried at its principal plus accrued PIK interest. As the full carrying value of the note was converted to Series D Preferred Stock, the balance remaining for the note at December 31, 2022 and thereafter remained zero.</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interest expense related to the 2021-A Convertible Notes during the fiscal year ended December 31, 2023. Interest expense recognized during the fiscal year ended December 31, 2022 was immaterial.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Insight Promissory Note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2021, the Company issued a promissory note for a principal amount of $0.1 million in connection with the purchase of Current Insight, with immaterial debt issuance costs. The promissory note bears interest at 0.14% per annum and has equal monthly installments due and payable through the maturity date of January 2022. The principal and accrued interest were repaid in January 2022, and no amounts remained outstanding as of December 31, 2022 and thereafter.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SAFE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2019, the Company issued the 2019 SAFE for $0.1 million in proceeds, with immaterial debt issuance costs. No interest was accrued on the 2019 SAFE. The 2019 SAFE contained conversion features that allowed the holder to convert the 2019 SAFE into shares of preferred stock upon the next equity financing, subject to a valuation cap. The 2019 SAFE was reported at fair value based on the probability-weighted expected return method (“PWERM”), which assigns value to the multiple settlement scenarios based on the probability of occurrence. The fair value of the 2019 SAFE was $0.2 million as of December 31, 2021. In March 2022, the Company converted the 2019 SAFE into 48,258 shares of Series D-3 redeemable convertible preferred stock. The Company recognized a gain on the conversion of the 2019 SAFE of less than $0.1 million in other income (expense), net on the consolidated statements of operations and comprehensive loss. As the full carrying value of the SAFE was converted to Series D Preferred Stock, the balance remaining for the SAFE at December 31, 2022 and thereafter remained zero.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SAFE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2021, the Company issued the 2021 SAFE for $5.0 million in proceeds, with immaterial debt issuance costs. No interest is accrued on the 2021 SAFE. The 2021 SAFE contained conversion features that allowed the holder to convert the 2021 SAFE into shares of preferred stock upon the next equity financing, subject to a valuation cap. The 2019 SAFE was reported at fair value based on the PWERM, which assigns value to the multiple settlement scenarios based on the probability of occurrence. The fair value of the 2021 SAFE was $6.3 million as of December 31, 2021. In March 2022, the Company converted the 2021 SAFE into 1,005,366 shares of Series D-1 redeemable convertible preferred stock. The Company recognized a gain on the conversion of the 2021 SAFE of $1.4 million in other income (expense), net on the consolidated statements of operations and comprehensive loss. As the full carrying value of the SAFE was converted to Series D Preferred Stock, the balance remaining for the SAFE at December 31, 2022 and thereafter remained zero.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Solaria SAFE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the acquisition of Solaria (refer to Note 4 – Business Combination) the Company acquired the Solaria SAFEs. The number of shares to be issued upon conversion of the SAFE notes contained various features to convert or redeem the Solaria SAFEs in the event of an equity financing, public offering, change of control or a dissolution event.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historically elected to account for all of the SAFE notes at estimated fair value pursuant to the fair value option and recorded the change in estimated fair value as other income (expense), net in the consolidated statements of operations and comprehensive loss until the notes are converted or settled. The SAFE notes were amended through the SAFE Assumption Amendment, Assignment and Assumption Agreement on November 4, 2022, as part of the Business Combination with Complete Solar, whereby all the SAFE notes were assumed by Complete Solar. As part of the purchase price accounting discussed in Note 3 – Reverse Recapitalization, the estimated fair value of the SAFE notes was determined to be $60.5 million. Post consummation of the Business Combination the SAFE notes were converted to 8,171,662 shares of Series D-8 preferred stock as discussed in Note 4 –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Complete Solaria Common Stock may be issued under the 2023 Plan. In addition, the number of shares of Complete Solaria Common Stock reserved for issuance under the 2023 Plan will automatically increase on January 1 of each year, starting on January 1, 2024 and ending on January 1, 2033, in an amount equal to the lesser of (1) 4% of the total number of shares of Complete Solaria’s Common Stock outstanding on December 31 of the preceding year, or (2) a lesser number of shares of Complete Solaria Common Stock determined by Complete Solaria’s Board prior to the date of the increase. The maximum number of shares of Complete Solaria Common Stock that may be issued on the exercise of ISOs under the 2023 Plan is three times the number of shares available for issuance upon the 2023 Plan becoming effective (or 26,289,966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5" w:name="page196"/>
    <w:bookmarkEnd w:id="19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Complete Solaria, Inc. 2023 Incentive Equity Plan (“2023 Plan”), “the Plans”). The 2022 Plan is the successor of the Complete Solar 2021 Stock Plan, which was amended and assumed in connection with the acquisition of Solaria. The 2011 Plan is the Complete Solar 2011 Stock Plan that was assumed by Complete Solaria in the Required Transaction. The 2016 Plan and the 2006 Plan are the Solaria stock plans that were assumed by Complete Solaria in the Required Transaction.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Plans, the Company has granted service and performance-based stock options and restricted stock units (“RSUs”).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option activity for the fiscal year ended December 31, 2023 under the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4,970,419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6.99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6,961,979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(67,534)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0.89</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(148,218)</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9.17</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2023</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11,716,646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December 31, 2023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11,716,646</w:t>
            </w: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8.53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Vested and exercisable— December 31,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3,141,940</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4.93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A summary of RSU activity for the fiscal year ended December 31, 2023 under the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and 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3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3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6"/>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(265,686)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55"/>
        </w:trPr>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(541,010)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50"/>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58,097</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Mergers, the Company estimated grant-date fair value of stock options using the Black-Scholes-Merton option- pricing model. The determination of the fair value of each stock award using this option-pricing model is affected by the Company’s assumptions regarding a number of complex and subjective variables. These variables include, but are not limited to, the expected stock price volatility over the term of the awards. Stock-based compensation is measured at the grant date based on the fair value of the award and is recognized as expense on a straight-line basis over the requisite service period, which is generally the vesting period of the respective award.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96" w:name="page197"/>
    <w:bookmarkEnd w:id="196"/>
    <w:p>
      <w:pPr>
        <w:ind w:left="340"/>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stock-based compensation:</w:t>
      </w:r>
    </w:p>
    <w:p>
      <w:pPr>
        <w:spacing w:after="0" w:line="22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Fiscal Years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5.50–6.32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60.0%–78.5%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3.4%–4.8%</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Company has opted to use the “simplified method” for estimating the expected term of options, whereby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equals the arithmetic average of the vesting term and the original contractual term of the option (generally 10 years).</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Due to the Company’s limited operating history and a lack of company specific historical and implied volatility data,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based its estimate of expected volatility on the historical volatility of a group of peer companies that are publicly traded. The historical volatility data was computed using the daily closing prices for the selected companies’ shares during the equivalent period of the calculated expected term of the stock-based awards.</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rate assumption is based on U.S. Treasury instruments with maturities similar to the expected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stock options.</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 The Company has not issued any dividends in its history and does not expect to issue dividends over the life of the options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has estimated the dividend yield to be zero.</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The fair value of the shares of common stock underlying the stock-based awards has historically been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with input from management. Because there has been no public market for the Company’s common stock, the Board of Directors has determined the fair value of the common stock on the grant-date of the stock-based award by considering a number of objective and subjective factors. Such factors include a valuation of the Company’s common stock performed by an unrelated third-party specialist, valuations of comparable companies, sales of the Company’s redeemable convertible preferred stock to unrelated third-parties, operating and financial performance, the lack of liquidity of the Company’s capital stock, as well as general and industry-specific economic outlooks. For financial reporting purposes, the Company considers the amount of time between the valuation date and the grant date to determine whether to use the latest common stock valuation or a straight-line interpolation between the two valuation dates. The determination included an evaluation of whether the subsequent valuation indicated that any significant change in valuation had occurred between the previous valuation and the grant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and its allocation within the accompanying consolidated statements of operations and comprehensive loss (in thousands):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Fiscal Years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r>
      <w:tr>
        <w:trPr>
          <w:trHeight w:val="198"/>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2,252</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2,376</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r>
      <w:tr>
        <w:trPr>
          <w:trHeight w:val="25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a total of $20.1 million and zero unrecognized stock-based compensation costs related to service-based options and RSUs, respectively. Such compensation cost is expected to be recognized over a weighted-average period of approximately 2.4 years for service-based options.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2023, the Company’s board of directors approved the modification to accelerate the vesting of 52,167 options for employees that were terminated. Additionally, at the same time, the board of directors approved an extension of the post termination exercise period for 280,412 vested options of terminated employees. In connection with the modifications, the Company recorded incremental stock-based compensation expense of $0.1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color w:val="auto"/>
        </w:rPr>
        <w:t>(17) Employee Stock Purchase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adopted an Employee Stock Purchase Plan (the “ESPP Plan”) in connection with the consummation of the Mergers in July 2023. All qualified employees may voluntarily enroll to purchase the Company’s common stock through payroll deductions at a price equal to 85% of the lower of the fair market values of the stock of the offering periods or the applicable purchase date. As of December 31, 2023, 2,628,996 shares were reserved for future issuance under the ESPP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leases its facilities under non-cancelable operating lease agreements. The Company’s leases have remaining terms of 0.2 years to 2.8 years. Options to renew or extend leases beyond their initial term have been excluded from measurement of the ROU assets and lease liabilities as exercise is not reasonably certain. Operating leases are reflected on the consolidated balance sheets within operating lease ROU assets and the related current and non-current operating lease liabilities. ROU assets represent the right to use an underlying asset for the lease term, and lease liabilities represent the obligation to make lease payments arising from lease agreement. Operating lease ROU assets and liabilities are recognized at the commencement date, or the date on which the lessor makes the underlying asset available for use, based upon the present value of the lease payments over the respective lease term. Lease expense is recognized on a straight-line basis over the lease term, subject to any changes in the lease or expectation regarding the terms. Variable lease costs such as common area maintenance, property taxes and insurance are expensed as incurred. Variable lease cost was $0.3 million and $0.2 million for the fiscal year ended December 31, 2023 and 2022, respectively. Total lease expense for the fiscal years ended December 31, 2023 and 2022 was $1.4 million and $0.7 million, respectively.</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made $1.0 million and $1.0 million of cash payments related to operating leases during the fiscal years ended December 31, 2023 and 2022, respectively. New operating lease right-of-use assets obtained in exchange for operating lease liabilities were zero and $1.9 million during the fiscal years ended December 31, 2023 and 2022,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remaining lease term and the discount rate for the Company’s operating leases are as follows:</w:t>
      </w:r>
    </w:p>
    <w:p>
      <w:pPr>
        <w:spacing w:after="0" w:line="221" w:lineRule="exact"/>
        <w:rPr>
          <w:sz w:val="20"/>
          <w:szCs w:val="20"/>
          <w:color w:val="auto"/>
        </w:rPr>
      </w:pPr>
    </w:p>
    <w:p>
      <w:pPr>
        <w:jc w:val="center"/>
        <w:ind w:left="97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left="978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average remaining lease term</w:t>
            </w: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2.48 years</w:t>
            </w:r>
          </w:p>
        </w:tc>
        <w:tc>
          <w:tcPr>
            <w:tcW w:w="160" w:type="dxa"/>
            <w:vAlign w:val="bottom"/>
            <w:tcBorders>
              <w:top w:val="single" w:sz="8" w:color="CCEEFF"/>
            </w:tcBorders>
            <w:gridSpan w:val="3"/>
            <w:shd w:val="clear" w:color="auto" w:fill="CCEEFF"/>
          </w:tcPr>
          <w:p>
            <w:pPr>
              <w:spacing w:after="0"/>
              <w:rPr>
                <w:sz w:val="19"/>
                <w:szCs w:val="19"/>
                <w:color w:val="auto"/>
              </w:rPr>
            </w:pP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15.57%</w:t>
            </w:r>
          </w:p>
        </w:tc>
      </w:tr>
      <w:tr>
        <w:trPr>
          <w:trHeight w:val="414"/>
        </w:trPr>
        <w:tc>
          <w:tcPr>
            <w:tcW w:w="9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December 31, 2023 are as follows (in thousands):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50"/>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r>
      <w:tr>
        <w:trPr>
          <w:trHeight w:val="203"/>
        </w:trPr>
        <w:tc>
          <w:tcPr>
            <w:tcW w:w="9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undiscounted liabilities</w:t>
            </w: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1,812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w:t>
            </w:r>
          </w:p>
        </w:tc>
      </w:tr>
      <w:tr>
        <w:trPr>
          <w:trHeight w:val="237"/>
        </w:trPr>
        <w:tc>
          <w:tcPr>
            <w:tcW w:w="9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9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Provision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typically provides a 10-year warranty on its solar energy system installations, which provides assurance over the workmanship in performing the installation, including roof leaks caused by the Company’s performance. For solar panel sales, the Company provides a 30-year warranty that the products will be free from defects in material and workmanship. The Company will retain its warranty obligation associated with its panel sales, subsequent to the disposal of its panel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8" w:name="page199"/>
    <w:bookmarkEnd w:id="19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accrues warranty costs when revenue is recognized for solar energy systems sales and panel sales,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consolidated statements of operations and comprehensive loss. Warranty costs primarily consist of replacement materials and equipment and labor costs for service personnel.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by period relating to the Company’s warranty provision was as follows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Fiscal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Warranty liability from Business Combination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for new warranties issued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Warranty provision, current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will not have a material adverse effect on the business, financial position, results of operations,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have a material adverse effect on the business, financial position, results of operations, or cash flows. The Company has recorded $7.7 million and $1.9 million as a loss contingency in accrued expenses and other current liabilities on the consolidated balance sheets as of December 31, 2023 and 2022, respectively, primarily associated with the pending settlement of the following legal matters.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Katerra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22, 2022, Katerra, Inc. filed a complaint for breach of contract and turnover of property under Section 542(b) of the Bankruptcy Code in the U.S. Bankruptcy Court for the Southern District of Texas. The complaint sought damages for the amounts due under the Settlement Agreement and for attorney’s fees. The Company filed an answer to the complaint on September 6, 2022. On May 11, 2023, the parties reached a settlement in which Solaria agreed to pay Katerra $0.8 million, paid in monthly payments beginning on May 25, 2023 and ending by October 25, 2023. The settlement had been paid in full as of December 31,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i w:val="1"/>
          <w:iCs w:val="1"/>
          <w:color w:val="auto"/>
        </w:rPr>
        <w:t>SolarPark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consolidated financial statements as the likelihood of a loss is not probable at this time.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16, 2023, SolarPark filed a complaint against Solaria and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Solaria filed a Notice of Withdrawal of Appeal and will not appeal the Court’s Preliminary Injunction Order. No liability has been recorded in the Company’s consolidated financial statements as the likelihood of a loss is not probable at this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Litigation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22, 2021, Siemens filed a lawsuit in which Siemens alleged that the Company breached express and implied warranties under a purchase order that Siemens placed with the Company for a solar module system. Siemens claimed damages of approximately $6.9 million, inclusive of amounts of the Company’s indemnity obligations to Siemens, plus legal fees.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22, 2024, the Court issued an order against the Company which awarded Siemens approximately $6.9 million, inclusive of the Company’s indemnity obligations to Siemens, plus legal fees, the amount of which will be determined at a later hearing. On March 15, 2024, Siemens filed a motion seeking to recover $2.67 million for attorneys’ fees, expenses, and pre-judgment interest. The Court will conduct a hearing on Siemens’ motion in late May 2024. Pending entry of a final judgment by the Court, the Company intends to appeal such judgment. The Company has recorded $6.9 million and zero as a legal loss related to this litigation in accrued expenses and other current liabilities on the consolidated balance sheets as of December 31, 2023 and 2022,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i w:val="1"/>
          <w:iCs w:val="1"/>
          <w:color w:val="auto"/>
        </w:rPr>
        <w:t>China Bridge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24 2023, China Bridge Capital Limited (“China Bridge”) alleged breach of contract and demanded $6.0 million. The complaint names FACT as the defendant. The complaint alleges China Bridge and FACT entered into a financial advisory agreement in October 2022 whereby FACT engaged China Bridge to advise and assist FACT in identifying a company for FACT to acquire. As part of the agreement, China Bridge claims that FACT agreed to pay China Bridge a $6.0 million advisory fee if FACT completed such an acquisition. China Bridge claims it introduced Complete Solaria to FACT and is therefore owed the $6.0 million advisory fee. The Company believes that the allegations lack merit and intends to vigorously defend all claims asserted. No liability has been recorded in the Company’s consolidated financial statements as the likelihood of a loss is not probable at this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$3.5 million of outstanding letters of credit related to normal business transactions as of December 31, 2023. These agreements require the Company to maintain specified amounts of cash as collateral in segregated accounts to support the letters of credit issued thereunder. As discussed in Note 2 – Summary of Significant Accounting Policies, the cash collateral in these restricted cash accounts was $3.8 million and $3.9 million as of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loss from continuing operations before provision for income taxes for the years ended December 31, 2023 and 2022, was as follows (in thousands):</w:t>
      </w:r>
    </w:p>
    <w:p>
      <w:pPr>
        <w:spacing w:after="0" w:line="158"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(1,995)</w:t>
            </w:r>
          </w:p>
        </w:tc>
        <w:tc>
          <w:tcPr>
            <w:tcW w:w="380" w:type="dxa"/>
            <w:vAlign w:val="bottom"/>
          </w:tcPr>
          <w:p>
            <w:pPr>
              <w:spacing w:after="0"/>
              <w:rPr>
                <w:sz w:val="20"/>
                <w:szCs w:val="20"/>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reconciliation of federal statutory income tax rate to our effective income tax rate is as follows (in thousands):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7,833</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887</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to market adjustments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Debt extinguishment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2,171</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earnings taxed at different rates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419</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Purchase Agreements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9,780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Prior year adjustments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719</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for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(6,155)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3,145</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6,451</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F-77</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01" w:name="page202"/>
    <w:bookmarkEnd w:id="201"/>
    <w:p>
      <w:pPr>
        <w:ind w:left="34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are as follows (in thousands):</w:t>
      </w:r>
    </w:p>
    <w:p>
      <w:pPr>
        <w:spacing w:after="0" w:line="221"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NOL carryforwards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Credits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reserve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warranty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carryover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ASC 842 leases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6,985</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(38,407)</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(63,737)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method change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(9,084)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Refundable and deferred income taxes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established a valuation allowance to offset the gross deferred tax assets as of December 31, 2023 and December 31, 2022, due to the uncertainty of realizing future tax benefits from its net operating loss carryforwards and other deferred tax assets. The valuation allowance balance was $38.4 million and $63.7 million for the years ended December 31, 2023 and December 31, 2022, respectively.</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income tax assets, the Company considered whether it is more likely than not that some portion or all of its deferred income tax assets will be realized. The ultimate realization of deferred income tax assets is dependent upon the generation of future taxable income during the periods in which those temporary differences become deductible. Due to the uncertainty surrounding the Company’s ability to realize such deferred income tax assets, a full valuation allowance has been established. The valuation allowance decreased by $25.3 million during the year ended December 31, 2023, and increased by $52.4 million during the year ended December 31, 2022. The decrease in fiscal year 2023 is related to net operating loss and credit carryforwards which were deemed unavailable, offset by current year losses, and the increase in fiscal 2022 was due to acquired net operating loss and credit carryforwards as well as current year losses.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federal net operating loss carryforwards of approximately $267.5 million and $237.7 million, respectively, and state net operating loss carryforwards of approximately $194.2 million and $157.1 million, respectively. The federal net operating loss carryforwards that will expire between the years 2030 and 2037 total $114.6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December 31, 2023 and 2022, the Company had state research and development credit carryforwards of $1.6 million for both years,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credits do not expire.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utilization of the Company’s net operating loss and R&amp;D credit carryforwards may be subject to limitation due to the “change in ownership provisions” under Section 382 of the Internal Revenue Code and similar foreign provisions. Such limitations may result in the expiration of these carryforwards before their utilization. The Company’s acquired net operating loss carryforwards have been reduced based on the estimated amount which will be lost due to these limitations. The Company has not reported a deferred tax asset related to remaining acquired loss carryforwards which the Company believes will be lost due to continuation of business enterprise rules. The Company has not completed a Section 382 analysis related to the 2023 sale of assets and it is possible the loss may not be disallowed. The Company has recorded an unrecognized tax benefit related to this uncertain tax position.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taxes in the U.S. federal jurisdiction, and various foreign jurisdictions. Tax regulations within each jurisdiction are subject to the interpretation of the related tax laws and regulations and require significant judgment to apply. The Company’s tax years remain open for examination by all tax authorities since inception. The Company is not currently under examination in any tax jurisdictions.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unrecognized tax benefits of $53.2 million and $1.3 million, respectively. The reversal of the uncertain tax benefits would not affect the Company’s effective tax rate to the extent that it continues to maintain a full valuation allowance against its deferred tax assets.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applies the provisions set forth in FASB ASC Topic 740, Income Taxes, to account for the uncertainty in income taxes. In the preparation of income tax returns in federal and state jurisdictions, the Company asserts certain tax positions based on its understanding and interpretation of income tax laws.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as of beginning of year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1,335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51,813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as of end of year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53,153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within the income tax expense line in the statements of operations and comprehensive loss. Accrued interest and penalties are included as part of income tax payable in the consolidated balance sheets. No accrued interest or penalties have been recorded for the years ended December 31, 2023 or December 31, 2022.</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provided U.S. income or foreign withholding taxes on the undistributed earnings of its foreign subsidiary as of December 31, 2023 and December 31, 2022 because it intends to permanently reinvest such earnings outside of the U.S. If these foreign earnings were to be repatriated in the future, the related U.S. tax liability will be immaterial, due to the participation exemption put in place under the 2017 Tax Cuts and Jobs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color w:val="auto"/>
        </w:rPr>
        <w:t>(20) Basic and Diluted Net Loss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the two-class method to calculate net loss per share. No dividends were declared or paid for the fiscal years ended December 31, 2023 and 2022. Undistributed earnings for each period are allocated to participating securities, including the redeemable convertible preferred stock, based on the contractual participation rights of the security to share in the current earnings as if all current period earnings had been distributed. The Company’s basic net loss per share is computed by dividing the net loss attributable to common stockholders by the weighted-average shares of common stock outstanding during periods with undistributed losses.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basic and diluted shares and net loss per share for the fiscal year ended December 31, 2022 has been retroactively restated to give effect to the conversion of shares of legal acquiree’s convertible instruments into shares of legal acquiree common stock as though the conversion had occurred as of the beginning of the period. The retroactive restatement is consistent with the presentation on the accompanying consolidated statements of stockholders’ deficit.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for the fiscal years ended December 31, 2023 and 2022 (in thousands, except share and per share amounts):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Fiscal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(96,197)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(25,853)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from discontinued operations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(147,505)</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24,723,370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22,524,400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 –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 – basic and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net loss per share attributable to common stockholders is the same for the fiscal years ended December 31, 2023 and 2022 because the inclusion of potential shares of common stock would have been anti-dilutive for the periods presented.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0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3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23,024,556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35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1,912,493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3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1,152,790</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35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11,774,743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4,970,419</w:t>
            </w:r>
          </w:p>
        </w:tc>
        <w:tc>
          <w:tcPr>
            <w:tcW w:w="0" w:type="dxa"/>
            <w:vAlign w:val="bottom"/>
          </w:tcPr>
          <w:p>
            <w:pPr>
              <w:spacing w:after="0"/>
              <w:rPr>
                <w:sz w:val="1"/>
                <w:szCs w:val="1"/>
                <w:color w:val="auto"/>
              </w:rPr>
            </w:pPr>
          </w:p>
        </w:tc>
      </w:tr>
      <w:tr>
        <w:trPr>
          <w:trHeight w:val="27"/>
        </w:trPr>
        <w:tc>
          <w:tcPr>
            <w:tcW w:w="5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common shares excluded from diluted net loss per share</w:t>
            </w:r>
          </w:p>
        </w:tc>
        <w:tc>
          <w:tcPr>
            <w:tcW w:w="35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vMerge w:val="continue"/>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34,799,299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8,078,837</w:t>
            </w:r>
          </w:p>
        </w:tc>
        <w:tc>
          <w:tcPr>
            <w:tcW w:w="0" w:type="dxa"/>
            <w:vAlign w:val="bottom"/>
          </w:tcPr>
          <w:p>
            <w:pPr>
              <w:spacing w:after="0"/>
              <w:rPr>
                <w:sz w:val="1"/>
                <w:szCs w:val="1"/>
                <w:color w:val="auto"/>
              </w:rPr>
            </w:pPr>
          </w:p>
        </w:tc>
      </w:tr>
      <w:tr>
        <w:trPr>
          <w:trHeight w:val="21"/>
        </w:trPr>
        <w:tc>
          <w:tcPr>
            <w:tcW w:w="51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F-80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color w:val="auto"/>
        </w:rPr>
        <w:t>(21)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Convertible Promissory Notes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2020, the Company issued convertible promissory notes (“2020-A Convertible Notes”) of approximately $3.8 million to various investors, out of which $3.3 million was issued to nine related parties. The principal amount of the outstanding balance accrued interest at 2.0% per annum. In 2021, the Company subsequently issued convertible promissory notes (“2021-A Convertible Notes”) of approximately $4.8 million to various investors, out of which $3.6 million was issued to four related parties. The principal amount of the outstanding balance accrued interest at 2.0% per annum. Refer to Note 15 – Borrowing Arrangements for further details.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2022, as part of the Company’s Series D redeemable convertible preferred stock issuance, the Company converted all of the outstanding convertible note series. As part of the conversion, the Company recognized a gain on the extinguishment of related party convertible notes of $1.4 million, which was recorded in other income (expense), net on the consolidated statements of operations and comprehensive loss.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2022 through June 2023, the Company issued convertible promissory notes (“2022 Convertible Notes”) of approximately $33.3 million to various investors, out of which $12.1 million was issued to five related parties. Additionally, the Company acquired a related party convertible note, on the same terms as the 2022 Convertible Notes as part of the acquisition of Solaria, with a fair value of $6.7 million at the time of the acquisition. The related party debt is presented as convertible notes, net, due to related parties, noncurrent in the accompanying consolidated balance sheets. The principal amount of the outstanding balance on the 2022 Convertible Notes accrues at 5.0%, compounded annually. For the fiscal years ended December 31, 2023 and 2022, the Company has recognized $0.4 million and $0.2 million, respectively, in interest expense related to the related party 2022 Convertible Promissory Notes.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2023, the Company received $3.5 million of prefunded PIPE proceeds from a related party investor in conjunction with the Company’s merger with Freedom Acquisition I Corp (refer to Note 1(a) – Description of Business and Note 3 – Reverse Recapitalization). The $3.5 million investment converted to equity for reclassification of prepaid PIPE, which is reflected in the consolidated statements of redeemable convertible preferred stock and stockholders’ deficit for fiscal year ended December 31, 2023.</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2023, in connection with the Mergers, in addition to the $3.5 million of related party PIPE proceeds noted above, the Company received additional PIPE proceeds from related parties of $12.1 million, which is reflected in the consolidated statements of redeemable convertible preferred stock and stockholders’ deficit for the fiscal year ended December 31, 2023.</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July 2023, in connection with the Mergers, the Company issued 120,000 shares to a related party as a transaction bonus. As a result of the issuance, the Company recognized $0.7 million of expense within other income (expense), net in its consolidated statements of operations and comprehensive loss for the fiscal year ended December 31, 2023.</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July 2023, the Company entered into a series of FPAs as described in Note 6 – Forward Purchase Agreements. In connection with the FPAs, the Company recognized other expense of $30.7 million for the fiscal year ended December 31, 2023 in connection with the issuance of 5,670,000 shares of Complete Solaria Common Stock to the related party FPA Sellers. The Company also recognized other income of $0.3 million in connection with the issuance of the FPAs with related parties. As of December 31, 2023, the Company has recognized a liability associated with the FPAs of $3.2 million due to related parties in its consolidated balance sheets, and the Company has recognized other expense associated with the change in fair value of the FPA liability due to related parties of $3.5 million in its consolidated statements of operations and comprehensive loss for both the fiscal year ended December 31, 2023.</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in connection with the Mergers, the Company entered into a settlement and release agreement with a related party for the settlement of a working capital loan made to the Sponsor, prior to the closing of the Mergers. As part of the settlement agreement, the Company agreed to pay the related party $0.5 million as a return of capital, which is paid in ten equal monthly installments and does not accrue interest. During fiscal year ended December 31, 2023, the Company made one payment of $0.2 million. As of December 31, 2023, $0.3 million remains outstanding.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other material related party transactions during the fiscal years ended December 31, 2023 and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16, 2024, Complete Solaria, Inc. (the “Company”) announced a workforce reduction (the “Workforce Reduction”) of 15 employees and 19 contractors, constituting approximately 14% of the Company’s workforce. The Company is taking this action to decrease its costs and strategically realign its resources. The Company expects to recognize the majority of these charges in the first quarter of 2024, and that the Workforce Reduction will be substantially complete during the first quarter of 2024. In addition, the Company may incur other charges or cash expenditures not currently contemplated due to unanticipated events that may occur, including in connection with the implementation of the Workforce Reduction. The Company does not expect that the Workforce Reduction will have a material impact on its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a Named Executive Officer – William J. Anderson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previously announced in its Current Report on Form 8-K filed with the Securities and Exchange Commission (the “SEC”) on November 16, 2023, that William J. Anderson had stepped down as the Company’s Chief Executive Officer but remained employed with the Company. On January 16, 2024, in connection with the Workforce Reduction, the Company terminated Mr. W. Anderson’s employment with the Company, effective as of January 16, 2024 (the “William Anderson Separation Date”). Following the William Anderson Separation Date, Mr. W. Anderson will continue to serve as a member the board of directors of the Company, in addition to other advisory and support roles pursuant to a consulting agreement to be entered into with Mr. W. Anderson.</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Subject to the terms of Mr. W. Anderson’s employment agreement, dated as of May 9, 2023, the form of which was filed as Exhibit 10.22 to the Company’s Registration Statement on Form S-4 filed with the SEC on May 11, 2023 (the “William Anderson Employment Agreement”), Mr. W. Anderson will be entitled to receive:</w:t>
      </w:r>
    </w:p>
    <w:p>
      <w:pPr>
        <w:spacing w:after="0" w:line="176" w:lineRule="exact"/>
        <w:rPr>
          <w:sz w:val="20"/>
          <w:szCs w:val="20"/>
          <w:color w:val="auto"/>
        </w:rPr>
      </w:pPr>
    </w:p>
    <w:p>
      <w:pPr>
        <w:ind w:left="660" w:hanging="328"/>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in an amount equal to 12 months of his base salary in effect as of the William Anderson Separation Date, payable in installments beginning on the date that is the 60th day following the William Anderson Separation Date;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amount equal to any earned but unpaid annual bonus from the prior fiscal year ended December 31, 2023, plus a pro rata portion of Mr. W. Anderson’s annual bonus for the fiscal year ended December 31, 2024, to the extent such annual bonus would have been earned by Mr. W. Anderson pursuant to the terms of the William Anderson Employment Agreement;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payment of continued health coverage for him and his eligible dependents under COBRA for the earlier of (1) a period of 12 months, (2) the expiration of his eligibility for the continuation coverage under COBRA or (3) the date when Mr. W. Anderson becomes eligible for substantially equivalent health insurance coverage in connection with new employment; or (B) a taxable payment in lieu of such payment;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the period of time in which Mr. W. Anderson may exercise all of his vested stock options until the earlier of (A) the 12-month anniversary of the William Anderson Separation Date, (B) the expiration date of the applicable stock option and (C) termination of the stock options upon a corporate transaction as provided under the applicable equity incentive plan under which such stock options were granted;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50% of Mr. W. Anderson’s remaining unvested and outstanding stock options subject to time-based vesting as of the William Anderson Separation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a Named Executive Officer – David Anderson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on January 16, 2024, and in connection with the Workforce Reduction, the Company terminated David Anderson’s employment as the Company’s Chief Marketing Officer and Head of Strategic Partnerships, effective as of January 16, 2024 (the “David Anderson Separation Date”). Subject to the terms of Mr. D. Anderson’s employment agreement, dated as of May 9, 2023, a form of which was filed as Exhibit 10.22 to the Company’s Registration Statement on Form S-4 filed with the SEC on May 11, 2023 (the “David Anderson Employment Agreement”), Mr. D. Anderson will be entitled to receive:</w:t>
      </w:r>
    </w:p>
    <w:p>
      <w:pPr>
        <w:spacing w:after="0" w:line="183" w:lineRule="exact"/>
        <w:rPr>
          <w:sz w:val="20"/>
          <w:szCs w:val="20"/>
          <w:color w:val="auto"/>
        </w:rPr>
      </w:pPr>
    </w:p>
    <w:p>
      <w:pPr>
        <w:ind w:left="660" w:right="2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in an amount equal to 12 months of Mr. D. Anderson’s base salary in effect as of the David Anderson Separation Date, payable in installments beginning on the date that is the 60th day following the David Anderson Separation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6" w:name="page207"/>
    <w:bookmarkEnd w:id="206"/>
    <w:p>
      <w:pPr>
        <w:jc w:val="both"/>
        <w:ind w:left="660" w:hanging="328"/>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amount equal to any earned but unpaid annual bonus from the prior fiscal year ended December 31, 2023 plus a pro rata portion of Mr. D. Anderson’s annual bonus for the fiscal year ended December 31, 2024, to the extent such annual bonus would have been earned by Mr. D. Anderson pursuant to the terms of the David Anderson Employment Agreement;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payment of continued health coverage for him and his eligible dependents under COBRA for the earlier of (1) a period of 12 months, (2) the expiration of his eligibility for the continuation coverage under COBRA or (3) the date when Mr. D. Anderson becomes eligible for substantially equivalent health insurance coverage in connection with new employment; or (B) a taxable payment in lieu of such payment;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the period of time in which Mr. D. Anderson may exercise all of his vested stock options until the earlier of (A) the 12-month anniversary of the David Anderson Separation Date, (B) the expiration date of the applicable stock option and (C) termination of the stock options upon a corporate transaction as provided under the applicable equity incentive plan under which such stock options were granted;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50% of Mr. D. Anderson’s remaining unvested and outstanding stock options subject to time-based vesting as of the David Anderson Separation Date.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expects that the departure of the named executive officers will not have a material financial impact on its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SAFE</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31, 2024, the Company entered into a simple agreement for future equity (the “First SAFE”) with the Rodgers Massey Freedom and Free Markets Charitable Trust (the “Purchaser”) in connection with the Purchaser investing $1.5 million in the Company. The First SAFE is convertible into shares of the Company’s common stock, par value $0.0001 per share, upon the initial closing of a bona fide transaction or series of transactions with the principal purpose of raising capital, pursuant to which the Company issues and sells common stock at a fixed valuation (an “Equity Financing”), at a per share conversion price which is equal to the lower of (i)(a) $53.54 million divided by (b) the Company’s capitalization immediately prior to such Equity Financing (such conversion price, the “SAFE Price”), and (ii) 80% of the price per share of Common Stock sold in the Equity Financing. If the Company consummates a change of control prior to the termination of the First SAFE, the Purchaser will be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is convertible into a maximum of 1,431,297 shares of Common Stock, assuming a per share conversion price of $1.05, which is the product of (i) $1.31, the closing price of the Common Stock on January 31, 2024, multiplied by (ii) 80%.</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15, 2024, the Company entered into a simple agreement for future equity (the “Second SAFE” and together with the First SAFE, the “SAFEs”) with the Purchaser in connection with the Purchaser investing $3.5 million in the Company. The Second SAFE is convertible into shares of Common Stock upon the initial closing of an Equity Financing at a per share conversion price which is equal to the lower of (i) the SAFE Price, and (ii) 80% of the price per share of Common Stock sold in the Equity Financing. If the Company consummates a change of control prior to the termination of the Second SAFE, the Purchaser will be automatically entitled to receive an amount equal to the greater of (i) $3.5 million and (ii) the amount payable on the number of shares of Common Stock equal to $3.5 million divided by the Liquidity Price, subject to certain adjustments as set forth in the Second SAFE. The Second SAFE is convertible into a maximum of 3,707,627 shares of Common Stock, assuming a per share conversion price of $0.94, which is the product of (i) $1.18, the closing price of the Common Stock on February 15, 2024, multiplied by (ii) 80%.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Directors or Certain Officers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6, 2024, Brian Wuebbels, the Chief Financial Officer of Complete Solaria, Inc. (the “Company”), notified the Company of his resignation effective April 30, 2024. Mr. Wuebbels will continue in his role as Chief Financial Officer to assist the Company in the filing of its Annual Report on Form 10-K for the year ended December 31, 2023. Mr. Wuebbels will also provide transition services to the Company through his resignation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lowerRoman"/>
      <w:start w:val="3"/>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1)"/>
      <w:numFmt w:val="decimal"/>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1)"/>
      <w:numFmt w:val="lowerRoman"/>
      <w:start w:val="1"/>
    </w:lvl>
  </w:abstractNum>
  <w:abstractNum w:abstractNumId="25">
    <w:nsid w:val="77AE35EB"/>
    <w:multiLevelType w:val="hybridMultilevel"/>
    <w:lvl w:ilvl="0">
      <w:lvlJc w:val="left"/>
      <w:lvlText w:val="(%1)"/>
      <w:numFmt w:val="lowerRoman"/>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2"/>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decimal"/>
      <w:start w:val="2"/>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decimal"/>
      <w:start w:val="1"/>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1)"/>
      <w:numFmt w:val="decimal"/>
      <w:start w:val="1"/>
    </w:lvl>
  </w:abstractNum>
  <w:abstractNum w:abstractNumId="56">
    <w:nsid w:val="8F2B15E"/>
    <w:multiLevelType w:val="hybridMultilevel"/>
    <w:lvl w:ilvl="0">
      <w:lvlJc w:val="left"/>
      <w:lvlText w:val="(%1)"/>
      <w:numFmt w:val="decimal"/>
      <w:start w:val="3"/>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3"/>
    </w:lvl>
  </w:abstractNum>
  <w:abstractNum w:abstractNumId="60">
    <w:nsid w:val="4962813B"/>
    <w:multiLevelType w:val="hybridMultilevel"/>
    <w:lvl w:ilvl="0">
      <w:lvlJc w:val="left"/>
      <w:lvlText w:val="(%1)"/>
      <w:numFmt w:val="decimal"/>
      <w:start w:val="13"/>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1)"/>
      <w:numFmt w:val="lowerLetter"/>
      <w:start w:val="7"/>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1)"/>
      <w:numFmt w:val="decimal"/>
      <w:start w:val="1"/>
    </w:lvl>
  </w:abstractNum>
  <w:abstractNum w:abstractNumId="80">
    <w:nsid w:val="2DF6D648"/>
    <w:multiLevelType w:val="hybridMultilevel"/>
    <w:lvl w:ilvl="0">
      <w:lvlJc w:val="left"/>
      <w:lvlText w:val="(%1)"/>
      <w:numFmt w:val="decimal"/>
      <w:start w:val="10"/>
    </w:lvl>
  </w:abstractNum>
  <w:abstractNum w:abstractNumId="81">
    <w:nsid w:val="46B7D447"/>
    <w:multiLevelType w:val="hybridMultilevel"/>
    <w:lvl w:ilvl="0">
      <w:lvlJc w:val="left"/>
      <w:lvlText w:val="(%1)"/>
      <w:numFmt w:val="lowerRoman"/>
      <w:start w:val="2"/>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1)"/>
      <w:numFmt w:val="decimal"/>
      <w:start w:val="1"/>
    </w:lvl>
  </w:abstractNum>
  <w:abstractNum w:abstractNumId="84">
    <w:nsid w:val="57FC4FBB"/>
    <w:multiLevelType w:val="hybridMultilevel"/>
    <w:lvl w:ilvl="0">
      <w:lvlJc w:val="left"/>
      <w:lvlText w:val="(%1)"/>
      <w:numFmt w:val="decimal"/>
      <w:start w:val="1"/>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1)"/>
      <w:numFmt w:val="lowerLetter"/>
      <w:start w:val="4"/>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
      <w:numFmt w:val="bullet"/>
      <w:start w:val="1"/>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
      <w:numFmt w:val="bullet"/>
      <w:start w:val="1"/>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1)"/>
      <w:numFmt w:val="decimal"/>
      <w:start w:val="10"/>
    </w:lvl>
  </w:abstractNum>
  <w:abstractNum w:abstractNumId="95">
    <w:nsid w:val="5FB8011C"/>
    <w:multiLevelType w:val="hybridMultilevel"/>
    <w:lvl w:ilvl="0">
      <w:lvlJc w:val="left"/>
      <w:lvlText w:val="(%1)"/>
      <w:numFmt w:val="decimal"/>
      <w:start w:val="1"/>
    </w:lvl>
  </w:abstractNum>
  <w:abstractNum w:abstractNumId="96">
    <w:nsid w:val="6AA78F7F"/>
    <w:multiLevelType w:val="hybridMultilevel"/>
    <w:lvl w:ilvl="0">
      <w:lvlJc w:val="left"/>
      <w:lvlText w:val="(%1)"/>
      <w:numFmt w:val="decimal"/>
      <w:start w:val="10"/>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
      <w:numFmt w:val="bullet"/>
      <w:start w:val="1"/>
    </w:lvl>
  </w:abstractNum>
  <w:abstractNum w:abstractNumId="99">
    <w:nsid w:val="6A5F70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2024-08-09T17:16:18Z</dcterms:created>
  <dcterms:modified xsi:type="dcterms:W3CDTF">2024-08-09T17:16:18Z</dcterms:modified>
</cp:coreProperties>
</file>